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outlineLvl w:val="9"/>
      </w:pPr>
    </w:p>
    <w:p>
      <w:pPr>
        <w:jc w:val="center"/>
        <w:outlineLvl w:val="9"/>
        <w:rPr>
          <w:sz w:val="52"/>
        </w:rPr>
      </w:pPr>
      <w:r>
        <w:rPr>
          <w:sz w:val="52"/>
        </w:rPr>
        <w:t>建设项目环境影响报告表</w:t>
      </w:r>
    </w:p>
    <w:p>
      <w:pPr>
        <w:tabs>
          <w:tab w:val="left" w:pos="255"/>
        </w:tabs>
        <w:rPr>
          <w:sz w:val="30"/>
          <w:szCs w:val="30"/>
        </w:rPr>
      </w:pPr>
      <w:r>
        <w:rPr>
          <w:sz w:val="30"/>
          <w:szCs w:val="30"/>
        </w:rPr>
        <w:tab/>
      </w:r>
    </w:p>
    <w:p>
      <w:pPr>
        <w:rPr>
          <w:sz w:val="36"/>
        </w:rPr>
      </w:pPr>
    </w:p>
    <w:p>
      <w:pPr>
        <w:spacing w:line="720" w:lineRule="auto"/>
        <w:jc w:val="center"/>
        <w:rPr>
          <w:sz w:val="36"/>
        </w:rPr>
      </w:pPr>
    </w:p>
    <w:p>
      <w:pPr>
        <w:spacing w:line="720" w:lineRule="auto"/>
        <w:jc w:val="center"/>
        <w:rPr>
          <w:sz w:val="36"/>
        </w:rPr>
      </w:pPr>
    </w:p>
    <w:p>
      <w:pPr>
        <w:ind w:firstLine="964" w:firstLineChars="300"/>
        <w:rPr>
          <w:rFonts w:hint="default"/>
          <w:b/>
          <w:sz w:val="32"/>
          <w:szCs w:val="32"/>
          <w:u w:val="single"/>
          <w:lang w:val="en-US" w:eastAsia="zh-CN"/>
        </w:rPr>
      </w:pPr>
      <w:r>
        <w:rPr>
          <w:b/>
          <w:sz w:val="32"/>
          <w:szCs w:val="32"/>
        </w:rPr>
        <w:t>项目名称：</w:t>
      </w:r>
      <w:r>
        <w:rPr>
          <w:rFonts w:hint="eastAsia"/>
          <w:b/>
          <w:sz w:val="32"/>
          <w:szCs w:val="32"/>
          <w:u w:val="single"/>
          <w:lang w:val="en-US" w:eastAsia="zh-CN"/>
        </w:rPr>
        <w:t xml:space="preserve"> 苏州源顺祥新材料有限公司年增产塑 </w:t>
      </w:r>
    </w:p>
    <w:p>
      <w:pPr>
        <w:ind w:firstLine="2891" w:firstLineChars="900"/>
        <w:rPr>
          <w:rFonts w:hint="default"/>
          <w:b w:val="0"/>
          <w:bCs/>
          <w:sz w:val="32"/>
          <w:szCs w:val="32"/>
          <w:u w:val="single"/>
          <w:lang w:val="en-US" w:eastAsia="zh-CN"/>
        </w:rPr>
      </w:pPr>
      <w:r>
        <w:rPr>
          <w:rFonts w:hint="eastAsia"/>
          <w:b/>
          <w:sz w:val="32"/>
          <w:szCs w:val="32"/>
          <w:u w:val="single"/>
          <w:lang w:val="en-US" w:eastAsia="zh-CN"/>
        </w:rPr>
        <w:t xml:space="preserve">料制品1500吨扩建项目 </w:t>
      </w:r>
    </w:p>
    <w:p>
      <w:pPr>
        <w:ind w:firstLine="964" w:firstLineChars="300"/>
        <w:rPr>
          <w:rFonts w:hint="default" w:eastAsia="宋体"/>
          <w:b/>
          <w:sz w:val="36"/>
          <w:lang w:val="en-US" w:eastAsia="zh-CN"/>
        </w:rPr>
      </w:pPr>
      <w:r>
        <w:rPr>
          <w:b/>
          <w:sz w:val="32"/>
          <w:szCs w:val="32"/>
        </w:rPr>
        <w:t>建设单位（盖章）：</w:t>
      </w:r>
      <w:r>
        <w:rPr>
          <w:rFonts w:hint="eastAsia"/>
          <w:b/>
          <w:sz w:val="32"/>
          <w:szCs w:val="32"/>
          <w:u w:val="single"/>
          <w:lang w:val="en-US" w:eastAsia="zh-CN"/>
        </w:rPr>
        <w:t xml:space="preserve"> 苏州源顺祥新材料有限公司 </w:t>
      </w:r>
    </w:p>
    <w:p>
      <w:pPr>
        <w:jc w:val="center"/>
        <w:rPr>
          <w:sz w:val="36"/>
        </w:rPr>
      </w:pPr>
    </w:p>
    <w:p>
      <w:pPr>
        <w:jc w:val="center"/>
        <w:rPr>
          <w:sz w:val="36"/>
        </w:rPr>
      </w:pPr>
    </w:p>
    <w:p>
      <w:pPr>
        <w:jc w:val="center"/>
        <w:rPr>
          <w:sz w:val="36"/>
        </w:rPr>
      </w:pPr>
    </w:p>
    <w:p>
      <w:pPr>
        <w:rPr>
          <w:sz w:val="36"/>
        </w:rPr>
      </w:pPr>
    </w:p>
    <w:p>
      <w:pPr>
        <w:jc w:val="center"/>
        <w:rPr>
          <w:sz w:val="36"/>
        </w:rPr>
      </w:pPr>
      <w:r>
        <w:rPr>
          <w:sz w:val="36"/>
        </w:rPr>
        <w:t>编制日期：</w:t>
      </w:r>
      <w:r>
        <w:rPr>
          <w:rFonts w:hint="eastAsia"/>
          <w:sz w:val="36"/>
          <w:lang w:val="en-US" w:eastAsia="zh-CN"/>
        </w:rPr>
        <w:t>2020</w:t>
      </w:r>
      <w:r>
        <w:rPr>
          <w:sz w:val="36"/>
        </w:rPr>
        <w:t>年</w:t>
      </w:r>
      <w:r>
        <w:rPr>
          <w:rFonts w:hint="eastAsia"/>
          <w:sz w:val="36"/>
          <w:lang w:val="en-US" w:eastAsia="zh-CN"/>
        </w:rPr>
        <w:t>5</w:t>
      </w:r>
      <w:r>
        <w:rPr>
          <w:sz w:val="36"/>
        </w:rPr>
        <w:t>月</w:t>
      </w:r>
    </w:p>
    <w:p>
      <w:pPr>
        <w:jc w:val="center"/>
        <w:rPr>
          <w:sz w:val="36"/>
          <w:szCs w:val="36"/>
        </w:rPr>
      </w:pPr>
      <w:r>
        <w:rPr>
          <w:sz w:val="36"/>
          <w:szCs w:val="36"/>
        </w:rPr>
        <w:t>江苏省环保厅制</w:t>
      </w:r>
    </w:p>
    <w:p>
      <w:pPr>
        <w:jc w:val="center"/>
        <w:rPr>
          <w:sz w:val="36"/>
          <w:szCs w:val="36"/>
        </w:rPr>
      </w:pPr>
    </w:p>
    <w:p>
      <w:pPr>
        <w:spacing w:line="480" w:lineRule="auto"/>
        <w:ind w:firstLine="161" w:firstLineChars="50"/>
        <w:rPr>
          <w:b/>
          <w:bCs/>
          <w:sz w:val="32"/>
        </w:rPr>
        <w:sectPr>
          <w:headerReference r:id="rId3" w:type="default"/>
          <w:headerReference r:id="rId4" w:type="even"/>
          <w:footerReference r:id="rId5" w:type="even"/>
          <w:pgSz w:w="11907" w:h="16840"/>
          <w:pgMar w:top="1871" w:right="1418" w:bottom="1559" w:left="1418" w:header="964" w:footer="720" w:gutter="0"/>
          <w:cols w:space="720" w:num="1"/>
          <w:titlePg/>
          <w:docGrid w:type="lines" w:linePitch="312" w:charSpace="0"/>
        </w:sectPr>
      </w:pPr>
    </w:p>
    <w:p>
      <w:pPr>
        <w:spacing w:line="480" w:lineRule="auto"/>
        <w:rPr>
          <w:b/>
          <w:bCs/>
          <w:sz w:val="32"/>
        </w:rPr>
      </w:pPr>
    </w:p>
    <w:p>
      <w:pPr>
        <w:jc w:val="center"/>
        <w:rPr>
          <w:rFonts w:eastAsia="黑体"/>
          <w:sz w:val="30"/>
        </w:rPr>
      </w:pPr>
      <w:r>
        <w:rPr>
          <w:rFonts w:eastAsia="黑体"/>
          <w:sz w:val="30"/>
        </w:rPr>
        <w:t>《建设项目环境影响报告表》编制说明</w:t>
      </w:r>
    </w:p>
    <w:p>
      <w:pPr>
        <w:rPr>
          <w:rFonts w:eastAsia="黑体"/>
          <w:sz w:val="30"/>
        </w:rPr>
      </w:pPr>
    </w:p>
    <w:p>
      <w:pPr>
        <w:ind w:firstLine="240" w:firstLineChars="100"/>
      </w:pPr>
      <w:r>
        <w:t>《建设项目环境影响报告表》由具有从事环境影响评价工作资质的单位编制。</w:t>
      </w:r>
    </w:p>
    <w:p>
      <w:pPr>
        <w:numPr>
          <w:ilvl w:val="0"/>
          <w:numId w:val="1"/>
        </w:numPr>
        <w:tabs>
          <w:tab w:val="left" w:pos="630"/>
          <w:tab w:val="left" w:pos="735"/>
          <w:tab w:val="clear" w:pos="885"/>
        </w:tabs>
        <w:ind w:left="527" w:firstLine="0"/>
      </w:pPr>
      <w:r>
        <w:t>项目名称———项目立项批复时的名称，应不超过30个字（两个英文字段作一个汉字）。</w:t>
      </w:r>
    </w:p>
    <w:p>
      <w:pPr>
        <w:numPr>
          <w:ilvl w:val="0"/>
          <w:numId w:val="1"/>
        </w:numPr>
        <w:ind w:left="527" w:firstLine="0"/>
      </w:pPr>
      <w:r>
        <w:t>建设地点———指项目所在地详细地址，公路、铁路应填写起止地点。</w:t>
      </w:r>
    </w:p>
    <w:p>
      <w:pPr>
        <w:numPr>
          <w:ilvl w:val="0"/>
          <w:numId w:val="1"/>
        </w:numPr>
        <w:ind w:left="527" w:firstLine="0"/>
      </w:pPr>
      <w:r>
        <w:t>行业类别———按国标填写。</w:t>
      </w:r>
    </w:p>
    <w:p>
      <w:pPr>
        <w:numPr>
          <w:ilvl w:val="0"/>
          <w:numId w:val="1"/>
        </w:numPr>
        <w:ind w:left="527" w:firstLine="0"/>
      </w:pPr>
      <w:r>
        <w:t>总投资———指项目投资总额。</w:t>
      </w:r>
    </w:p>
    <w:p>
      <w:pPr>
        <w:numPr>
          <w:ilvl w:val="0"/>
          <w:numId w:val="1"/>
        </w:numPr>
        <w:ind w:left="527" w:firstLine="0"/>
      </w:pPr>
      <w:r>
        <w:t>主要环境保护目标———指项目区周围一定范围内集中居民住宅区、学校、医院、保护文物、风景名胜区、水源地和生态敏感点等，应尽可能给出保护目标、性质、规模和距厂界距离等。</w:t>
      </w:r>
    </w:p>
    <w:p>
      <w:pPr>
        <w:numPr>
          <w:ilvl w:val="0"/>
          <w:numId w:val="1"/>
        </w:numPr>
        <w:ind w:left="527" w:firstLine="0"/>
      </w:pPr>
      <w: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1"/>
        </w:numPr>
        <w:ind w:left="527" w:firstLine="0"/>
      </w:pPr>
      <w:r>
        <w:t>预审意见———由行业主管部门填写答复意见，无主管部门项目，可不填。</w:t>
      </w:r>
    </w:p>
    <w:p>
      <w:pPr>
        <w:numPr>
          <w:ilvl w:val="0"/>
          <w:numId w:val="1"/>
        </w:numPr>
        <w:ind w:left="527" w:firstLine="0"/>
      </w:pPr>
      <w:r>
        <w:t>审批意见———由负责审批该项目的环境保护行政主管部门批复。</w:t>
      </w:r>
    </w:p>
    <w:p>
      <w:pPr>
        <w:rPr>
          <w:b/>
          <w:sz w:val="28"/>
        </w:rPr>
      </w:pPr>
      <w:r>
        <w:rPr>
          <w:b/>
          <w:sz w:val="28"/>
        </w:rPr>
        <w:br w:type="page"/>
      </w:r>
    </w:p>
    <w:p>
      <w:pPr>
        <w:pStyle w:val="17"/>
        <w:tabs>
          <w:tab w:val="right" w:leader="dot" w:pos="8306"/>
        </w:tabs>
      </w:pPr>
    </w:p>
    <w:p>
      <w:pPr>
        <w:pStyle w:val="17"/>
        <w:tabs>
          <w:tab w:val="right" w:leader="dot" w:pos="8306"/>
        </w:tabs>
        <w:rPr>
          <w:rFonts w:hint="eastAsia"/>
          <w:sz w:val="40"/>
          <w:szCs w:val="40"/>
          <w:lang w:val="en-US" w:eastAsia="zh-CN"/>
        </w:rPr>
      </w:pPr>
      <w:r>
        <w:rPr>
          <w:rFonts w:hint="eastAsia"/>
          <w:sz w:val="40"/>
          <w:szCs w:val="40"/>
          <w:lang w:val="en-US" w:eastAsia="zh-CN"/>
        </w:rPr>
        <w:t>目录</w:t>
      </w:r>
    </w:p>
    <w:p>
      <w:pPr>
        <w:rPr>
          <w:rFonts w:hint="eastAsia"/>
          <w:sz w:val="40"/>
          <w:szCs w:val="40"/>
          <w:lang w:val="en-US" w:eastAsia="zh-CN"/>
        </w:rPr>
      </w:pPr>
    </w:p>
    <w:p>
      <w:pPr>
        <w:pStyle w:val="2"/>
        <w:rPr>
          <w:rFonts w:hint="default"/>
          <w:lang w:val="en-US" w:eastAsia="zh-CN"/>
        </w:rPr>
      </w:pPr>
    </w:p>
    <w:p>
      <w:pPr>
        <w:pStyle w:val="17"/>
        <w:tabs>
          <w:tab w:val="right" w:leader="dot" w:pos="8306"/>
        </w:tabs>
        <w:spacing w:line="480" w:lineRule="auto"/>
        <w:rPr>
          <w:sz w:val="24"/>
          <w:szCs w:val="24"/>
        </w:rPr>
      </w:pPr>
      <w:r>
        <w:rPr>
          <w:sz w:val="24"/>
          <w:szCs w:val="24"/>
        </w:rPr>
        <w:fldChar w:fldCharType="begin"/>
      </w:r>
      <w:r>
        <w:rPr>
          <w:sz w:val="24"/>
          <w:szCs w:val="24"/>
        </w:rPr>
        <w:instrText xml:space="preserve">TOC \o "1-3" \h \u </w:instrText>
      </w:r>
      <w:r>
        <w:rPr>
          <w:sz w:val="24"/>
          <w:szCs w:val="24"/>
        </w:rPr>
        <w:fldChar w:fldCharType="separate"/>
      </w:r>
      <w:r>
        <w:rPr>
          <w:sz w:val="24"/>
          <w:szCs w:val="24"/>
        </w:rPr>
        <w:fldChar w:fldCharType="begin"/>
      </w:r>
      <w:r>
        <w:rPr>
          <w:sz w:val="24"/>
          <w:szCs w:val="24"/>
        </w:rPr>
        <w:instrText xml:space="preserve"> HYPERLINK \l _Toc30387 </w:instrText>
      </w:r>
      <w:r>
        <w:rPr>
          <w:sz w:val="24"/>
          <w:szCs w:val="24"/>
        </w:rPr>
        <w:fldChar w:fldCharType="separate"/>
      </w:r>
      <w:r>
        <w:rPr>
          <w:sz w:val="24"/>
          <w:szCs w:val="24"/>
        </w:rPr>
        <w:t>一、建设项目基本情况</w:t>
      </w:r>
      <w:r>
        <w:rPr>
          <w:sz w:val="24"/>
          <w:szCs w:val="24"/>
        </w:rPr>
        <w:tab/>
      </w:r>
      <w:r>
        <w:rPr>
          <w:sz w:val="24"/>
          <w:szCs w:val="24"/>
        </w:rPr>
        <w:fldChar w:fldCharType="begin"/>
      </w:r>
      <w:r>
        <w:rPr>
          <w:sz w:val="24"/>
          <w:szCs w:val="24"/>
        </w:rPr>
        <w:instrText xml:space="preserve"> PAGEREF _Toc30387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_Toc24640 </w:instrText>
      </w:r>
      <w:r>
        <w:rPr>
          <w:sz w:val="24"/>
          <w:szCs w:val="24"/>
        </w:rPr>
        <w:fldChar w:fldCharType="separate"/>
      </w:r>
      <w:r>
        <w:rPr>
          <w:rFonts w:hint="default"/>
          <w:sz w:val="24"/>
          <w:szCs w:val="24"/>
        </w:rPr>
        <w:t>二、建设项目所在地自然环境社会环境简况</w:t>
      </w:r>
      <w:r>
        <w:rPr>
          <w:sz w:val="24"/>
          <w:szCs w:val="24"/>
        </w:rPr>
        <w:tab/>
      </w:r>
      <w:r>
        <w:rPr>
          <w:sz w:val="24"/>
          <w:szCs w:val="24"/>
        </w:rPr>
        <w:fldChar w:fldCharType="begin"/>
      </w:r>
      <w:r>
        <w:rPr>
          <w:sz w:val="24"/>
          <w:szCs w:val="24"/>
        </w:rPr>
        <w:instrText xml:space="preserve"> PAGEREF _Toc24640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_Toc26412 </w:instrText>
      </w:r>
      <w:r>
        <w:rPr>
          <w:sz w:val="24"/>
          <w:szCs w:val="24"/>
        </w:rPr>
        <w:fldChar w:fldCharType="separate"/>
      </w:r>
      <w:r>
        <w:rPr>
          <w:rFonts w:ascii="Times New Roman" w:hAnsi="Times New Roman"/>
          <w:sz w:val="24"/>
          <w:szCs w:val="24"/>
        </w:rPr>
        <w:t>三、环境质量状况</w:t>
      </w:r>
      <w:r>
        <w:rPr>
          <w:sz w:val="24"/>
          <w:szCs w:val="24"/>
        </w:rPr>
        <w:tab/>
      </w:r>
      <w:r>
        <w:rPr>
          <w:sz w:val="24"/>
          <w:szCs w:val="24"/>
        </w:rPr>
        <w:fldChar w:fldCharType="begin"/>
      </w:r>
      <w:r>
        <w:rPr>
          <w:sz w:val="24"/>
          <w:szCs w:val="24"/>
        </w:rPr>
        <w:instrText xml:space="preserve"> PAGEREF _Toc26412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_Toc23074 </w:instrText>
      </w:r>
      <w:r>
        <w:rPr>
          <w:sz w:val="24"/>
          <w:szCs w:val="24"/>
        </w:rPr>
        <w:fldChar w:fldCharType="separate"/>
      </w:r>
      <w:r>
        <w:rPr>
          <w:rFonts w:hint="eastAsia"/>
          <w:sz w:val="24"/>
          <w:szCs w:val="40"/>
          <w:lang w:val="en-US" w:eastAsia="zh-CN"/>
        </w:rPr>
        <w:t>四、</w:t>
      </w:r>
      <w:r>
        <w:rPr>
          <w:rFonts w:hint="default"/>
          <w:sz w:val="24"/>
          <w:szCs w:val="40"/>
        </w:rPr>
        <w:t>评价适用标准及总量控制指标</w:t>
      </w:r>
      <w:r>
        <w:rPr>
          <w:sz w:val="24"/>
          <w:szCs w:val="24"/>
        </w:rPr>
        <w:tab/>
      </w:r>
      <w:r>
        <w:rPr>
          <w:sz w:val="24"/>
          <w:szCs w:val="24"/>
        </w:rPr>
        <w:fldChar w:fldCharType="begin"/>
      </w:r>
      <w:r>
        <w:rPr>
          <w:sz w:val="24"/>
          <w:szCs w:val="24"/>
        </w:rPr>
        <w:instrText xml:space="preserve"> PAGEREF _Toc23074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_Toc12991 </w:instrText>
      </w:r>
      <w:r>
        <w:rPr>
          <w:sz w:val="24"/>
          <w:szCs w:val="24"/>
        </w:rPr>
        <w:fldChar w:fldCharType="separate"/>
      </w:r>
      <w:r>
        <w:rPr>
          <w:rFonts w:hint="eastAsia"/>
          <w:sz w:val="24"/>
          <w:szCs w:val="24"/>
          <w:lang w:val="en-US" w:eastAsia="zh-CN"/>
        </w:rPr>
        <w:t>五、</w:t>
      </w:r>
      <w:r>
        <w:rPr>
          <w:rFonts w:hint="default"/>
          <w:sz w:val="24"/>
          <w:szCs w:val="24"/>
        </w:rPr>
        <w:t>建设项目工程分析</w:t>
      </w:r>
      <w:r>
        <w:rPr>
          <w:sz w:val="24"/>
          <w:szCs w:val="24"/>
        </w:rPr>
        <w:tab/>
      </w:r>
      <w:r>
        <w:rPr>
          <w:sz w:val="24"/>
          <w:szCs w:val="24"/>
        </w:rPr>
        <w:fldChar w:fldCharType="begin"/>
      </w:r>
      <w:r>
        <w:rPr>
          <w:sz w:val="24"/>
          <w:szCs w:val="24"/>
        </w:rPr>
        <w:instrText xml:space="preserve"> PAGEREF _Toc12991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_Toc31318 </w:instrText>
      </w:r>
      <w:r>
        <w:rPr>
          <w:sz w:val="24"/>
          <w:szCs w:val="24"/>
        </w:rPr>
        <w:fldChar w:fldCharType="separate"/>
      </w:r>
      <w:r>
        <w:rPr>
          <w:rFonts w:hint="eastAsia"/>
          <w:sz w:val="24"/>
          <w:szCs w:val="24"/>
          <w:lang w:val="en-US" w:eastAsia="zh-CN"/>
        </w:rPr>
        <w:t>六、</w:t>
      </w:r>
      <w:r>
        <w:rPr>
          <w:rFonts w:hint="default"/>
          <w:sz w:val="24"/>
          <w:szCs w:val="24"/>
        </w:rPr>
        <w:t>项目主要污染物产生及预计排放情况</w:t>
      </w:r>
      <w:r>
        <w:rPr>
          <w:sz w:val="24"/>
          <w:szCs w:val="24"/>
        </w:rPr>
        <w:tab/>
      </w:r>
      <w:r>
        <w:rPr>
          <w:sz w:val="24"/>
          <w:szCs w:val="24"/>
        </w:rPr>
        <w:fldChar w:fldCharType="begin"/>
      </w:r>
      <w:r>
        <w:rPr>
          <w:sz w:val="24"/>
          <w:szCs w:val="24"/>
        </w:rPr>
        <w:instrText xml:space="preserve"> PAGEREF _Toc31318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_Toc15737 </w:instrText>
      </w:r>
      <w:r>
        <w:rPr>
          <w:sz w:val="24"/>
          <w:szCs w:val="24"/>
        </w:rPr>
        <w:fldChar w:fldCharType="separate"/>
      </w:r>
      <w:r>
        <w:rPr>
          <w:rFonts w:hint="eastAsia"/>
          <w:sz w:val="24"/>
          <w:szCs w:val="24"/>
          <w:lang w:val="en-US" w:eastAsia="zh-CN"/>
        </w:rPr>
        <w:t>七、</w:t>
      </w:r>
      <w:r>
        <w:rPr>
          <w:rFonts w:hint="default"/>
          <w:sz w:val="24"/>
          <w:szCs w:val="24"/>
        </w:rPr>
        <w:t>环境影响分析</w:t>
      </w:r>
      <w:r>
        <w:rPr>
          <w:sz w:val="24"/>
          <w:szCs w:val="24"/>
        </w:rPr>
        <w:tab/>
      </w:r>
      <w:r>
        <w:rPr>
          <w:sz w:val="24"/>
          <w:szCs w:val="24"/>
        </w:rPr>
        <w:fldChar w:fldCharType="begin"/>
      </w:r>
      <w:r>
        <w:rPr>
          <w:sz w:val="24"/>
          <w:szCs w:val="24"/>
        </w:rPr>
        <w:instrText xml:space="preserve"> PAGEREF _Toc15737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_Toc15309 </w:instrText>
      </w:r>
      <w:r>
        <w:rPr>
          <w:sz w:val="24"/>
          <w:szCs w:val="24"/>
        </w:rPr>
        <w:fldChar w:fldCharType="separate"/>
      </w:r>
      <w:r>
        <w:rPr>
          <w:rFonts w:hint="eastAsia"/>
          <w:bCs/>
          <w:sz w:val="24"/>
          <w:szCs w:val="24"/>
        </w:rPr>
        <w:t xml:space="preserve">八、 </w:t>
      </w:r>
      <w:r>
        <w:rPr>
          <w:bCs/>
          <w:sz w:val="24"/>
          <w:szCs w:val="24"/>
        </w:rPr>
        <w:t>建设项目拟采取的防治措施和预期治理效果</w:t>
      </w:r>
      <w:r>
        <w:rPr>
          <w:sz w:val="24"/>
          <w:szCs w:val="24"/>
        </w:rPr>
        <w:tab/>
      </w:r>
      <w:r>
        <w:rPr>
          <w:sz w:val="24"/>
          <w:szCs w:val="24"/>
        </w:rPr>
        <w:fldChar w:fldCharType="begin"/>
      </w:r>
      <w:r>
        <w:rPr>
          <w:sz w:val="24"/>
          <w:szCs w:val="24"/>
        </w:rPr>
        <w:instrText xml:space="preserve"> PAGEREF _Toc15309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7"/>
        <w:tabs>
          <w:tab w:val="right" w:leader="dot" w:pos="8306"/>
        </w:tabs>
        <w:spacing w:line="480" w:lineRule="auto"/>
        <w:rPr>
          <w:sz w:val="24"/>
          <w:szCs w:val="24"/>
        </w:rPr>
      </w:pPr>
      <w:r>
        <w:rPr>
          <w:sz w:val="24"/>
          <w:szCs w:val="24"/>
        </w:rPr>
        <w:fldChar w:fldCharType="begin"/>
      </w:r>
      <w:r>
        <w:rPr>
          <w:sz w:val="24"/>
          <w:szCs w:val="24"/>
        </w:rPr>
        <w:instrText xml:space="preserve"> HYPERLINK \l _Toc26955 </w:instrText>
      </w:r>
      <w:r>
        <w:rPr>
          <w:sz w:val="24"/>
          <w:szCs w:val="24"/>
        </w:rPr>
        <w:fldChar w:fldCharType="separate"/>
      </w:r>
      <w:r>
        <w:rPr>
          <w:rFonts w:hint="default"/>
          <w:sz w:val="24"/>
          <w:szCs w:val="24"/>
        </w:rPr>
        <w:t>九、结论与建议</w:t>
      </w:r>
      <w:r>
        <w:rPr>
          <w:sz w:val="24"/>
          <w:szCs w:val="24"/>
        </w:rPr>
        <w:tab/>
      </w:r>
      <w:r>
        <w:rPr>
          <w:sz w:val="24"/>
          <w:szCs w:val="24"/>
        </w:rPr>
        <w:fldChar w:fldCharType="begin"/>
      </w:r>
      <w:r>
        <w:rPr>
          <w:sz w:val="24"/>
          <w:szCs w:val="24"/>
        </w:rPr>
        <w:instrText xml:space="preserve"> PAGEREF _Toc26955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2"/>
        <w:spacing w:line="480" w:lineRule="auto"/>
        <w:sectPr>
          <w:footerReference r:id="rId6" w:type="default"/>
          <w:pgSz w:w="11906" w:h="16838"/>
          <w:pgMar w:top="1440" w:right="1800" w:bottom="1440" w:left="1800" w:header="851" w:footer="992" w:gutter="0"/>
          <w:cols w:space="720" w:num="1"/>
          <w:docGrid w:type="lines" w:linePitch="312" w:charSpace="0"/>
        </w:sectPr>
      </w:pPr>
      <w:r>
        <w:rPr>
          <w:sz w:val="36"/>
          <w:szCs w:val="36"/>
        </w:rPr>
        <w:fldChar w:fldCharType="end"/>
      </w:r>
    </w:p>
    <w:p>
      <w:pPr>
        <w:outlineLvl w:val="0"/>
        <w:rPr>
          <w:sz w:val="28"/>
        </w:rPr>
      </w:pPr>
      <w:bookmarkStart w:id="0" w:name="_Toc30387"/>
      <w:bookmarkStart w:id="13" w:name="_GoBack"/>
      <w:bookmarkEnd w:id="13"/>
      <w:r>
        <w:rPr>
          <w:b/>
          <w:sz w:val="28"/>
        </w:rPr>
        <w:t>一、建设项目基本情况</w:t>
      </w:r>
      <w:bookmarkEnd w:id="0"/>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486"/>
        <w:gridCol w:w="712"/>
        <w:gridCol w:w="353"/>
        <w:gridCol w:w="398"/>
        <w:gridCol w:w="1150"/>
        <w:gridCol w:w="225"/>
        <w:gridCol w:w="971"/>
        <w:gridCol w:w="938"/>
        <w:gridCol w:w="284"/>
        <w:gridCol w:w="73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right w:val="single" w:color="auto" w:sz="4" w:space="0"/>
            </w:tcBorders>
            <w:vAlign w:val="center"/>
          </w:tcPr>
          <w:p>
            <w:pPr>
              <w:jc w:val="left"/>
              <w:rPr>
                <w:b/>
                <w:bCs/>
                <w:color w:val="auto"/>
              </w:rPr>
            </w:pPr>
            <w:r>
              <w:rPr>
                <w:b/>
                <w:bCs/>
                <w:color w:val="auto"/>
              </w:rPr>
              <w:t>项目名称</w:t>
            </w:r>
          </w:p>
        </w:tc>
        <w:tc>
          <w:tcPr>
            <w:tcW w:w="8374" w:type="dxa"/>
            <w:gridSpan w:val="11"/>
            <w:tcBorders>
              <w:top w:val="single" w:color="auto" w:sz="4" w:space="0"/>
              <w:left w:val="single" w:color="auto" w:sz="4" w:space="0"/>
              <w:right w:val="single" w:color="auto" w:sz="4" w:space="0"/>
            </w:tcBorders>
            <w:vAlign w:val="center"/>
          </w:tcPr>
          <w:p>
            <w:pPr>
              <w:jc w:val="center"/>
              <w:rPr>
                <w:color w:val="auto"/>
              </w:rPr>
            </w:pPr>
            <w:r>
              <w:rPr>
                <w:rFonts w:hint="eastAsia"/>
                <w:color w:val="auto"/>
              </w:rPr>
              <w:t>苏州源顺祥新材料有限公司年增产塑料制品1500吨扩建项目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建设单位</w:t>
            </w:r>
          </w:p>
        </w:tc>
        <w:tc>
          <w:tcPr>
            <w:tcW w:w="837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苏州源顺祥新材料有限公司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法人代表</w:t>
            </w:r>
          </w:p>
        </w:tc>
        <w:tc>
          <w:tcPr>
            <w:tcW w:w="3897" w:type="dxa"/>
            <w:gridSpan w:val="5"/>
            <w:tcBorders>
              <w:top w:val="single" w:color="auto" w:sz="4" w:space="0"/>
              <w:left w:val="single" w:color="auto" w:sz="4" w:space="0"/>
              <w:bottom w:val="single" w:color="auto" w:sz="4" w:space="0"/>
              <w:right w:val="single" w:color="auto" w:sz="4" w:space="0"/>
            </w:tcBorders>
            <w:vAlign w:val="center"/>
          </w:tcPr>
          <w:p>
            <w:pPr>
              <w:ind w:firstLine="1440" w:firstLineChars="600"/>
              <w:rPr>
                <w:rFonts w:hint="eastAsia" w:eastAsia="宋体"/>
                <w:color w:val="auto"/>
                <w:lang w:val="en-US" w:eastAsia="zh-CN"/>
              </w:rPr>
            </w:pPr>
            <w:r>
              <w:rPr>
                <w:rFonts w:hint="eastAsia"/>
                <w:color w:val="auto"/>
                <w:lang w:val="en-US" w:eastAsia="zh-CN"/>
              </w:rPr>
              <w:t>徐丽芳</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联系人</w:t>
            </w:r>
          </w:p>
        </w:tc>
        <w:tc>
          <w:tcPr>
            <w:tcW w:w="320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赵红明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通讯地址</w:t>
            </w:r>
          </w:p>
        </w:tc>
        <w:tc>
          <w:tcPr>
            <w:tcW w:w="837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苏州高新区浒关分区东金芝路56号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联系电话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13806212032</w:t>
            </w:r>
          </w:p>
        </w:tc>
        <w:tc>
          <w:tcPr>
            <w:tcW w:w="1574"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传真</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邮政编码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建设地点</w:t>
            </w:r>
          </w:p>
        </w:tc>
        <w:tc>
          <w:tcPr>
            <w:tcW w:w="8374" w:type="dxa"/>
            <w:gridSpan w:val="11"/>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苏州高新区浒关分区东金芝路56号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立项审批部门</w:t>
            </w:r>
          </w:p>
        </w:tc>
        <w:tc>
          <w:tcPr>
            <w:tcW w:w="389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苏州高新区（虎丘区）行政审批局</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批准文号</w:t>
            </w:r>
          </w:p>
        </w:tc>
        <w:tc>
          <w:tcPr>
            <w:tcW w:w="320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苏高新项备〔2020〕134号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建设性质</w:t>
            </w:r>
          </w:p>
        </w:tc>
        <w:tc>
          <w:tcPr>
            <w:tcW w:w="38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 xml:space="preserve">新建  </w:t>
            </w:r>
            <w:r>
              <w:rPr>
                <w:b/>
                <w:color w:val="auto"/>
              </w:rPr>
              <w:t>√</w:t>
            </w:r>
            <w:r>
              <w:rPr>
                <w:color w:val="auto"/>
              </w:rPr>
              <w:t>改</w:t>
            </w:r>
            <w:r>
              <w:rPr>
                <w:rFonts w:hint="eastAsia"/>
                <w:color w:val="auto"/>
                <w:lang w:eastAsia="zh-CN"/>
              </w:rPr>
              <w:t>、</w:t>
            </w:r>
            <w:r>
              <w:rPr>
                <w:rFonts w:hint="eastAsia"/>
                <w:color w:val="auto"/>
                <w:lang w:val="en-US" w:eastAsia="zh-CN"/>
              </w:rPr>
              <w:t>扩</w:t>
            </w:r>
            <w:r>
              <w:rPr>
                <w:color w:val="auto"/>
              </w:rPr>
              <w:t>建  迁建</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行业类别</w:t>
            </w:r>
          </w:p>
          <w:p>
            <w:pPr>
              <w:jc w:val="center"/>
              <w:rPr>
                <w:color w:val="auto"/>
              </w:rPr>
            </w:pPr>
            <w:r>
              <w:rPr>
                <w:b/>
                <w:bCs/>
                <w:color w:val="auto"/>
              </w:rPr>
              <w:t>及代码</w:t>
            </w:r>
          </w:p>
        </w:tc>
        <w:tc>
          <w:tcPr>
            <w:tcW w:w="320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C2929塑料零件及其他塑料制品制造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占地面积(平方米)</w:t>
            </w:r>
          </w:p>
        </w:tc>
        <w:tc>
          <w:tcPr>
            <w:tcW w:w="389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1000</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绿化面积(平方米)</w:t>
            </w:r>
          </w:p>
        </w:tc>
        <w:tc>
          <w:tcPr>
            <w:tcW w:w="320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依托租赁房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总投资</w:t>
            </w:r>
          </w:p>
          <w:p>
            <w:pPr>
              <w:jc w:val="center"/>
              <w:rPr>
                <w:b/>
                <w:bCs/>
                <w:color w:val="auto"/>
              </w:rPr>
            </w:pPr>
            <w:r>
              <w:rPr>
                <w:b/>
                <w:bCs/>
                <w:color w:val="auto"/>
              </w:rPr>
              <w:t>(万元)</w:t>
            </w:r>
          </w:p>
        </w:tc>
        <w:tc>
          <w:tcPr>
            <w:tcW w:w="20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50</w:t>
            </w:r>
          </w:p>
        </w:tc>
        <w:tc>
          <w:tcPr>
            <w:tcW w:w="1895"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其中：环保投资（万元）</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lang w:val="en-US" w:eastAsia="zh-CN"/>
              </w:rPr>
            </w:pPr>
            <w:r>
              <w:rPr>
                <w:rFonts w:hint="eastAsia"/>
                <w:color w:val="auto"/>
                <w:lang w:val="en-US" w:eastAsia="zh-CN"/>
              </w:rPr>
              <w:t>5</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环保投资占总投资比例</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评价经费</w:t>
            </w:r>
          </w:p>
          <w:p>
            <w:pPr>
              <w:jc w:val="center"/>
              <w:rPr>
                <w:b/>
                <w:bCs/>
                <w:color w:val="auto"/>
              </w:rPr>
            </w:pPr>
            <w:r>
              <w:rPr>
                <w:b/>
                <w:bCs/>
                <w:color w:val="auto"/>
              </w:rPr>
              <w:t>(万元)</w:t>
            </w:r>
          </w:p>
        </w:tc>
        <w:tc>
          <w:tcPr>
            <w:tcW w:w="2002" w:type="dxa"/>
            <w:gridSpan w:val="2"/>
            <w:tcBorders>
              <w:top w:val="single" w:color="auto" w:sz="4" w:space="0"/>
              <w:left w:val="single" w:color="auto" w:sz="4" w:space="0"/>
              <w:bottom w:val="single" w:color="auto" w:sz="4" w:space="0"/>
              <w:right w:val="single" w:color="auto" w:sz="4" w:space="0"/>
            </w:tcBorders>
            <w:vAlign w:val="center"/>
          </w:tcPr>
          <w:p>
            <w:pPr>
              <w:tabs>
                <w:tab w:val="left" w:pos="297"/>
                <w:tab w:val="center" w:pos="486"/>
              </w:tabs>
              <w:jc w:val="center"/>
              <w:rPr>
                <w:color w:val="auto"/>
              </w:rPr>
            </w:pPr>
            <w:r>
              <w:rPr>
                <w:color w:val="auto"/>
              </w:rPr>
              <w:t>—</w:t>
            </w:r>
          </w:p>
        </w:tc>
        <w:tc>
          <w:tcPr>
            <w:tcW w:w="1895"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auto"/>
              </w:rPr>
            </w:pPr>
            <w:r>
              <w:rPr>
                <w:b/>
                <w:bCs/>
                <w:color w:val="auto"/>
              </w:rPr>
              <w:t>预期投产</w:t>
            </w:r>
          </w:p>
          <w:p>
            <w:pPr>
              <w:jc w:val="center"/>
              <w:rPr>
                <w:b/>
                <w:bCs/>
                <w:color w:val="auto"/>
              </w:rPr>
            </w:pPr>
            <w:r>
              <w:rPr>
                <w:b/>
                <w:bCs/>
                <w:color w:val="auto"/>
              </w:rPr>
              <w:t>日期</w:t>
            </w:r>
          </w:p>
        </w:tc>
        <w:tc>
          <w:tcPr>
            <w:tcW w:w="4477" w:type="dxa"/>
            <w:gridSpan w:val="6"/>
            <w:tcBorders>
              <w:top w:val="single" w:color="auto" w:sz="4" w:space="0"/>
              <w:left w:val="single" w:color="auto" w:sz="4" w:space="0"/>
              <w:bottom w:val="single" w:color="auto" w:sz="4" w:space="0"/>
              <w:right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2"/>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1.原辅材料（包括名称、用量）及主要设施规格、数量（包括锅炉、发电机等）</w:t>
            </w:r>
          </w:p>
          <w:p>
            <w:pPr>
              <w:pStyle w:val="51"/>
              <w:jc w:val="left"/>
              <w:rPr>
                <w:rFonts w:ascii="Times New Roman" w:hAnsi="Times New Roman" w:eastAsia="宋体"/>
                <w:b/>
                <w:bCs/>
                <w:color w:val="auto"/>
              </w:rPr>
            </w:pPr>
            <w:r>
              <w:rPr>
                <w:rFonts w:ascii="Times New Roman" w:hAnsi="Times New Roman" w:eastAsia="宋体"/>
                <w:b/>
                <w:bCs/>
                <w:color w:val="auto"/>
              </w:rPr>
              <w:t>主要原辅材料：</w:t>
            </w:r>
            <w:r>
              <w:rPr>
                <w:rFonts w:ascii="Times New Roman" w:hAnsi="Times New Roman" w:eastAsia="宋体"/>
                <w:color w:val="auto"/>
              </w:rPr>
              <w:t>详细原辅材料见表1-1。</w:t>
            </w:r>
          </w:p>
          <w:p>
            <w:pPr>
              <w:pStyle w:val="51"/>
              <w:rPr>
                <w:rFonts w:ascii="Times New Roman" w:hAnsi="Times New Roman" w:eastAsia="宋体"/>
                <w:b/>
                <w:bCs/>
                <w:color w:val="auto"/>
              </w:rPr>
            </w:pPr>
            <w:r>
              <w:rPr>
                <w:rFonts w:ascii="Times New Roman" w:hAnsi="Times New Roman" w:eastAsia="宋体"/>
                <w:b/>
                <w:bCs/>
                <w:color w:val="auto"/>
              </w:rPr>
              <w:t>表1-1  主要原辅材料名称及用量</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372"/>
              <w:gridCol w:w="2091"/>
              <w:gridCol w:w="1405"/>
              <w:gridCol w:w="1295"/>
              <w:gridCol w:w="1023"/>
              <w:gridCol w:w="1009"/>
              <w:gridCol w:w="12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72"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原辅材料名称</w:t>
                  </w:r>
                </w:p>
              </w:tc>
              <w:tc>
                <w:tcPr>
                  <w:tcW w:w="2091"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成分</w:t>
                  </w:r>
                </w:p>
              </w:tc>
              <w:tc>
                <w:tcPr>
                  <w:tcW w:w="1405"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扩建前</w:t>
                  </w:r>
                </w:p>
              </w:tc>
              <w:tc>
                <w:tcPr>
                  <w:tcW w:w="1295"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扩建后</w:t>
                  </w:r>
                </w:p>
              </w:tc>
              <w:tc>
                <w:tcPr>
                  <w:tcW w:w="1023"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变化量</w:t>
                  </w:r>
                </w:p>
              </w:tc>
              <w:tc>
                <w:tcPr>
                  <w:tcW w:w="1009"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最大库存</w:t>
                  </w:r>
                </w:p>
              </w:tc>
              <w:tc>
                <w:tcPr>
                  <w:tcW w:w="1227" w:type="dxa"/>
                  <w:noWrap w:val="0"/>
                  <w:vAlign w:val="center"/>
                </w:tcPr>
                <w:p>
                  <w:pPr>
                    <w:wordWrap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产地运输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PE粒子</w:t>
                  </w:r>
                </w:p>
              </w:tc>
              <w:tc>
                <w:tcPr>
                  <w:tcW w:w="2091" w:type="dxa"/>
                  <w:noWrap w:val="0"/>
                  <w:vAlign w:val="center"/>
                </w:tcPr>
                <w:p>
                  <w:pPr>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塑料粒子</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1480吨</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2</w:t>
                  </w:r>
                  <w:r>
                    <w:rPr>
                      <w:rFonts w:hint="eastAsia"/>
                      <w:sz w:val="21"/>
                      <w:lang w:val="en-US" w:eastAsia="zh-CN"/>
                    </w:rPr>
                    <w:t>9</w:t>
                  </w:r>
                  <w:r>
                    <w:rPr>
                      <w:sz w:val="21"/>
                    </w:rPr>
                    <w:t>60吨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sz w:val="21"/>
                      <w:lang w:val="en-US" w:eastAsia="zh-CN"/>
                    </w:rPr>
                    <w:t>14</w:t>
                  </w:r>
                  <w:r>
                    <w:rPr>
                      <w:sz w:val="21"/>
                    </w:rPr>
                    <w:t>80吨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30吨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PE弹性体粒子</w:t>
                  </w:r>
                </w:p>
              </w:tc>
              <w:tc>
                <w:tcPr>
                  <w:tcW w:w="2091" w:type="dxa"/>
                  <w:noWrap w:val="0"/>
                  <w:vAlign w:val="center"/>
                </w:tcPr>
                <w:p>
                  <w:pPr>
                    <w:pStyle w:val="35"/>
                    <w:widowControl/>
                    <w:numPr>
                      <w:ilvl w:val="0"/>
                      <w:numId w:val="0"/>
                    </w:numPr>
                    <w:spacing w:line="240" w:lineRule="auto"/>
                    <w:ind w:left="0" w:leftChars="0" w:firstLine="420" w:firstLineChars="200"/>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sz w:val="21"/>
                      <w:szCs w:val="21"/>
                      <w:lang w:val="en-US" w:eastAsia="zh-CN"/>
                    </w:rPr>
                    <w:t>TPE，塑料粒子</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12吨</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24吨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12吨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4吨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PE色料粒子</w:t>
                  </w:r>
                </w:p>
              </w:tc>
              <w:tc>
                <w:tcPr>
                  <w:tcW w:w="2091" w:type="dxa"/>
                  <w:noWrap w:val="0"/>
                  <w:vAlign w:val="center"/>
                </w:tcPr>
                <w:p>
                  <w:pPr>
                    <w:pStyle w:val="35"/>
                    <w:widowControl/>
                    <w:spacing w:line="240" w:lineRule="auto"/>
                    <w:ind w:firstLine="420" w:firstLineChars="0"/>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sz w:val="21"/>
                      <w:szCs w:val="21"/>
                      <w:lang w:val="en-US" w:eastAsia="zh-CN"/>
                    </w:rPr>
                    <w:t>塑料粒子</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8吨</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16吨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8吨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包装</w:t>
                  </w:r>
                </w:p>
              </w:tc>
              <w:tc>
                <w:tcPr>
                  <w:tcW w:w="2091" w:type="dxa"/>
                  <w:noWrap w:val="0"/>
                  <w:vAlign w:val="center"/>
                </w:tcPr>
                <w:p>
                  <w:pPr>
                    <w:pStyle w:val="35"/>
                    <w:widowControl/>
                    <w:spacing w:line="240" w:lineRule="auto"/>
                    <w:ind w:firstLine="420" w:firstLineChars="0"/>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sz w:val="21"/>
                      <w:szCs w:val="21"/>
                      <w:lang w:val="en-US" w:eastAsia="zh-CN"/>
                    </w:rPr>
                    <w:t>/</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3吨</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6吨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1吨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EVA</w:t>
                  </w:r>
                </w:p>
              </w:tc>
              <w:tc>
                <w:tcPr>
                  <w:tcW w:w="2091" w:type="dxa"/>
                  <w:noWrap w:val="0"/>
                  <w:vAlign w:val="center"/>
                </w:tcPr>
                <w:p>
                  <w:pPr>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塑料粒子</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500吨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500吨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30吨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242" w:hRule="atLeast"/>
                <w:jc w:val="center"/>
              </w:trPr>
              <w:tc>
                <w:tcPr>
                  <w:tcW w:w="1372"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填充物</w:t>
                  </w:r>
                </w:p>
              </w:tc>
              <w:tc>
                <w:tcPr>
                  <w:tcW w:w="2091" w:type="dxa"/>
                  <w:noWrap w:val="0"/>
                  <w:vAlign w:val="center"/>
                </w:tcPr>
                <w:p>
                  <w:pPr>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碳酸钙</w:t>
                  </w:r>
                </w:p>
              </w:tc>
              <w:tc>
                <w:tcPr>
                  <w:tcW w:w="140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295"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300吨</w:t>
                  </w:r>
                </w:p>
              </w:tc>
              <w:tc>
                <w:tcPr>
                  <w:tcW w:w="1023"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300吨</w:t>
                  </w:r>
                </w:p>
              </w:tc>
              <w:tc>
                <w:tcPr>
                  <w:tcW w:w="100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20吨</w:t>
                  </w:r>
                </w:p>
              </w:tc>
              <w:tc>
                <w:tcPr>
                  <w:tcW w:w="1227"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国内汽运</w:t>
                  </w:r>
                </w:p>
              </w:tc>
            </w:tr>
          </w:tbl>
          <w:p>
            <w:pPr>
              <w:pStyle w:val="51"/>
              <w:jc w:val="left"/>
              <w:rPr>
                <w:rFonts w:ascii="Times New Roman" w:hAnsi="Times New Roman" w:eastAsia="宋体"/>
                <w:b/>
                <w:bCs/>
                <w:color w:val="auto"/>
              </w:rPr>
            </w:pPr>
          </w:p>
          <w:p>
            <w:pPr>
              <w:pStyle w:val="51"/>
              <w:jc w:val="left"/>
              <w:rPr>
                <w:rFonts w:ascii="Times New Roman" w:hAnsi="Times New Roman" w:eastAsia="宋体"/>
                <w:b/>
                <w:bCs/>
                <w:color w:val="auto"/>
              </w:rPr>
            </w:pPr>
          </w:p>
          <w:p>
            <w:pPr>
              <w:pStyle w:val="51"/>
              <w:jc w:val="left"/>
              <w:rPr>
                <w:rFonts w:ascii="Times New Roman" w:hAnsi="Times New Roman" w:eastAsia="宋体"/>
                <w:b/>
                <w:bCs/>
                <w:color w:val="auto"/>
              </w:rPr>
            </w:pPr>
          </w:p>
          <w:p>
            <w:pPr>
              <w:pStyle w:val="51"/>
              <w:jc w:val="left"/>
              <w:rPr>
                <w:color w:val="auto"/>
              </w:rPr>
            </w:pPr>
            <w:r>
              <w:rPr>
                <w:rFonts w:ascii="Times New Roman" w:hAnsi="Times New Roman" w:eastAsia="宋体"/>
                <w:b/>
                <w:bCs/>
                <w:color w:val="auto"/>
              </w:rPr>
              <w:t>主要生产设备：</w:t>
            </w:r>
            <w:r>
              <w:rPr>
                <w:rFonts w:ascii="Times New Roman" w:hAnsi="Times New Roman" w:eastAsia="宋体"/>
                <w:color w:val="auto"/>
              </w:rPr>
              <w:t>详细生产设备见表1-2。</w:t>
            </w:r>
          </w:p>
          <w:p>
            <w:pPr>
              <w:pStyle w:val="51"/>
              <w:rPr>
                <w:rFonts w:ascii="Times New Roman" w:hAnsi="Times New Roman" w:eastAsia="宋体"/>
                <w:b/>
                <w:bCs/>
                <w:color w:val="auto"/>
              </w:rPr>
            </w:pPr>
            <w:r>
              <w:rPr>
                <w:rFonts w:ascii="Times New Roman" w:hAnsi="Times New Roman" w:eastAsia="宋体"/>
                <w:b/>
                <w:bCs/>
                <w:color w:val="auto"/>
              </w:rPr>
              <w:t>表1-2  主要设施设备规格及数量</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2600"/>
              <w:gridCol w:w="2659"/>
              <w:gridCol w:w="934"/>
              <w:gridCol w:w="934"/>
              <w:gridCol w:w="936"/>
              <w:gridCol w:w="9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33" w:type="dxa"/>
                  <w:vMerge w:val="restart"/>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600" w:type="dxa"/>
                  <w:vMerge w:val="restart"/>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2659" w:type="dxa"/>
                  <w:vMerge w:val="restart"/>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规模型号</w:t>
                  </w:r>
                </w:p>
              </w:tc>
              <w:tc>
                <w:tcPr>
                  <w:tcW w:w="2804" w:type="dxa"/>
                  <w:gridSpan w:val="3"/>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数量（台）</w:t>
                  </w:r>
                </w:p>
              </w:tc>
              <w:tc>
                <w:tcPr>
                  <w:tcW w:w="926" w:type="dxa"/>
                  <w:vMerge w:val="restart"/>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产地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vMerge w:val="continue"/>
                  <w:noWrap w:val="0"/>
                  <w:vAlign w:val="center"/>
                </w:tcPr>
                <w:p>
                  <w:pPr>
                    <w:spacing w:line="240" w:lineRule="auto"/>
                    <w:jc w:val="center"/>
                    <w:rPr>
                      <w:rFonts w:hint="default" w:ascii="Times New Roman" w:hAnsi="Times New Roman" w:cs="Times New Roman"/>
                      <w:sz w:val="21"/>
                      <w:szCs w:val="21"/>
                    </w:rPr>
                  </w:pPr>
                </w:p>
              </w:tc>
              <w:tc>
                <w:tcPr>
                  <w:tcW w:w="2600" w:type="dxa"/>
                  <w:vMerge w:val="continue"/>
                  <w:noWrap w:val="0"/>
                  <w:vAlign w:val="center"/>
                </w:tcPr>
                <w:p>
                  <w:pPr>
                    <w:spacing w:line="240" w:lineRule="auto"/>
                    <w:jc w:val="center"/>
                    <w:rPr>
                      <w:rFonts w:hint="default" w:ascii="Times New Roman" w:hAnsi="Times New Roman" w:cs="Times New Roman"/>
                      <w:sz w:val="21"/>
                      <w:szCs w:val="21"/>
                    </w:rPr>
                  </w:pPr>
                </w:p>
              </w:tc>
              <w:tc>
                <w:tcPr>
                  <w:tcW w:w="2659" w:type="dxa"/>
                  <w:vMerge w:val="continue"/>
                  <w:noWrap w:val="0"/>
                  <w:vAlign w:val="center"/>
                </w:tcPr>
                <w:p>
                  <w:pPr>
                    <w:spacing w:line="240" w:lineRule="auto"/>
                    <w:jc w:val="center"/>
                    <w:rPr>
                      <w:rFonts w:hint="default" w:ascii="Times New Roman" w:hAnsi="Times New Roman" w:cs="Times New Roman"/>
                      <w:sz w:val="21"/>
                      <w:szCs w:val="21"/>
                    </w:rPr>
                  </w:pPr>
                </w:p>
              </w:tc>
              <w:tc>
                <w:tcPr>
                  <w:tcW w:w="934"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扩建前</w:t>
                  </w:r>
                </w:p>
              </w:tc>
              <w:tc>
                <w:tcPr>
                  <w:tcW w:w="934"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扩建后</w:t>
                  </w:r>
                </w:p>
              </w:tc>
              <w:tc>
                <w:tcPr>
                  <w:tcW w:w="936"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变化量</w:t>
                  </w:r>
                </w:p>
              </w:tc>
              <w:tc>
                <w:tcPr>
                  <w:tcW w:w="926" w:type="dxa"/>
                  <w:vMerge w:val="continue"/>
                  <w:noWrap w:val="0"/>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600"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捏合机（混料）</w:t>
                  </w:r>
                </w:p>
              </w:tc>
              <w:tc>
                <w:tcPr>
                  <w:tcW w:w="265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立式</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2</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w:t>
                  </w:r>
                </w:p>
              </w:tc>
              <w:tc>
                <w:tcPr>
                  <w:tcW w:w="936"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sz w:val="21"/>
                      <w:lang w:val="en-US" w:eastAsia="zh-CN"/>
                    </w:rPr>
                    <w:t>+</w:t>
                  </w:r>
                  <w:r>
                    <w:rPr>
                      <w:sz w:val="21"/>
                    </w:rPr>
                    <w:t>1</w:t>
                  </w:r>
                </w:p>
              </w:tc>
              <w:tc>
                <w:tcPr>
                  <w:tcW w:w="926" w:type="dxa"/>
                  <w:noWrap w:val="0"/>
                  <w:vAlign w:val="center"/>
                </w:tcPr>
                <w:p>
                  <w:pPr>
                    <w:widowControl/>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徐州恭乐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600"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单螺杆挤出成型机</w:t>
                  </w:r>
                </w:p>
              </w:tc>
              <w:tc>
                <w:tcPr>
                  <w:tcW w:w="265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CH-100</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2</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3</w:t>
                  </w:r>
                </w:p>
              </w:tc>
              <w:tc>
                <w:tcPr>
                  <w:tcW w:w="936"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sz w:val="21"/>
                      <w:lang w:val="en-US" w:eastAsia="zh-CN"/>
                    </w:rPr>
                    <w:t>+1</w:t>
                  </w:r>
                </w:p>
              </w:tc>
              <w:tc>
                <w:tcPr>
                  <w:tcW w:w="926" w:type="dxa"/>
                  <w:noWrap w:val="0"/>
                  <w:vAlign w:val="center"/>
                </w:tcPr>
                <w:p>
                  <w:pPr>
                    <w:widowControl/>
                    <w:spacing w:line="240" w:lineRule="auto"/>
                    <w:jc w:val="center"/>
                    <w:textAlignment w:val="baseline"/>
                    <w:rPr>
                      <w:rFonts w:hint="default" w:ascii="Times New Roman" w:hAnsi="Times New Roman" w:eastAsia="宋体" w:cs="Times New Roman"/>
                      <w:kern w:val="2"/>
                      <w:sz w:val="21"/>
                      <w:szCs w:val="21"/>
                      <w:lang w:val="en-US" w:eastAsia="zh-CN" w:bidi="ar-SA"/>
                    </w:rPr>
                  </w:pPr>
                  <w:r>
                    <w:rPr>
                      <w:sz w:val="21"/>
                    </w:rPr>
                    <w:t>徐州恭乐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600"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双螺杆挤出成型机</w:t>
                  </w:r>
                </w:p>
              </w:tc>
              <w:tc>
                <w:tcPr>
                  <w:tcW w:w="265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936"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926" w:type="dxa"/>
                  <w:noWrap w:val="0"/>
                  <w:vAlign w:val="center"/>
                </w:tcPr>
                <w:p>
                  <w:pPr>
                    <w:widowControl/>
                    <w:spacing w:line="240" w:lineRule="auto"/>
                    <w:jc w:val="center"/>
                    <w:textAlignment w:val="baseline"/>
                    <w:rPr>
                      <w:rFonts w:hint="default" w:ascii="Times New Roman" w:hAnsi="Times New Roman" w:eastAsia="宋体" w:cs="Times New Roman"/>
                      <w:kern w:val="0"/>
                      <w:sz w:val="21"/>
                      <w:szCs w:val="21"/>
                      <w:lang w:val="en-US" w:eastAsia="zh-CN" w:bidi="ar-SA"/>
                    </w:rPr>
                  </w:pPr>
                  <w:r>
                    <w:rPr>
                      <w:sz w:val="21"/>
                    </w:rPr>
                    <w:t>徐州恭乐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600"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空压机</w:t>
                  </w:r>
                </w:p>
              </w:tc>
              <w:tc>
                <w:tcPr>
                  <w:tcW w:w="265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RGPA-10</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1</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936"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926" w:type="dxa"/>
                  <w:noWrap w:val="0"/>
                  <w:vAlign w:val="center"/>
                </w:tcPr>
                <w:p>
                  <w:pPr>
                    <w:widowControl/>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600"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冷却塔</w:t>
                  </w:r>
                </w:p>
              </w:tc>
              <w:tc>
                <w:tcPr>
                  <w:tcW w:w="2659"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2t/h</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Style w:val="105"/>
                      <w:rFonts w:ascii="Times New Roman" w:hAnsi="Times New Roman" w:eastAsia="宋体"/>
                      <w:kern w:val="2"/>
                      <w:sz w:val="21"/>
                      <w:szCs w:val="21"/>
                      <w:lang w:val="en-US" w:eastAsia="zh-CN" w:bidi="ar-SA"/>
                    </w:rPr>
                    <w:t>1</w:t>
                  </w:r>
                </w:p>
              </w:tc>
              <w:tc>
                <w:tcPr>
                  <w:tcW w:w="934"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936" w:type="dxa"/>
                  <w:noWrap w:val="0"/>
                  <w:vAlign w:val="center"/>
                </w:tcPr>
                <w:p>
                  <w:pPr>
                    <w:snapToGrid w:val="0"/>
                    <w:spacing w:line="240" w:lineRule="auto"/>
                    <w:jc w:val="center"/>
                    <w:textAlignment w:val="baseline"/>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926" w:type="dxa"/>
                  <w:noWrap w:val="0"/>
                  <w:vAlign w:val="center"/>
                </w:tcPr>
                <w:p>
                  <w:pPr>
                    <w:widowControl/>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r>
          </w:tbl>
          <w:p>
            <w:pP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2"/>
            <w:tcBorders>
              <w:top w:val="single" w:color="auto" w:sz="4" w:space="0"/>
              <w:left w:val="single" w:color="auto" w:sz="4" w:space="0"/>
              <w:bottom w:val="single" w:color="auto" w:sz="4" w:space="0"/>
              <w:right w:val="single" w:color="auto" w:sz="4" w:space="0"/>
            </w:tcBorders>
            <w:vAlign w:val="center"/>
          </w:tcPr>
          <w:p>
            <w:pPr>
              <w:rPr>
                <w:b/>
                <w:bCs/>
                <w:color w:val="auto"/>
                <w:szCs w:val="21"/>
              </w:rPr>
            </w:pPr>
            <w:bookmarkStart w:id="1" w:name="_Hlk12440800"/>
            <w:r>
              <w:rPr>
                <w:b/>
                <w:bCs/>
                <w:color w:val="auto"/>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617" w:type="dxa"/>
            <w:gridSpan w:val="2"/>
            <w:vMerge w:val="restart"/>
            <w:tcBorders>
              <w:top w:val="single" w:color="auto" w:sz="4" w:space="0"/>
              <w:left w:val="single" w:color="auto" w:sz="4" w:space="0"/>
              <w:right w:val="single" w:color="auto" w:sz="4" w:space="0"/>
            </w:tcBorders>
            <w:vAlign w:val="center"/>
          </w:tcPr>
          <w:p>
            <w:pPr>
              <w:jc w:val="center"/>
              <w:rPr>
                <w:bCs/>
                <w:color w:val="auto"/>
                <w:szCs w:val="21"/>
              </w:rPr>
            </w:pPr>
            <w:r>
              <w:rPr>
                <w:bCs/>
                <w:color w:val="auto"/>
                <w:szCs w:val="21"/>
              </w:rPr>
              <w:t>名称</w:t>
            </w:r>
          </w:p>
        </w:tc>
        <w:tc>
          <w:tcPr>
            <w:tcW w:w="2751" w:type="dxa"/>
            <w:gridSpan w:val="5"/>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消耗量</w:t>
            </w:r>
          </w:p>
        </w:tc>
        <w:tc>
          <w:tcPr>
            <w:tcW w:w="2093" w:type="dxa"/>
            <w:gridSpan w:val="2"/>
            <w:vMerge w:val="restart"/>
            <w:tcBorders>
              <w:top w:val="single" w:color="auto" w:sz="4" w:space="0"/>
              <w:left w:val="single" w:color="auto" w:sz="4" w:space="0"/>
              <w:right w:val="single" w:color="auto" w:sz="4" w:space="0"/>
            </w:tcBorders>
            <w:vAlign w:val="center"/>
          </w:tcPr>
          <w:p>
            <w:pPr>
              <w:jc w:val="center"/>
              <w:rPr>
                <w:bCs/>
                <w:color w:val="auto"/>
                <w:szCs w:val="21"/>
              </w:rPr>
            </w:pPr>
            <w:r>
              <w:rPr>
                <w:bCs/>
                <w:color w:val="auto"/>
                <w:szCs w:val="21"/>
              </w:rPr>
              <w:t>名称</w:t>
            </w:r>
          </w:p>
        </w:tc>
        <w:tc>
          <w:tcPr>
            <w:tcW w:w="2177" w:type="dxa"/>
            <w:gridSpan w:val="3"/>
            <w:tcBorders>
              <w:top w:val="single" w:color="auto" w:sz="4" w:space="0"/>
              <w:left w:val="single" w:color="auto" w:sz="4" w:space="0"/>
              <w:right w:val="single" w:color="auto" w:sz="4" w:space="0"/>
            </w:tcBorders>
            <w:vAlign w:val="center"/>
          </w:tcPr>
          <w:p>
            <w:pPr>
              <w:jc w:val="center"/>
              <w:rPr>
                <w:bCs/>
                <w:color w:val="auto"/>
                <w:szCs w:val="21"/>
              </w:rPr>
            </w:pPr>
            <w:r>
              <w:rPr>
                <w:bCs/>
                <w:color w:val="auto"/>
                <w:szCs w:val="21"/>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617" w:type="dxa"/>
            <w:gridSpan w:val="2"/>
            <w:vMerge w:val="continue"/>
            <w:tcBorders>
              <w:left w:val="single" w:color="auto" w:sz="4" w:space="0"/>
              <w:bottom w:val="single" w:color="auto" w:sz="4" w:space="0"/>
              <w:right w:val="single" w:color="auto" w:sz="4" w:space="0"/>
            </w:tcBorders>
            <w:vAlign w:val="center"/>
          </w:tcPr>
          <w:p>
            <w:pPr>
              <w:jc w:val="center"/>
            </w:pP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扩建前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扩建后</w:t>
            </w:r>
          </w:p>
        </w:tc>
        <w:tc>
          <w:tcPr>
            <w:tcW w:w="2093" w:type="dxa"/>
            <w:gridSpan w:val="2"/>
            <w:vMerge w:val="continue"/>
            <w:tcBorders>
              <w:left w:val="single" w:color="auto" w:sz="4" w:space="0"/>
              <w:bottom w:val="single" w:color="auto" w:sz="4" w:space="0"/>
              <w:right w:val="single" w:color="auto" w:sz="4" w:space="0"/>
            </w:tcBorders>
            <w:vAlign w:val="center"/>
          </w:tcPr>
          <w:p>
            <w:pPr>
              <w:jc w:val="center"/>
              <w:rPr>
                <w:bCs/>
                <w:color w:val="auto"/>
                <w:szCs w:val="21"/>
              </w:rPr>
            </w:pPr>
          </w:p>
        </w:tc>
        <w:tc>
          <w:tcPr>
            <w:tcW w:w="1088" w:type="dxa"/>
            <w:gridSpan w:val="2"/>
            <w:tcBorders>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扩建前</w:t>
            </w:r>
          </w:p>
        </w:tc>
        <w:tc>
          <w:tcPr>
            <w:tcW w:w="1089" w:type="dxa"/>
            <w:tcBorders>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扩建后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7"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水（立方米/年）</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auto"/>
                <w:szCs w:val="21"/>
                <w:lang w:val="en-US" w:eastAsia="zh-CN"/>
              </w:rPr>
            </w:pPr>
            <w:r>
              <w:rPr>
                <w:rFonts w:hint="eastAsia"/>
                <w:bCs/>
                <w:color w:val="auto"/>
                <w:szCs w:val="21"/>
                <w:lang w:val="en-US" w:eastAsia="zh-CN"/>
              </w:rPr>
              <w:t>350</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auto"/>
                <w:szCs w:val="21"/>
                <w:lang w:val="en-US" w:eastAsia="zh-CN"/>
              </w:rPr>
            </w:pPr>
            <w:r>
              <w:rPr>
                <w:rFonts w:hint="eastAsia"/>
                <w:bCs/>
                <w:color w:val="auto"/>
                <w:szCs w:val="21"/>
                <w:lang w:val="en-US" w:eastAsia="zh-CN"/>
              </w:rPr>
              <w:t>570</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燃油（吨/年）</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7"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电（万度/年）</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auto"/>
                <w:szCs w:val="21"/>
                <w:lang w:val="en-US" w:eastAsia="zh-CN"/>
              </w:rPr>
            </w:pPr>
            <w:r>
              <w:rPr>
                <w:rFonts w:hint="eastAsia"/>
                <w:bCs/>
                <w:color w:val="auto"/>
                <w:szCs w:val="21"/>
                <w:lang w:val="en-US" w:eastAsia="zh-CN"/>
              </w:rPr>
              <w:t>50</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auto"/>
                <w:szCs w:val="21"/>
                <w:lang w:val="en-US" w:eastAsia="zh-CN"/>
              </w:rPr>
            </w:pPr>
            <w:r>
              <w:rPr>
                <w:rFonts w:hint="eastAsia"/>
                <w:bCs/>
                <w:color w:val="auto"/>
                <w:szCs w:val="21"/>
                <w:lang w:val="en-US" w:eastAsia="zh-CN"/>
              </w:rPr>
              <w:t>100</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燃气（标立方米/年）</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7"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燃煤(吨/年)</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bCs/>
                <w:color w:val="auto"/>
                <w:szCs w:val="21"/>
              </w:rPr>
              <w:t>其它</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jc w:val="center"/>
              <w:rPr>
                <w:bCs/>
                <w:color w:val="auto"/>
                <w:szCs w:val="21"/>
              </w:rPr>
            </w:pPr>
            <w:r>
              <w:rPr>
                <w:rFonts w:hint="eastAsia"/>
                <w:bCs/>
                <w:color w:val="auto"/>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auto"/>
                <w:szCs w:val="21"/>
                <w:lang w:val="en-US" w:eastAsia="zh-CN"/>
              </w:rPr>
            </w:pPr>
            <w:r>
              <w:rPr>
                <w:rFonts w:hint="eastAsia"/>
                <w:bCs/>
                <w:color w:val="auto"/>
                <w:szCs w:val="21"/>
                <w:lang w:val="en-US" w:eastAsia="zh-CN"/>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2"/>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废水（生产废水、生活废水√）排水量及排放去向</w:t>
            </w:r>
          </w:p>
          <w:p>
            <w:pPr>
              <w:pStyle w:val="80"/>
              <w:ind w:firstLine="480"/>
              <w:rPr>
                <w:rFonts w:ascii="Times New Roman" w:hAnsi="Times New Roman"/>
                <w:color w:val="auto"/>
                <w:szCs w:val="24"/>
                <w:highlight w:val="none"/>
              </w:rPr>
            </w:pPr>
            <w:bookmarkStart w:id="2" w:name="_Hlk12440905"/>
            <w:r>
              <w:rPr>
                <w:rFonts w:ascii="Times New Roman" w:hAnsi="Times New Roman"/>
                <w:color w:val="auto"/>
              </w:rPr>
              <w:t>生产废水</w:t>
            </w:r>
            <w:r>
              <w:rPr>
                <w:rFonts w:ascii="Times New Roman" w:hAnsi="Times New Roman"/>
                <w:color w:val="auto"/>
                <w:highlight w:val="none"/>
              </w:rPr>
              <w:t>：</w:t>
            </w:r>
            <w:r>
              <w:rPr>
                <w:rFonts w:ascii="Times New Roman" w:hAnsi="Times New Roman"/>
                <w:color w:val="auto"/>
                <w:szCs w:val="24"/>
                <w:highlight w:val="none"/>
              </w:rPr>
              <w:t>本项目不产生生产废水</w:t>
            </w:r>
            <w:r>
              <w:rPr>
                <w:rFonts w:ascii="Times New Roman" w:hAnsi="Times New Roman"/>
                <w:bCs/>
                <w:color w:val="auto"/>
                <w:highlight w:val="none"/>
              </w:rPr>
              <w:t>。</w:t>
            </w:r>
          </w:p>
          <w:p>
            <w:pPr>
              <w:ind w:firstLine="480" w:firstLineChars="200"/>
              <w:rPr>
                <w:bCs/>
                <w:color w:val="auto"/>
              </w:rPr>
            </w:pPr>
            <w:r>
              <w:rPr>
                <w:bCs/>
                <w:color w:val="auto"/>
                <w:highlight w:val="none"/>
              </w:rPr>
              <w:t>生活污水：本项目职工生活污水</w:t>
            </w:r>
            <w:r>
              <w:rPr>
                <w:rFonts w:hint="eastAsia"/>
                <w:bCs/>
                <w:color w:val="auto"/>
                <w:highlight w:val="none"/>
                <w:lang w:val="en-US" w:eastAsia="zh-CN"/>
              </w:rPr>
              <w:t>456</w:t>
            </w:r>
            <w:r>
              <w:rPr>
                <w:bCs/>
                <w:color w:val="auto"/>
                <w:highlight w:val="none"/>
              </w:rPr>
              <w:t>t/a，经市政污水管网排入</w:t>
            </w:r>
            <w:r>
              <w:rPr>
                <w:rFonts w:hint="eastAsia"/>
                <w:bCs/>
                <w:color w:val="auto"/>
                <w:highlight w:val="none"/>
                <w:lang w:val="en-US" w:eastAsia="zh-CN"/>
              </w:rPr>
              <w:t>白荡水质净化厂</w:t>
            </w:r>
            <w:r>
              <w:rPr>
                <w:bCs/>
                <w:color w:val="auto"/>
                <w:highlight w:val="none"/>
              </w:rPr>
              <w:t>，处理达标后尾水排入</w:t>
            </w:r>
            <w:r>
              <w:rPr>
                <w:rFonts w:hint="eastAsia"/>
                <w:bCs/>
                <w:color w:val="auto"/>
                <w:highlight w:val="none"/>
                <w:lang w:val="en-US" w:eastAsia="zh-CN"/>
              </w:rPr>
              <w:t>京杭运河</w:t>
            </w:r>
            <w:r>
              <w:rPr>
                <w:bCs/>
                <w:color w:val="auto"/>
                <w:highlight w:val="non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2"/>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放射性同位素和伴有电磁辐射的设施的使用情况</w:t>
            </w:r>
          </w:p>
          <w:p>
            <w:pPr>
              <w:ind w:firstLine="480"/>
              <w:rPr>
                <w:color w:val="auto"/>
              </w:rPr>
            </w:pPr>
            <w:r>
              <w:rPr>
                <w:color w:val="auto"/>
              </w:rPr>
              <w:t>本项目无放射性同位素和电磁辐射的设施。如企业运营过程需要相应设施，应另行环境影响评价，报送有关部门审批。</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9638" w:type="dxa"/>
            <w:gridSpan w:val="12"/>
            <w:tcBorders>
              <w:top w:val="single" w:color="auto" w:sz="4" w:space="0"/>
              <w:left w:val="single" w:color="auto" w:sz="4" w:space="0"/>
              <w:bottom w:val="single" w:color="auto" w:sz="4" w:space="0"/>
              <w:right w:val="single" w:color="auto" w:sz="4" w:space="0"/>
            </w:tcBorders>
            <w:vAlign w:val="center"/>
          </w:tcPr>
          <w:p>
            <w:pPr>
              <w:rPr>
                <w:b/>
                <w:bCs/>
                <w:color w:val="auto"/>
              </w:rPr>
            </w:pPr>
            <w:r>
              <w:rPr>
                <w:b/>
                <w:bCs/>
                <w:color w:val="auto"/>
              </w:rPr>
              <w:t>工程内容及规模：（不够时可附另页）</w:t>
            </w:r>
          </w:p>
          <w:p>
            <w:pPr>
              <w:rPr>
                <w:b/>
                <w:bCs/>
                <w:color w:val="auto"/>
                <w:highlight w:val="none"/>
              </w:rPr>
            </w:pPr>
            <w:r>
              <w:rPr>
                <w:b/>
                <w:bCs/>
                <w:color w:val="auto"/>
              </w:rPr>
              <w:t>1、</w:t>
            </w:r>
            <w:r>
              <w:rPr>
                <w:b/>
                <w:bCs/>
                <w:color w:val="auto"/>
                <w:highlight w:val="none"/>
              </w:rPr>
              <w:t>项目由来：</w:t>
            </w:r>
          </w:p>
          <w:p>
            <w:pPr>
              <w:ind w:firstLine="480" w:firstLineChars="200"/>
              <w:rPr>
                <w:color w:val="auto"/>
                <w:highlight w:val="none"/>
              </w:rPr>
            </w:pPr>
            <w:r>
              <w:rPr>
                <w:rFonts w:hint="eastAsia"/>
                <w:color w:val="auto"/>
                <w:highlight w:val="none"/>
              </w:rPr>
              <w:t>苏州源顺祥新材料有限公司年产塑料制品 1500 吨新建项目地址位于苏州高新区浒关分区东金芝路 56 号，租用苏州市赛克塑胶有限公司现有的部分厂房，建筑面积为 1000 平方米，一层，包含办公和生产。</w:t>
            </w:r>
            <w:r>
              <w:rPr>
                <w:color w:val="auto"/>
                <w:highlight w:val="none"/>
              </w:rPr>
              <w:t>该项目已取得苏州高新区发展和改革局备案（苏高新</w:t>
            </w:r>
            <w:r>
              <w:rPr>
                <w:rFonts w:hint="eastAsia"/>
                <w:color w:val="auto"/>
                <w:highlight w:val="none"/>
                <w:lang w:val="en-US" w:eastAsia="zh-CN"/>
              </w:rPr>
              <w:t>项</w:t>
            </w:r>
            <w:r>
              <w:rPr>
                <w:color w:val="auto"/>
                <w:highlight w:val="none"/>
              </w:rPr>
              <w:t>备[20</w:t>
            </w:r>
            <w:r>
              <w:rPr>
                <w:rFonts w:hint="eastAsia"/>
                <w:color w:val="auto"/>
                <w:highlight w:val="none"/>
                <w:lang w:val="en-US" w:eastAsia="zh-CN"/>
              </w:rPr>
              <w:t>20</w:t>
            </w:r>
            <w:r>
              <w:rPr>
                <w:color w:val="auto"/>
                <w:highlight w:val="none"/>
              </w:rPr>
              <w:t>]</w:t>
            </w:r>
            <w:r>
              <w:rPr>
                <w:rFonts w:hint="eastAsia"/>
                <w:color w:val="auto"/>
                <w:highlight w:val="none"/>
                <w:lang w:val="en-US" w:eastAsia="zh-CN"/>
              </w:rPr>
              <w:t>134</w:t>
            </w:r>
            <w:r>
              <w:rPr>
                <w:color w:val="auto"/>
                <w:highlight w:val="none"/>
              </w:rPr>
              <w:t>号）。</w:t>
            </w:r>
          </w:p>
          <w:p>
            <w:pPr>
              <w:ind w:firstLine="480" w:firstLineChars="200"/>
              <w:rPr>
                <w:color w:val="auto"/>
              </w:rPr>
            </w:pPr>
            <w:r>
              <w:rPr>
                <w:color w:val="auto"/>
              </w:rPr>
              <w:t>根据《中国人民共和国环境保护法》（中华人民共和国主席令第七十七条）、《中华人民共和国环境影响评价法》和《建设项目环境保护管理条例》（国务院令第682号），建设过程中或者建成投产后可能对环境产生影响的新建、扩建、改建、迁建、技术改造项目及区域开发建设项目，必须进行环境影响评价。对照《建设项目环境影响评价分类管理名录》（</w:t>
            </w:r>
            <w:r>
              <w:rPr>
                <w:rFonts w:hint="eastAsia"/>
                <w:color w:val="auto"/>
                <w:lang w:val="en-US" w:eastAsia="zh-CN"/>
              </w:rPr>
              <w:t>2021年版</w:t>
            </w:r>
            <w:r>
              <w:rPr>
                <w:color w:val="auto"/>
              </w:rPr>
              <w:t>），本项目</w:t>
            </w:r>
            <w:r>
              <w:rPr>
                <w:rFonts w:hint="eastAsia"/>
                <w:color w:val="auto"/>
                <w:lang w:val="en-US" w:eastAsia="zh-CN"/>
              </w:rPr>
              <w:t>属于“二十六、橡胶和塑料制品业53塑料制品业 其他”</w:t>
            </w:r>
            <w:r>
              <w:rPr>
                <w:color w:val="auto"/>
              </w:rPr>
              <w:t>应编制环境影响报告表，以论证项目在环境保护方面的可行性。</w:t>
            </w:r>
            <w:r>
              <w:rPr>
                <w:rFonts w:hint="eastAsia"/>
                <w:color w:val="auto"/>
              </w:rPr>
              <w:t>我单位接受委托后，在对项目进行了实地踏勘、资料收集和类比调查的基础上，按国家相关环境法律、法规及环境影响评价技术导则等编写本项目环境影响报告表</w:t>
            </w:r>
            <w:r>
              <w:rPr>
                <w:color w:val="auto"/>
              </w:rPr>
              <w:t>，报请审批。</w:t>
            </w:r>
          </w:p>
          <w:p>
            <w:pPr>
              <w:rPr>
                <w:b/>
                <w:bCs/>
                <w:color w:val="auto"/>
                <w:highlight w:val="none"/>
              </w:rPr>
            </w:pPr>
            <w:r>
              <w:rPr>
                <w:b/>
                <w:bCs/>
                <w:color w:val="auto"/>
              </w:rPr>
              <w:t>2、项目概</w:t>
            </w:r>
            <w:r>
              <w:rPr>
                <w:b/>
                <w:bCs/>
                <w:color w:val="auto"/>
                <w:highlight w:val="none"/>
              </w:rPr>
              <w:t>况</w:t>
            </w:r>
          </w:p>
          <w:p>
            <w:pPr>
              <w:ind w:firstLine="480" w:firstLineChars="200"/>
              <w:jc w:val="left"/>
              <w:rPr>
                <w:color w:val="auto"/>
                <w:highlight w:val="none"/>
              </w:rPr>
            </w:pPr>
            <w:r>
              <w:rPr>
                <w:color w:val="auto"/>
                <w:highlight w:val="none"/>
              </w:rPr>
              <w:t>项目名称：</w:t>
            </w:r>
            <w:r>
              <w:rPr>
                <w:rFonts w:hint="eastAsia"/>
                <w:color w:val="auto"/>
                <w:highlight w:val="none"/>
              </w:rPr>
              <w:t>苏州源顺祥新材料有限公司年增产塑料制品1500吨扩建项目</w:t>
            </w:r>
            <w:r>
              <w:rPr>
                <w:color w:val="auto"/>
                <w:highlight w:val="none"/>
              </w:rPr>
              <w:t>；</w:t>
            </w:r>
          </w:p>
          <w:p>
            <w:pPr>
              <w:ind w:firstLine="480"/>
              <w:jc w:val="left"/>
              <w:rPr>
                <w:color w:val="auto"/>
                <w:highlight w:val="none"/>
              </w:rPr>
            </w:pPr>
            <w:r>
              <w:rPr>
                <w:color w:val="auto"/>
                <w:highlight w:val="none"/>
              </w:rPr>
              <w:t>建设单位：</w:t>
            </w:r>
            <w:r>
              <w:rPr>
                <w:rFonts w:hint="eastAsia"/>
                <w:color w:val="auto"/>
                <w:highlight w:val="none"/>
              </w:rPr>
              <w:t>苏州源顺祥新材料有限公司</w:t>
            </w:r>
            <w:r>
              <w:rPr>
                <w:color w:val="auto"/>
                <w:highlight w:val="none"/>
              </w:rPr>
              <w:t>；</w:t>
            </w:r>
          </w:p>
          <w:p>
            <w:pPr>
              <w:ind w:firstLine="480"/>
              <w:jc w:val="left"/>
              <w:rPr>
                <w:color w:val="auto"/>
                <w:highlight w:val="none"/>
              </w:rPr>
            </w:pPr>
            <w:r>
              <w:rPr>
                <w:color w:val="auto"/>
                <w:highlight w:val="none"/>
              </w:rPr>
              <w:t>建设地点：</w:t>
            </w:r>
            <w:r>
              <w:rPr>
                <w:rFonts w:hint="eastAsia"/>
                <w:color w:val="auto"/>
                <w:highlight w:val="none"/>
              </w:rPr>
              <w:t>苏州高新区浒关分区东金芝路 56 号</w:t>
            </w:r>
            <w:r>
              <w:rPr>
                <w:color w:val="auto"/>
                <w:highlight w:val="none"/>
              </w:rPr>
              <w:t>；</w:t>
            </w:r>
          </w:p>
          <w:p>
            <w:pPr>
              <w:ind w:firstLine="480"/>
              <w:jc w:val="left"/>
              <w:rPr>
                <w:color w:val="auto"/>
                <w:highlight w:val="none"/>
              </w:rPr>
            </w:pPr>
            <w:r>
              <w:rPr>
                <w:color w:val="auto"/>
                <w:highlight w:val="none"/>
              </w:rPr>
              <w:t>建设性质：</w:t>
            </w:r>
            <w:r>
              <w:rPr>
                <w:rFonts w:hint="eastAsia"/>
                <w:color w:val="auto"/>
                <w:highlight w:val="none"/>
                <w:lang w:val="en-US" w:eastAsia="zh-CN"/>
              </w:rPr>
              <w:t>扩</w:t>
            </w:r>
            <w:r>
              <w:rPr>
                <w:color w:val="auto"/>
                <w:highlight w:val="none"/>
              </w:rPr>
              <w:t>建；</w:t>
            </w:r>
          </w:p>
          <w:p>
            <w:pPr>
              <w:ind w:firstLine="480" w:firstLineChars="200"/>
              <w:jc w:val="left"/>
              <w:rPr>
                <w:color w:val="auto"/>
                <w:highlight w:val="none"/>
              </w:rPr>
            </w:pPr>
            <w:r>
              <w:rPr>
                <w:color w:val="auto"/>
                <w:highlight w:val="none"/>
              </w:rPr>
              <w:t>建设规模：</w:t>
            </w:r>
            <w:r>
              <w:rPr>
                <w:rFonts w:hint="eastAsia"/>
                <w:color w:val="auto"/>
                <w:highlight w:val="none"/>
              </w:rPr>
              <w:t>年增加塑料</w:t>
            </w:r>
            <w:r>
              <w:rPr>
                <w:rFonts w:hint="eastAsia"/>
                <w:color w:val="auto"/>
                <w:highlight w:val="none"/>
                <w:lang w:val="en-US" w:eastAsia="zh-CN"/>
              </w:rPr>
              <w:t>管材</w:t>
            </w:r>
            <w:r>
              <w:rPr>
                <w:rFonts w:hint="eastAsia"/>
                <w:color w:val="auto"/>
                <w:highlight w:val="none"/>
              </w:rPr>
              <w:t>制品1500吨</w:t>
            </w:r>
            <w:r>
              <w:rPr>
                <w:color w:val="auto"/>
                <w:highlight w:val="none"/>
              </w:rPr>
              <w:t>；</w:t>
            </w:r>
          </w:p>
          <w:p>
            <w:pPr>
              <w:ind w:firstLine="480" w:firstLineChars="200"/>
              <w:jc w:val="left"/>
              <w:rPr>
                <w:color w:val="auto"/>
                <w:highlight w:val="none"/>
              </w:rPr>
            </w:pPr>
            <w:r>
              <w:rPr>
                <w:color w:val="auto"/>
                <w:highlight w:val="none"/>
              </w:rPr>
              <w:t>建筑面积：</w:t>
            </w:r>
            <w:r>
              <w:rPr>
                <w:rFonts w:hint="eastAsia"/>
                <w:color w:val="auto"/>
                <w:highlight w:val="none"/>
                <w:lang w:val="en-US" w:eastAsia="zh-CN"/>
              </w:rPr>
              <w:t>1000</w:t>
            </w:r>
            <w:r>
              <w:rPr>
                <w:color w:val="auto"/>
                <w:highlight w:val="none"/>
              </w:rPr>
              <w:t>平方米；</w:t>
            </w:r>
          </w:p>
          <w:p>
            <w:pPr>
              <w:ind w:firstLine="480"/>
              <w:rPr>
                <w:color w:val="auto"/>
                <w:highlight w:val="none"/>
              </w:rPr>
            </w:pPr>
            <w:r>
              <w:rPr>
                <w:color w:val="auto"/>
                <w:highlight w:val="none"/>
              </w:rPr>
              <w:t>总投资：</w:t>
            </w:r>
            <w:r>
              <w:rPr>
                <w:rFonts w:hint="eastAsia"/>
                <w:color w:val="auto"/>
                <w:highlight w:val="none"/>
                <w:lang w:val="en-US" w:eastAsia="zh-CN"/>
              </w:rPr>
              <w:t>50</w:t>
            </w:r>
            <w:r>
              <w:rPr>
                <w:color w:val="auto"/>
                <w:highlight w:val="none"/>
              </w:rPr>
              <w:t>万元，其中环保投资</w:t>
            </w:r>
            <w:r>
              <w:rPr>
                <w:rFonts w:hint="eastAsia"/>
                <w:color w:val="auto"/>
                <w:highlight w:val="none"/>
                <w:lang w:val="en-US" w:eastAsia="zh-CN"/>
              </w:rPr>
              <w:t>5</w:t>
            </w:r>
            <w:r>
              <w:rPr>
                <w:color w:val="auto"/>
                <w:highlight w:val="none"/>
              </w:rPr>
              <w:t>万元，占总投资的</w:t>
            </w:r>
            <w:r>
              <w:rPr>
                <w:rFonts w:hint="eastAsia"/>
                <w:color w:val="auto"/>
                <w:highlight w:val="none"/>
                <w:lang w:val="en-US" w:eastAsia="zh-CN"/>
              </w:rPr>
              <w:t>10%</w:t>
            </w:r>
            <w:r>
              <w:rPr>
                <w:color w:val="auto"/>
                <w:highlight w:val="none"/>
              </w:rPr>
              <w:t>；</w:t>
            </w:r>
          </w:p>
          <w:p>
            <w:pPr>
              <w:ind w:firstLine="480" w:firstLineChars="200"/>
              <w:jc w:val="left"/>
              <w:rPr>
                <w:color w:val="auto"/>
              </w:rPr>
            </w:pPr>
            <w:r>
              <w:rPr>
                <w:color w:val="auto"/>
              </w:rPr>
              <w:t>项目定员：拟设定员</w:t>
            </w:r>
            <w:r>
              <w:rPr>
                <w:rFonts w:hint="eastAsia"/>
                <w:color w:val="auto"/>
                <w:lang w:eastAsia="zh-CN"/>
              </w:rPr>
              <w:t>新增</w:t>
            </w:r>
            <w:r>
              <w:rPr>
                <w:color w:val="auto"/>
              </w:rPr>
              <w:t>工人数为1</w:t>
            </w:r>
            <w:r>
              <w:rPr>
                <w:rFonts w:hint="eastAsia"/>
                <w:color w:val="auto"/>
                <w:lang w:val="en-US" w:eastAsia="zh-CN"/>
              </w:rPr>
              <w:t>9</w:t>
            </w:r>
            <w:r>
              <w:rPr>
                <w:color w:val="auto"/>
              </w:rPr>
              <w:t>人，一班制，每班8时，年工作约</w:t>
            </w:r>
            <w:r>
              <w:rPr>
                <w:rFonts w:hint="eastAsia"/>
                <w:color w:val="auto"/>
                <w:lang w:val="en-US" w:eastAsia="zh-CN"/>
              </w:rPr>
              <w:t>300</w:t>
            </w:r>
            <w:r>
              <w:rPr>
                <w:color w:val="auto"/>
              </w:rPr>
              <w:t>天，工作2</w:t>
            </w:r>
            <w:r>
              <w:rPr>
                <w:rFonts w:hint="eastAsia"/>
                <w:color w:val="auto"/>
                <w:lang w:val="en-US" w:eastAsia="zh-CN"/>
              </w:rPr>
              <w:t>40</w:t>
            </w:r>
            <w:r>
              <w:rPr>
                <w:color w:val="auto"/>
              </w:rPr>
              <w:t>0小时，厂区内仅提供就餐区域，不设置食堂，无宿舍。</w:t>
            </w:r>
          </w:p>
          <w:p>
            <w:pPr>
              <w:rPr>
                <w:b/>
                <w:bCs/>
                <w:color w:val="auto"/>
              </w:rPr>
            </w:pPr>
            <w:r>
              <w:rPr>
                <w:b/>
                <w:bCs/>
                <w:color w:val="auto"/>
              </w:rPr>
              <w:t>3、项目主体工程及产品方案</w:t>
            </w:r>
          </w:p>
          <w:p>
            <w:pPr>
              <w:snapToGrid w:val="0"/>
              <w:ind w:firstLine="556"/>
              <w:jc w:val="center"/>
              <w:rPr>
                <w:b/>
                <w:bCs/>
                <w:color w:val="auto"/>
                <w:sz w:val="21"/>
                <w:szCs w:val="21"/>
              </w:rPr>
            </w:pPr>
            <w:r>
              <w:rPr>
                <w:b/>
                <w:bCs/>
                <w:color w:val="auto"/>
                <w:sz w:val="21"/>
                <w:szCs w:val="21"/>
              </w:rPr>
              <w:t>表1-3 建设项目主体工程及产品方案</w:t>
            </w:r>
          </w:p>
          <w:tbl>
            <w:tblPr>
              <w:tblStyle w:val="26"/>
              <w:tblW w:w="94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77"/>
              <w:gridCol w:w="1326"/>
              <w:gridCol w:w="1434"/>
              <w:gridCol w:w="1434"/>
              <w:gridCol w:w="1436"/>
              <w:gridCol w:w="1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78" w:type="dxa"/>
                  <w:vMerge w:val="restart"/>
                  <w:noWrap w:val="0"/>
                  <w:vAlign w:val="center"/>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序号</w:t>
                  </w:r>
                </w:p>
              </w:tc>
              <w:tc>
                <w:tcPr>
                  <w:tcW w:w="1477" w:type="dxa"/>
                  <w:vMerge w:val="restart"/>
                  <w:noWrap w:val="0"/>
                  <w:vAlign w:val="center"/>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工程名称</w:t>
                  </w:r>
                </w:p>
              </w:tc>
              <w:tc>
                <w:tcPr>
                  <w:tcW w:w="1326" w:type="dxa"/>
                  <w:vMerge w:val="restart"/>
                  <w:noWrap w:val="0"/>
                  <w:vAlign w:val="center"/>
                </w:tcPr>
                <w:p>
                  <w:pPr>
                    <w:spacing w:line="240" w:lineRule="auto"/>
                    <w:jc w:val="center"/>
                    <w:rPr>
                      <w:rStyle w:val="33"/>
                      <w:rFonts w:hint="eastAsia" w:ascii="Times New Roman" w:hAnsi="Times New Roman" w:eastAsia="宋体" w:cs="Times New Roman"/>
                      <w:lang w:val="en-US" w:eastAsia="zh-CN"/>
                    </w:rPr>
                  </w:pPr>
                  <w:r>
                    <w:rPr>
                      <w:rStyle w:val="33"/>
                      <w:rFonts w:hint="eastAsia" w:cs="Times New Roman"/>
                      <w:lang w:val="en-US" w:eastAsia="zh-CN"/>
                    </w:rPr>
                    <w:t>产品名称</w:t>
                  </w:r>
                </w:p>
              </w:tc>
              <w:tc>
                <w:tcPr>
                  <w:tcW w:w="4304" w:type="dxa"/>
                  <w:gridSpan w:val="3"/>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设计能力（</w:t>
                  </w:r>
                  <w:r>
                    <w:rPr>
                      <w:rStyle w:val="33"/>
                      <w:rFonts w:hint="eastAsia" w:cs="Times New Roman"/>
                      <w:lang w:val="en-US" w:eastAsia="zh-CN"/>
                    </w:rPr>
                    <w:t>t</w:t>
                  </w:r>
                  <w:r>
                    <w:rPr>
                      <w:rStyle w:val="33"/>
                      <w:rFonts w:hint="default" w:ascii="Times New Roman" w:hAnsi="Times New Roman" w:cs="Times New Roman"/>
                    </w:rPr>
                    <w:t>）</w:t>
                  </w:r>
                </w:p>
              </w:tc>
              <w:tc>
                <w:tcPr>
                  <w:tcW w:w="1538" w:type="dxa"/>
                  <w:vMerge w:val="restart"/>
                  <w:noWrap w:val="0"/>
                  <w:vAlign w:val="center"/>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年运行时数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78" w:type="dxa"/>
                  <w:vMerge w:val="continue"/>
                  <w:noWrap w:val="0"/>
                  <w:vAlign w:val="top"/>
                </w:tcPr>
                <w:p>
                  <w:pPr>
                    <w:spacing w:line="240" w:lineRule="auto"/>
                    <w:jc w:val="center"/>
                    <w:rPr>
                      <w:rFonts w:hint="default" w:ascii="Times New Roman" w:hAnsi="Times New Roman" w:cs="Times New Roman"/>
                    </w:rPr>
                  </w:pPr>
                </w:p>
              </w:tc>
              <w:tc>
                <w:tcPr>
                  <w:tcW w:w="1477" w:type="dxa"/>
                  <w:vMerge w:val="continue"/>
                  <w:noWrap w:val="0"/>
                  <w:vAlign w:val="top"/>
                </w:tcPr>
                <w:p>
                  <w:pPr>
                    <w:spacing w:line="240" w:lineRule="auto"/>
                    <w:jc w:val="center"/>
                    <w:rPr>
                      <w:rFonts w:hint="default" w:ascii="Times New Roman" w:hAnsi="Times New Roman" w:cs="Times New Roman"/>
                    </w:rPr>
                  </w:pPr>
                </w:p>
              </w:tc>
              <w:tc>
                <w:tcPr>
                  <w:tcW w:w="1326" w:type="dxa"/>
                  <w:vMerge w:val="continue"/>
                  <w:noWrap w:val="0"/>
                  <w:vAlign w:val="top"/>
                </w:tcPr>
                <w:p>
                  <w:pPr>
                    <w:spacing w:line="240" w:lineRule="auto"/>
                    <w:jc w:val="center"/>
                    <w:rPr>
                      <w:rFonts w:hint="default" w:ascii="Times New Roman" w:hAnsi="Times New Roman" w:cs="Times New Roman"/>
                    </w:rPr>
                  </w:pPr>
                </w:p>
              </w:tc>
              <w:tc>
                <w:tcPr>
                  <w:tcW w:w="1434" w:type="dxa"/>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扩建前</w:t>
                  </w:r>
                </w:p>
              </w:tc>
              <w:tc>
                <w:tcPr>
                  <w:tcW w:w="1434" w:type="dxa"/>
                  <w:noWrap w:val="0"/>
                  <w:vAlign w:val="top"/>
                </w:tcPr>
                <w:p>
                  <w:pPr>
                    <w:spacing w:line="240" w:lineRule="auto"/>
                    <w:jc w:val="center"/>
                    <w:rPr>
                      <w:rFonts w:hint="default" w:ascii="Times New Roman" w:hAnsi="Times New Roman" w:cs="Times New Roman"/>
                      <w:kern w:val="2"/>
                      <w:sz w:val="21"/>
                      <w:szCs w:val="21"/>
                      <w:lang w:val="en-US" w:eastAsia="zh-CN" w:bidi="ar-SA"/>
                    </w:rPr>
                  </w:pPr>
                  <w:r>
                    <w:rPr>
                      <w:rStyle w:val="33"/>
                      <w:rFonts w:hint="default" w:ascii="Times New Roman" w:hAnsi="Times New Roman" w:cs="Times New Roman"/>
                    </w:rPr>
                    <w:t>扩建后</w:t>
                  </w:r>
                </w:p>
              </w:tc>
              <w:tc>
                <w:tcPr>
                  <w:tcW w:w="1436" w:type="dxa"/>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增加量</w:t>
                  </w:r>
                </w:p>
              </w:tc>
              <w:tc>
                <w:tcPr>
                  <w:tcW w:w="1538" w:type="dxa"/>
                  <w:vMerge w:val="continue"/>
                  <w:noWrap w:val="0"/>
                  <w:vAlign w:val="top"/>
                </w:tcPr>
                <w:p>
                  <w:pPr>
                    <w:spacing w:line="240" w:lineRule="auto"/>
                    <w:jc w:val="center"/>
                    <w:rPr>
                      <w:rStyle w:val="33"/>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1</w:t>
                  </w:r>
                </w:p>
              </w:tc>
              <w:tc>
                <w:tcPr>
                  <w:tcW w:w="1477" w:type="dxa"/>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挤出成型车间</w:t>
                  </w:r>
                </w:p>
              </w:tc>
              <w:tc>
                <w:tcPr>
                  <w:tcW w:w="1326" w:type="dxa"/>
                  <w:noWrap w:val="0"/>
                  <w:vAlign w:val="top"/>
                </w:tcPr>
                <w:p>
                  <w:pPr>
                    <w:spacing w:line="240" w:lineRule="auto"/>
                    <w:jc w:val="center"/>
                    <w:rPr>
                      <w:rStyle w:val="33"/>
                      <w:rFonts w:hint="default" w:ascii="Times New Roman" w:hAnsi="Times New Roman" w:eastAsia="宋体" w:cs="Times New Roman"/>
                      <w:lang w:val="en-US" w:eastAsia="zh-CN"/>
                    </w:rPr>
                  </w:pPr>
                  <w:r>
                    <w:rPr>
                      <w:rStyle w:val="33"/>
                      <w:rFonts w:hint="eastAsia" w:cs="Times New Roman"/>
                      <w:lang w:val="en-US" w:eastAsia="zh-CN"/>
                    </w:rPr>
                    <w:t>塑料管材</w:t>
                  </w:r>
                </w:p>
              </w:tc>
              <w:tc>
                <w:tcPr>
                  <w:tcW w:w="1434" w:type="dxa"/>
                  <w:noWrap w:val="0"/>
                  <w:vAlign w:val="top"/>
                </w:tcPr>
                <w:p>
                  <w:pPr>
                    <w:spacing w:line="240" w:lineRule="auto"/>
                    <w:jc w:val="center"/>
                    <w:rPr>
                      <w:rStyle w:val="33"/>
                      <w:rFonts w:hint="default" w:ascii="Times New Roman" w:hAnsi="Times New Roman" w:eastAsia="宋体" w:cs="Times New Roman"/>
                      <w:lang w:val="en-US" w:eastAsia="zh-CN"/>
                    </w:rPr>
                  </w:pPr>
                  <w:r>
                    <w:rPr>
                      <w:rStyle w:val="33"/>
                      <w:rFonts w:hint="eastAsia" w:cs="Times New Roman"/>
                      <w:lang w:val="en-US" w:eastAsia="zh-CN"/>
                    </w:rPr>
                    <w:t>1500</w:t>
                  </w:r>
                </w:p>
              </w:tc>
              <w:tc>
                <w:tcPr>
                  <w:tcW w:w="1434" w:type="dxa"/>
                  <w:noWrap w:val="0"/>
                  <w:vAlign w:val="top"/>
                </w:tcPr>
                <w:p>
                  <w:pPr>
                    <w:spacing w:line="240" w:lineRule="auto"/>
                    <w:jc w:val="center"/>
                    <w:rPr>
                      <w:rFonts w:hint="default" w:ascii="Times New Roman" w:hAnsi="Times New Roman" w:eastAsia="宋体" w:cs="Times New Roman"/>
                      <w:kern w:val="2"/>
                      <w:sz w:val="21"/>
                      <w:szCs w:val="21"/>
                      <w:lang w:val="en-US" w:eastAsia="zh-CN" w:bidi="ar-SA"/>
                    </w:rPr>
                  </w:pPr>
                  <w:r>
                    <w:rPr>
                      <w:rStyle w:val="33"/>
                      <w:rFonts w:hint="eastAsia" w:cs="Times New Roman"/>
                      <w:lang w:val="en-US" w:eastAsia="zh-CN"/>
                    </w:rPr>
                    <w:t>3000</w:t>
                  </w:r>
                </w:p>
              </w:tc>
              <w:tc>
                <w:tcPr>
                  <w:tcW w:w="1436" w:type="dxa"/>
                  <w:noWrap w:val="0"/>
                  <w:vAlign w:val="top"/>
                </w:tcPr>
                <w:p>
                  <w:pPr>
                    <w:spacing w:line="240" w:lineRule="auto"/>
                    <w:jc w:val="center"/>
                    <w:rPr>
                      <w:rStyle w:val="33"/>
                      <w:rFonts w:hint="default" w:ascii="Times New Roman" w:hAnsi="Times New Roman" w:eastAsia="宋体" w:cs="Times New Roman"/>
                      <w:lang w:val="en-US" w:eastAsia="zh-CN"/>
                    </w:rPr>
                  </w:pPr>
                  <w:r>
                    <w:rPr>
                      <w:rStyle w:val="33"/>
                      <w:rFonts w:hint="default" w:ascii="Times New Roman" w:hAnsi="Times New Roman" w:cs="Times New Roman"/>
                      <w:lang w:val="en-US" w:eastAsia="zh-CN"/>
                    </w:rPr>
                    <w:t>+</w:t>
                  </w:r>
                  <w:r>
                    <w:rPr>
                      <w:rStyle w:val="33"/>
                      <w:rFonts w:hint="eastAsia" w:cs="Times New Roman"/>
                      <w:lang w:val="en-US" w:eastAsia="zh-CN"/>
                    </w:rPr>
                    <w:t>1500</w:t>
                  </w:r>
                </w:p>
              </w:tc>
              <w:tc>
                <w:tcPr>
                  <w:tcW w:w="1538" w:type="dxa"/>
                  <w:noWrap w:val="0"/>
                  <w:vAlign w:val="top"/>
                </w:tcPr>
                <w:p>
                  <w:pPr>
                    <w:spacing w:line="240" w:lineRule="auto"/>
                    <w:jc w:val="center"/>
                    <w:rPr>
                      <w:rStyle w:val="33"/>
                      <w:rFonts w:hint="default" w:ascii="Times New Roman" w:hAnsi="Times New Roman" w:cs="Times New Roman"/>
                    </w:rPr>
                  </w:pPr>
                  <w:r>
                    <w:rPr>
                      <w:rStyle w:val="33"/>
                      <w:rFonts w:hint="default" w:ascii="Times New Roman" w:hAnsi="Times New Roman" w:cs="Times New Roman"/>
                    </w:rPr>
                    <w:t>2400</w:t>
                  </w:r>
                </w:p>
              </w:tc>
            </w:tr>
          </w:tbl>
          <w:p>
            <w:pPr>
              <w:adjustRightInd w:val="0"/>
              <w:snapToGrid w:val="0"/>
              <w:spacing w:beforeLines="50"/>
              <w:rPr>
                <w:b/>
                <w:bCs/>
                <w:color w:val="auto"/>
              </w:rPr>
            </w:pPr>
            <w:r>
              <w:rPr>
                <w:b/>
                <w:bCs/>
                <w:color w:val="auto"/>
              </w:rPr>
              <w:t>4、项目公用及辅助工程</w:t>
            </w:r>
          </w:p>
          <w:p>
            <w:pPr>
              <w:jc w:val="center"/>
              <w:rPr>
                <w:b/>
                <w:bCs/>
                <w:color w:val="auto"/>
                <w:sz w:val="21"/>
                <w:szCs w:val="21"/>
              </w:rPr>
            </w:pPr>
            <w:r>
              <w:rPr>
                <w:b/>
                <w:bCs/>
                <w:color w:val="auto"/>
                <w:sz w:val="21"/>
                <w:szCs w:val="21"/>
              </w:rPr>
              <w:t>表1-4公用及辅助工程</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650"/>
              <w:gridCol w:w="1225"/>
              <w:gridCol w:w="1562"/>
              <w:gridCol w:w="1562"/>
              <w:gridCol w:w="1563"/>
              <w:gridCol w:w="21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7" w:hRule="atLeast"/>
              </w:trPr>
              <w:tc>
                <w:tcPr>
                  <w:tcW w:w="714" w:type="dxa"/>
                  <w:vMerge w:val="restart"/>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类别</w:t>
                  </w:r>
                </w:p>
              </w:tc>
              <w:tc>
                <w:tcPr>
                  <w:tcW w:w="1875" w:type="dxa"/>
                  <w:gridSpan w:val="2"/>
                  <w:vMerge w:val="restart"/>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建设名称</w:t>
                  </w:r>
                </w:p>
              </w:tc>
              <w:tc>
                <w:tcPr>
                  <w:tcW w:w="4687" w:type="dxa"/>
                  <w:gridSpan w:val="3"/>
                  <w:tcBorders>
                    <w:bottom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设计能力</w:t>
                  </w:r>
                </w:p>
              </w:tc>
              <w:tc>
                <w:tcPr>
                  <w:tcW w:w="2146" w:type="dxa"/>
                  <w:vMerge w:val="restart"/>
                  <w:tcBorders>
                    <w:bottom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 w:hRule="atLeast"/>
              </w:trPr>
              <w:tc>
                <w:tcPr>
                  <w:tcW w:w="714" w:type="dxa"/>
                  <w:vMerge w:val="continue"/>
                  <w:tcBorders>
                    <w:bottom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p>
              </w:tc>
              <w:tc>
                <w:tcPr>
                  <w:tcW w:w="1875" w:type="dxa"/>
                  <w:gridSpan w:val="2"/>
                  <w:vMerge w:val="continue"/>
                  <w:tcBorders>
                    <w:bottom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p>
              </w:tc>
              <w:tc>
                <w:tcPr>
                  <w:tcW w:w="1562" w:type="dxa"/>
                  <w:tcBorders>
                    <w:top w:val="single" w:color="auto" w:sz="4" w:space="0"/>
                    <w:bottom w:val="single" w:color="auto" w:sz="12"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扩建前</w:t>
                  </w:r>
                </w:p>
              </w:tc>
              <w:tc>
                <w:tcPr>
                  <w:tcW w:w="1562" w:type="dxa"/>
                  <w:tcBorders>
                    <w:top w:val="single" w:color="auto" w:sz="4" w:space="0"/>
                    <w:left w:val="single" w:color="auto" w:sz="4" w:space="0"/>
                    <w:bottom w:val="single" w:color="auto" w:sz="12"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扩建后</w:t>
                  </w:r>
                </w:p>
              </w:tc>
              <w:tc>
                <w:tcPr>
                  <w:tcW w:w="1563" w:type="dxa"/>
                  <w:tcBorders>
                    <w:top w:val="single" w:color="auto" w:sz="4" w:space="0"/>
                    <w:left w:val="single" w:color="auto" w:sz="4" w:space="0"/>
                    <w:bottom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变化情况</w:t>
                  </w:r>
                </w:p>
              </w:tc>
              <w:tc>
                <w:tcPr>
                  <w:tcW w:w="2146" w:type="dxa"/>
                  <w:vMerge w:val="continue"/>
                  <w:tcBorders>
                    <w:top w:val="single" w:color="auto" w:sz="12" w:space="0"/>
                    <w:bottom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restart"/>
                  <w:tcBorders>
                    <w:top w:val="single" w:color="auto" w:sz="12"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贮运工程</w:t>
                  </w:r>
                </w:p>
              </w:tc>
              <w:tc>
                <w:tcPr>
                  <w:tcW w:w="1875" w:type="dxa"/>
                  <w:gridSpan w:val="2"/>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成品仓库</w:t>
                  </w:r>
                </w:p>
              </w:tc>
              <w:tc>
                <w:tcPr>
                  <w:tcW w:w="1562" w:type="dxa"/>
                  <w:tcBorders>
                    <w:top w:val="single" w:color="auto" w:sz="12"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60m</w:t>
                  </w:r>
                  <w:r>
                    <w:rPr>
                      <w:rFonts w:hint="eastAsia" w:cs="Times New Roman"/>
                      <w:sz w:val="21"/>
                      <w:szCs w:val="21"/>
                      <w:highlight w:val="none"/>
                      <w:vertAlign w:val="superscript"/>
                      <w:lang w:val="en-US" w:eastAsia="zh-CN"/>
                    </w:rPr>
                    <w:t>2</w:t>
                  </w:r>
                </w:p>
              </w:tc>
              <w:tc>
                <w:tcPr>
                  <w:tcW w:w="1562" w:type="dxa"/>
                  <w:tcBorders>
                    <w:top w:val="single" w:color="auto" w:sz="12"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60m</w:t>
                  </w:r>
                  <w:r>
                    <w:rPr>
                      <w:rFonts w:hint="eastAsia" w:cs="Times New Roman"/>
                      <w:sz w:val="21"/>
                      <w:szCs w:val="21"/>
                      <w:highlight w:val="none"/>
                      <w:vertAlign w:val="superscript"/>
                      <w:lang w:val="en-US" w:eastAsia="zh-CN"/>
                    </w:rPr>
                    <w:t>2</w:t>
                  </w:r>
                </w:p>
              </w:tc>
              <w:tc>
                <w:tcPr>
                  <w:tcW w:w="1563" w:type="dxa"/>
                  <w:tcBorders>
                    <w:top w:val="single" w:color="auto" w:sz="12" w:space="0"/>
                    <w:left w:val="single" w:color="auto" w:sz="4" w:space="0"/>
                  </w:tcBorders>
                  <w:noWrap w:val="0"/>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2146" w:type="dxa"/>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1875" w:type="dxa"/>
                  <w:gridSpan w:val="2"/>
                  <w:noWrap w:val="0"/>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原料仓库</w:t>
                  </w:r>
                </w:p>
              </w:tc>
              <w:tc>
                <w:tcPr>
                  <w:tcW w:w="1562" w:type="dxa"/>
                  <w:tcBorders>
                    <w:top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40m</w:t>
                  </w:r>
                  <w:r>
                    <w:rPr>
                      <w:rFonts w:hint="eastAsia" w:cs="Times New Roman"/>
                      <w:sz w:val="21"/>
                      <w:szCs w:val="21"/>
                      <w:highlight w:val="none"/>
                      <w:vertAlign w:val="superscript"/>
                      <w:lang w:val="en-US" w:eastAsia="zh-CN"/>
                    </w:rPr>
                    <w:t>2</w:t>
                  </w:r>
                </w:p>
              </w:tc>
              <w:tc>
                <w:tcPr>
                  <w:tcW w:w="1562" w:type="dxa"/>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40m</w:t>
                  </w:r>
                  <w:r>
                    <w:rPr>
                      <w:rFonts w:hint="eastAsia" w:cs="Times New Roman"/>
                      <w:sz w:val="21"/>
                      <w:szCs w:val="21"/>
                      <w:highlight w:val="none"/>
                      <w:vertAlign w:val="superscript"/>
                      <w:lang w:val="en-US" w:eastAsia="zh-CN"/>
                    </w:rPr>
                    <w:t>2</w:t>
                  </w:r>
                </w:p>
              </w:tc>
              <w:tc>
                <w:tcPr>
                  <w:tcW w:w="1563" w:type="dxa"/>
                  <w:tcBorders>
                    <w:top w:val="single" w:color="auto" w:sz="4" w:space="0"/>
                    <w:left w:val="single" w:color="auto" w:sz="4" w:space="0"/>
                  </w:tcBorders>
                  <w:noWrap w:val="0"/>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2146" w:type="dxa"/>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restart"/>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公用辅助</w:t>
                  </w:r>
                </w:p>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工程</w:t>
                  </w:r>
                </w:p>
              </w:tc>
              <w:tc>
                <w:tcPr>
                  <w:tcW w:w="1875" w:type="dxa"/>
                  <w:gridSpan w:val="2"/>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供水</w:t>
                  </w:r>
                </w:p>
              </w:tc>
              <w:tc>
                <w:tcPr>
                  <w:tcW w:w="1562" w:type="dxa"/>
                  <w:tcBorders>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350t/a</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670t/a</w:t>
                  </w:r>
                </w:p>
              </w:tc>
              <w:tc>
                <w:tcPr>
                  <w:tcW w:w="1563" w:type="dxa"/>
                  <w:tcBorders>
                    <w:lef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+320</w:t>
                  </w:r>
                </w:p>
              </w:tc>
              <w:tc>
                <w:tcPr>
                  <w:tcW w:w="2146"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由新区自来水管网供应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1875" w:type="dxa"/>
                  <w:gridSpan w:val="2"/>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供电</w:t>
                  </w:r>
                </w:p>
              </w:tc>
              <w:tc>
                <w:tcPr>
                  <w:tcW w:w="1562" w:type="dxa"/>
                  <w:tcBorders>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50</w:t>
                  </w:r>
                  <w:r>
                    <w:rPr>
                      <w:rFonts w:hint="default" w:ascii="Times New Roman" w:hAnsi="Times New Roman" w:cs="Times New Roman"/>
                      <w:sz w:val="21"/>
                      <w:szCs w:val="21"/>
                      <w:highlight w:val="none"/>
                    </w:rPr>
                    <w:t>万度</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80</w:t>
                  </w:r>
                  <w:r>
                    <w:rPr>
                      <w:rFonts w:hint="default" w:ascii="Times New Roman" w:hAnsi="Times New Roman" w:cs="Times New Roman"/>
                      <w:sz w:val="21"/>
                      <w:szCs w:val="21"/>
                      <w:highlight w:val="none"/>
                    </w:rPr>
                    <w:t>万度</w:t>
                  </w:r>
                </w:p>
              </w:tc>
              <w:tc>
                <w:tcPr>
                  <w:tcW w:w="1563" w:type="dxa"/>
                  <w:tcBorders>
                    <w:lef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30</w:t>
                  </w:r>
                  <w:r>
                    <w:rPr>
                      <w:rFonts w:hint="default" w:ascii="Times New Roman" w:hAnsi="Times New Roman" w:cs="Times New Roman"/>
                      <w:sz w:val="21"/>
                      <w:szCs w:val="21"/>
                      <w:highlight w:val="none"/>
                    </w:rPr>
                    <w:t>万度</w:t>
                  </w:r>
                </w:p>
              </w:tc>
              <w:tc>
                <w:tcPr>
                  <w:tcW w:w="2146"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由新区供电局供应</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650"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排水</w:t>
                  </w:r>
                </w:p>
              </w:tc>
              <w:tc>
                <w:tcPr>
                  <w:tcW w:w="1225" w:type="dxa"/>
                  <w:noWrap w:val="0"/>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生活废水</w:t>
                  </w:r>
                </w:p>
              </w:tc>
              <w:tc>
                <w:tcPr>
                  <w:tcW w:w="1562" w:type="dxa"/>
                  <w:tcBorders>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240t/a</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456t/a</w:t>
                  </w:r>
                </w:p>
              </w:tc>
              <w:tc>
                <w:tcPr>
                  <w:tcW w:w="1563" w:type="dxa"/>
                  <w:tcBorders>
                    <w:lef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+216t/a</w:t>
                  </w:r>
                </w:p>
              </w:tc>
              <w:tc>
                <w:tcPr>
                  <w:tcW w:w="2146"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废水接入市政污水管网排入</w:t>
                  </w:r>
                  <w:r>
                    <w:rPr>
                      <w:rFonts w:hint="eastAsia" w:cs="Times New Roman"/>
                      <w:sz w:val="21"/>
                      <w:szCs w:val="21"/>
                      <w:highlight w:val="none"/>
                      <w:lang w:val="en-US" w:eastAsia="zh-CN"/>
                    </w:rPr>
                    <w:t>白荡水质净化厂</w:t>
                  </w:r>
                  <w:r>
                    <w:rPr>
                      <w:rFonts w:hint="default" w:ascii="Times New Roman" w:hAnsi="Times New Roman" w:cs="Times New Roman"/>
                      <w:sz w:val="21"/>
                      <w:szCs w:val="21"/>
                      <w:highlight w:val="none"/>
                    </w:rPr>
                    <w:t>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9" w:hRule="atLeast"/>
              </w:trPr>
              <w:tc>
                <w:tcPr>
                  <w:tcW w:w="714" w:type="dxa"/>
                  <w:vMerge w:val="restart"/>
                  <w:tcBorders>
                    <w:top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环保工程</w:t>
                  </w:r>
                </w:p>
              </w:tc>
              <w:tc>
                <w:tcPr>
                  <w:tcW w:w="650"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w:t>
                  </w:r>
                </w:p>
              </w:tc>
              <w:tc>
                <w:tcPr>
                  <w:tcW w:w="8058" w:type="dxa"/>
                  <w:gridSpan w:val="5"/>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本项目只有生活废水，达标排放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650" w:type="dxa"/>
                  <w:vMerge w:val="restart"/>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废气处理</w:t>
                  </w:r>
                </w:p>
              </w:tc>
              <w:tc>
                <w:tcPr>
                  <w:tcW w:w="1225" w:type="dxa"/>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非甲烷总烃</w:t>
                  </w:r>
                </w:p>
              </w:tc>
              <w:tc>
                <w:tcPr>
                  <w:tcW w:w="1562" w:type="dxa"/>
                  <w:tcBorders>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风量</w:t>
                  </w:r>
                  <w:r>
                    <w:rPr>
                      <w:rFonts w:hint="default" w:ascii="Times New Roman" w:hAnsi="Times New Roman" w:cs="Times New Roman"/>
                      <w:sz w:val="21"/>
                      <w:szCs w:val="21"/>
                      <w:highlight w:val="none"/>
                    </w:rPr>
                    <w:t>4000m</w:t>
                  </w:r>
                  <w:r>
                    <w:rPr>
                      <w:rFonts w:hint="default" w:ascii="Times New Roman" w:hAnsi="Times New Roman" w:cs="Times New Roman"/>
                      <w:sz w:val="21"/>
                      <w:szCs w:val="21"/>
                      <w:highlight w:val="none"/>
                      <w:vertAlign w:val="superscript"/>
                    </w:rPr>
                    <w:t>3</w:t>
                  </w:r>
                </w:p>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/h 集中通风，一级活性炭，15 米</w:t>
                  </w:r>
                </w:p>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外排</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风量8</w:t>
                  </w:r>
                  <w:r>
                    <w:rPr>
                      <w:rFonts w:hint="default" w:ascii="Times New Roman" w:hAnsi="Times New Roman" w:cs="Times New Roman"/>
                      <w:sz w:val="21"/>
                      <w:szCs w:val="21"/>
                      <w:highlight w:val="none"/>
                    </w:rPr>
                    <w:t>000m</w:t>
                  </w:r>
                  <w:r>
                    <w:rPr>
                      <w:rFonts w:hint="default" w:ascii="Times New Roman" w:hAnsi="Times New Roman" w:cs="Times New Roman"/>
                      <w:sz w:val="21"/>
                      <w:szCs w:val="21"/>
                      <w:highlight w:val="none"/>
                      <w:vertAlign w:val="superscript"/>
                    </w:rPr>
                    <w:t>3</w:t>
                  </w:r>
                </w:p>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/h 集中通风，</w:t>
                  </w:r>
                  <w:r>
                    <w:rPr>
                      <w:rFonts w:hint="eastAsia" w:cs="Times New Roman"/>
                      <w:sz w:val="21"/>
                      <w:szCs w:val="21"/>
                      <w:highlight w:val="none"/>
                      <w:lang w:val="en-US" w:eastAsia="zh-CN"/>
                    </w:rPr>
                    <w:t>低温等离子+</w:t>
                  </w:r>
                  <w:r>
                    <w:rPr>
                      <w:rFonts w:hint="default" w:ascii="Times New Roman" w:hAnsi="Times New Roman" w:cs="Times New Roman"/>
                      <w:sz w:val="21"/>
                      <w:szCs w:val="21"/>
                      <w:highlight w:val="none"/>
                    </w:rPr>
                    <w:t>活性炭</w:t>
                  </w:r>
                  <w:r>
                    <w:rPr>
                      <w:rFonts w:hint="eastAsia" w:ascii="Times New Roman" w:hAnsi="Times New Roman" w:cs="Times New Roman"/>
                      <w:sz w:val="21"/>
                      <w:szCs w:val="21"/>
                      <w:highlight w:val="none"/>
                      <w:lang w:val="en-US" w:eastAsia="zh-CN"/>
                    </w:rPr>
                    <w:t>吸附处理</w:t>
                  </w:r>
                  <w:r>
                    <w:rPr>
                      <w:rFonts w:hint="default" w:ascii="Times New Roman" w:hAnsi="Times New Roman" w:cs="Times New Roman"/>
                      <w:sz w:val="21"/>
                      <w:szCs w:val="21"/>
                      <w:highlight w:val="none"/>
                    </w:rPr>
                    <w:t>，15 米</w:t>
                  </w:r>
                </w:p>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外排</w:t>
                  </w:r>
                </w:p>
              </w:tc>
              <w:tc>
                <w:tcPr>
                  <w:tcW w:w="1563"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提标改造为低温等离子+活性炭吸附，并且在新增设备处增加一个风量为400</w:t>
                  </w:r>
                  <w:r>
                    <w:rPr>
                      <w:rFonts w:hint="default" w:ascii="Times New Roman" w:hAnsi="Times New Roman" w:cs="Times New Roman"/>
                      <w:sz w:val="21"/>
                      <w:szCs w:val="21"/>
                      <w:highlight w:val="none"/>
                    </w:rPr>
                    <w:t>0m</w:t>
                  </w:r>
                  <w:r>
                    <w:rPr>
                      <w:rFonts w:hint="default" w:ascii="Times New Roman" w:hAnsi="Times New Roman" w:cs="Times New Roman"/>
                      <w:sz w:val="21"/>
                      <w:szCs w:val="21"/>
                      <w:highlight w:val="none"/>
                      <w:vertAlign w:val="superscript"/>
                    </w:rPr>
                    <w:t>3</w:t>
                  </w:r>
                </w:p>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/h</w:t>
                  </w:r>
                  <w:r>
                    <w:rPr>
                      <w:rFonts w:hint="eastAsia" w:ascii="Times New Roman" w:hAnsi="Times New Roman" w:cs="Times New Roman"/>
                      <w:sz w:val="21"/>
                      <w:szCs w:val="21"/>
                      <w:highlight w:val="none"/>
                      <w:lang w:val="en-US" w:eastAsia="zh-CN"/>
                    </w:rPr>
                    <w:t>的集气罩</w:t>
                  </w:r>
                </w:p>
              </w:tc>
              <w:tc>
                <w:tcPr>
                  <w:tcW w:w="2146" w:type="dxa"/>
                  <w:vMerge w:val="restart"/>
                  <w:tcBorders>
                    <w:left w:val="single" w:color="auto" w:sz="4" w:space="0"/>
                  </w:tcBorders>
                  <w:noWrap w:val="0"/>
                  <w:vAlign w:val="center"/>
                </w:tcPr>
                <w:p>
                  <w:pPr>
                    <w:spacing w:line="24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650"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1225" w:type="dxa"/>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颗粒物</w:t>
                  </w:r>
                </w:p>
              </w:tc>
              <w:tc>
                <w:tcPr>
                  <w:tcW w:w="1562" w:type="dxa"/>
                  <w:tcBorders>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由集气罩收集经布袋除尘工艺处置后由车间无组织排放</w:t>
                  </w:r>
                </w:p>
              </w:tc>
              <w:tc>
                <w:tcPr>
                  <w:tcW w:w="1563"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由集气罩收集经布袋除尘工艺处置后由车间无组织排放</w:t>
                  </w:r>
                </w:p>
              </w:tc>
              <w:tc>
                <w:tcPr>
                  <w:tcW w:w="2146" w:type="dxa"/>
                  <w:vMerge w:val="continue"/>
                  <w:tcBorders>
                    <w:left w:val="single" w:color="auto" w:sz="4" w:space="0"/>
                  </w:tcBorders>
                  <w:noWrap w:val="0"/>
                  <w:vAlign w:val="center"/>
                </w:tcPr>
                <w:p>
                  <w:pPr>
                    <w:spacing w:line="240" w:lineRule="auto"/>
                    <w:jc w:val="center"/>
                    <w:rPr>
                      <w:rFonts w:hint="eastAsia" w:cs="Times New Roman"/>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1875" w:type="dxa"/>
                  <w:gridSpan w:val="2"/>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噪声</w:t>
                  </w:r>
                </w:p>
              </w:tc>
              <w:tc>
                <w:tcPr>
                  <w:tcW w:w="6833" w:type="dxa"/>
                  <w:gridSpan w:val="4"/>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选用低噪声设备，通过减震</w:t>
                  </w:r>
                  <w:r>
                    <w:rPr>
                      <w:rFonts w:hint="default" w:ascii="Times New Roman" w:hAnsi="Times New Roman" w:cs="Times New Roman"/>
                      <w:spacing w:val="-10"/>
                      <w:sz w:val="21"/>
                      <w:szCs w:val="21"/>
                      <w:highlight w:val="none"/>
                    </w:rPr>
                    <w:t>、</w:t>
                  </w:r>
                  <w:r>
                    <w:rPr>
                      <w:rFonts w:hint="default" w:ascii="Times New Roman" w:hAnsi="Times New Roman" w:cs="Times New Roman"/>
                      <w:sz w:val="21"/>
                      <w:szCs w:val="21"/>
                      <w:highlight w:val="none"/>
                    </w:rPr>
                    <w:t>厂房隔声、距离衰减，可达标排放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650" w:type="dxa"/>
                  <w:vMerge w:val="restart"/>
                  <w:tcBorders>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固废</w:t>
                  </w:r>
                </w:p>
              </w:tc>
              <w:tc>
                <w:tcPr>
                  <w:tcW w:w="1225" w:type="dxa"/>
                  <w:tcBorders>
                    <w:lef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一般固废</w:t>
                  </w:r>
                </w:p>
              </w:tc>
              <w:tc>
                <w:tcPr>
                  <w:tcW w:w="1562" w:type="dxa"/>
                  <w:tcBorders>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30m</w:t>
                  </w:r>
                  <w:r>
                    <w:rPr>
                      <w:rFonts w:hint="eastAsia" w:cs="Times New Roman"/>
                      <w:sz w:val="21"/>
                      <w:szCs w:val="21"/>
                      <w:highlight w:val="none"/>
                      <w:vertAlign w:val="superscript"/>
                      <w:lang w:val="en-US" w:eastAsia="zh-CN"/>
                    </w:rPr>
                    <w:t>2</w:t>
                  </w:r>
                </w:p>
              </w:tc>
              <w:tc>
                <w:tcPr>
                  <w:tcW w:w="1562" w:type="dxa"/>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30m</w:t>
                  </w:r>
                  <w:r>
                    <w:rPr>
                      <w:rFonts w:hint="eastAsia" w:cs="Times New Roman"/>
                      <w:sz w:val="21"/>
                      <w:szCs w:val="21"/>
                      <w:highlight w:val="none"/>
                      <w:vertAlign w:val="superscript"/>
                      <w:lang w:val="en-US" w:eastAsia="zh-CN"/>
                    </w:rPr>
                    <w:t>2</w:t>
                  </w:r>
                </w:p>
              </w:tc>
              <w:tc>
                <w:tcPr>
                  <w:tcW w:w="1563" w:type="dxa"/>
                  <w:tcBorders>
                    <w:left w:val="single" w:color="auto" w:sz="4" w:space="0"/>
                  </w:tcBorders>
                  <w:noWrap w:val="0"/>
                  <w:vAlign w:val="center"/>
                </w:tcPr>
                <w:p>
                  <w:pPr>
                    <w:spacing w:line="240" w:lineRule="auto"/>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0</w:t>
                  </w:r>
                </w:p>
              </w:tc>
              <w:tc>
                <w:tcPr>
                  <w:tcW w:w="2146" w:type="dxa"/>
                  <w:tcBorders>
                    <w:bottom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714" w:type="dxa"/>
                  <w:vMerge w:val="continue"/>
                  <w:noWrap w:val="0"/>
                  <w:vAlign w:val="center"/>
                </w:tcPr>
                <w:p>
                  <w:pPr>
                    <w:spacing w:line="240" w:lineRule="auto"/>
                    <w:jc w:val="center"/>
                    <w:rPr>
                      <w:rFonts w:hint="default" w:ascii="Times New Roman" w:hAnsi="Times New Roman" w:cs="Times New Roman"/>
                      <w:sz w:val="21"/>
                      <w:szCs w:val="21"/>
                      <w:highlight w:val="none"/>
                    </w:rPr>
                  </w:pPr>
                </w:p>
              </w:tc>
              <w:tc>
                <w:tcPr>
                  <w:tcW w:w="650" w:type="dxa"/>
                  <w:vMerge w:val="continue"/>
                  <w:tcBorders>
                    <w:right w:val="single" w:color="auto" w:sz="4" w:space="0"/>
                  </w:tcBorders>
                  <w:noWrap w:val="0"/>
                  <w:vAlign w:val="center"/>
                </w:tcPr>
                <w:p>
                  <w:pPr>
                    <w:spacing w:line="240" w:lineRule="auto"/>
                    <w:jc w:val="center"/>
                    <w:rPr>
                      <w:rFonts w:hint="default" w:ascii="Times New Roman" w:hAnsi="Times New Roman" w:cs="Times New Roman"/>
                      <w:sz w:val="21"/>
                      <w:szCs w:val="21"/>
                      <w:highlight w:val="none"/>
                    </w:rPr>
                  </w:pPr>
                </w:p>
              </w:tc>
              <w:tc>
                <w:tcPr>
                  <w:tcW w:w="1225" w:type="dxa"/>
                  <w:tcBorders>
                    <w:lef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危废仓库</w:t>
                  </w:r>
                </w:p>
              </w:tc>
              <w:tc>
                <w:tcPr>
                  <w:tcW w:w="1562" w:type="dxa"/>
                  <w:tcBorders>
                    <w:right w:val="single" w:color="auto" w:sz="4" w:space="0"/>
                  </w:tcBorders>
                  <w:noWrap w:val="0"/>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15m</w:t>
                  </w:r>
                  <w:r>
                    <w:rPr>
                      <w:rFonts w:hint="eastAsia" w:cs="Times New Roman"/>
                      <w:sz w:val="21"/>
                      <w:szCs w:val="21"/>
                      <w:highlight w:val="none"/>
                      <w:vertAlign w:val="superscript"/>
                      <w:lang w:val="en-US" w:eastAsia="zh-CN"/>
                    </w:rPr>
                    <w:t>2</w:t>
                  </w:r>
                </w:p>
              </w:tc>
              <w:tc>
                <w:tcPr>
                  <w:tcW w:w="1562" w:type="dxa"/>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15m</w:t>
                  </w:r>
                  <w:r>
                    <w:rPr>
                      <w:rFonts w:hint="eastAsia" w:cs="Times New Roman"/>
                      <w:sz w:val="21"/>
                      <w:szCs w:val="21"/>
                      <w:highlight w:val="none"/>
                      <w:vertAlign w:val="superscript"/>
                      <w:lang w:val="en-US" w:eastAsia="zh-CN"/>
                    </w:rPr>
                    <w:t>2</w:t>
                  </w:r>
                </w:p>
              </w:tc>
              <w:tc>
                <w:tcPr>
                  <w:tcW w:w="1563" w:type="dxa"/>
                  <w:tcBorders>
                    <w:left w:val="single" w:color="auto" w:sz="4" w:space="0"/>
                  </w:tcBorders>
                  <w:noWrap w:val="0"/>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2146" w:type="dxa"/>
                  <w:tcBorders>
                    <w:top w:val="single" w:color="auto" w:sz="4" w:space="0"/>
                  </w:tcBorders>
                  <w:noWrap w:val="0"/>
                  <w:vAlign w:val="center"/>
                </w:tcPr>
                <w:p>
                  <w:pPr>
                    <w:spacing w:line="240" w:lineRule="auto"/>
                    <w:jc w:val="center"/>
                    <w:rPr>
                      <w:rFonts w:hint="default" w:ascii="Times New Roman" w:hAnsi="Times New Roman" w:cs="Times New Roman"/>
                      <w:color w:val="FF0000"/>
                      <w:sz w:val="21"/>
                      <w:szCs w:val="21"/>
                      <w:highlight w:val="none"/>
                    </w:rPr>
                  </w:pPr>
                  <w:r>
                    <w:rPr>
                      <w:rFonts w:hint="default" w:ascii="Times New Roman" w:hAnsi="Times New Roman" w:cs="Times New Roman"/>
                      <w:sz w:val="21"/>
                      <w:szCs w:val="21"/>
                      <w:highlight w:val="none"/>
                    </w:rPr>
                    <w:t>做好防</w:t>
                  </w:r>
                  <w:r>
                    <w:rPr>
                      <w:rFonts w:hint="default" w:ascii="Times New Roman" w:hAnsi="Times New Roman" w:cs="Times New Roman"/>
                      <w:sz w:val="21"/>
                      <w:szCs w:val="21"/>
                      <w:highlight w:val="none"/>
                      <w:lang w:val="en-US" w:eastAsia="zh-CN"/>
                    </w:rPr>
                    <w:t>风</w:t>
                  </w:r>
                  <w:r>
                    <w:rPr>
                      <w:rFonts w:hint="default" w:ascii="Times New Roman" w:hAnsi="Times New Roman" w:cs="Times New Roman"/>
                      <w:sz w:val="21"/>
                      <w:szCs w:val="21"/>
                      <w:highlight w:val="none"/>
                    </w:rPr>
                    <w:t>、防渗、防爆</w:t>
                  </w:r>
                </w:p>
              </w:tc>
            </w:tr>
          </w:tbl>
          <w:p>
            <w:pPr>
              <w:pStyle w:val="2"/>
            </w:pPr>
          </w:p>
          <w:p>
            <w:pPr>
              <w:rPr>
                <w:b/>
                <w:bCs/>
                <w:color w:val="auto"/>
              </w:rPr>
            </w:pPr>
            <w:r>
              <w:rPr>
                <w:b/>
                <w:bCs/>
                <w:color w:val="auto"/>
              </w:rPr>
              <w:t>5、项目地理位置及周边情况</w:t>
            </w:r>
          </w:p>
          <w:p>
            <w:pPr>
              <w:autoSpaceDE w:val="0"/>
              <w:autoSpaceDN w:val="0"/>
              <w:adjustRightInd w:val="0"/>
              <w:ind w:firstLine="480" w:firstLineChars="200"/>
              <w:jc w:val="left"/>
              <w:rPr>
                <w:color w:val="auto"/>
              </w:rPr>
            </w:pPr>
            <w:r>
              <w:rPr>
                <w:color w:val="auto"/>
              </w:rPr>
              <w:t>本项目位于</w:t>
            </w:r>
            <w:r>
              <w:rPr>
                <w:rFonts w:hint="eastAsia"/>
                <w:color w:val="auto"/>
                <w:highlight w:val="none"/>
              </w:rPr>
              <w:t>苏州高新区浒关分区东金芝路 56 号</w:t>
            </w:r>
            <w:r>
              <w:rPr>
                <w:color w:val="auto"/>
              </w:rPr>
              <w:t>，东侧是</w:t>
            </w:r>
            <w:r>
              <w:rPr>
                <w:rFonts w:hint="eastAsia"/>
                <w:color w:val="auto"/>
                <w:lang w:val="en-US" w:eastAsia="zh-CN"/>
              </w:rPr>
              <w:t>永恩恒塑料包装印刷有限公司</w:t>
            </w:r>
            <w:r>
              <w:rPr>
                <w:color w:val="auto"/>
              </w:rPr>
              <w:t>；南侧是</w:t>
            </w:r>
            <w:r>
              <w:rPr>
                <w:rFonts w:hint="eastAsia"/>
                <w:color w:val="auto"/>
                <w:lang w:val="en-US" w:eastAsia="zh-CN"/>
              </w:rPr>
              <w:t>东金芝路</w:t>
            </w:r>
            <w:r>
              <w:rPr>
                <w:color w:val="auto"/>
              </w:rPr>
              <w:t>；西侧是</w:t>
            </w:r>
            <w:r>
              <w:rPr>
                <w:rFonts w:hint="eastAsia"/>
                <w:color w:val="auto"/>
                <w:lang w:val="en-US" w:eastAsia="zh-CN"/>
              </w:rPr>
              <w:t>苏州市立得印刷厂</w:t>
            </w:r>
            <w:r>
              <w:rPr>
                <w:color w:val="auto"/>
              </w:rPr>
              <w:t>；北侧是</w:t>
            </w:r>
            <w:r>
              <w:rPr>
                <w:rFonts w:hint="eastAsia"/>
                <w:color w:val="auto"/>
                <w:lang w:val="en-US" w:eastAsia="zh-CN"/>
              </w:rPr>
              <w:t>京杭运河支流</w:t>
            </w:r>
            <w:r>
              <w:rPr>
                <w:color w:val="auto"/>
              </w:rPr>
              <w:t xml:space="preserve">。 </w:t>
            </w:r>
          </w:p>
          <w:p>
            <w:pPr>
              <w:autoSpaceDE w:val="0"/>
              <w:autoSpaceDN w:val="0"/>
              <w:adjustRightInd w:val="0"/>
              <w:ind w:firstLine="480" w:firstLineChars="200"/>
              <w:jc w:val="left"/>
              <w:rPr>
                <w:color w:val="auto"/>
              </w:rPr>
            </w:pPr>
            <w:r>
              <w:rPr>
                <w:color w:val="auto"/>
              </w:rPr>
              <w:t>本项目具体地理位置见附图1，周围环境概况见附图2。</w:t>
            </w:r>
          </w:p>
          <w:p>
            <w:pPr>
              <w:rPr>
                <w:b/>
                <w:bCs/>
                <w:color w:val="auto"/>
              </w:rPr>
            </w:pPr>
            <w:r>
              <w:rPr>
                <w:b/>
                <w:bCs/>
                <w:color w:val="auto"/>
              </w:rPr>
              <w:t>6、项目平面布置</w:t>
            </w:r>
          </w:p>
          <w:p>
            <w:pPr>
              <w:ind w:firstLine="480" w:firstLineChars="200"/>
              <w:rPr>
                <w:color w:val="auto"/>
              </w:rPr>
            </w:pPr>
            <w:r>
              <w:rPr>
                <w:color w:val="auto"/>
              </w:rPr>
              <w:t>厂区平面布置图详见附图3</w:t>
            </w:r>
          </w:p>
          <w:p>
            <w:pPr>
              <w:rPr>
                <w:b/>
                <w:bCs/>
                <w:color w:val="auto"/>
              </w:rPr>
            </w:pPr>
            <w:r>
              <w:rPr>
                <w:b/>
                <w:bCs/>
                <w:color w:val="auto"/>
              </w:rPr>
              <w:t>7、“三线一单”相符性分析</w:t>
            </w:r>
          </w:p>
          <w:p>
            <w:pPr>
              <w:pStyle w:val="2"/>
              <w:ind w:firstLine="530" w:firstLineChars="221"/>
              <w:jc w:val="left"/>
              <w:rPr>
                <w:color w:val="auto"/>
              </w:rPr>
            </w:pPr>
            <w:r>
              <w:rPr>
                <w:rFonts w:hint="eastAsia"/>
                <w:color w:val="auto"/>
              </w:rPr>
              <w:t>①</w:t>
            </w:r>
            <w:r>
              <w:rPr>
                <w:color w:val="auto"/>
              </w:rPr>
              <w:t>生态红线</w:t>
            </w:r>
          </w:p>
          <w:p>
            <w:pPr>
              <w:pStyle w:val="2"/>
              <w:ind w:firstLine="530" w:firstLineChars="221"/>
              <w:jc w:val="left"/>
              <w:rPr>
                <w:color w:val="auto"/>
              </w:rPr>
            </w:pPr>
            <w:r>
              <w:rPr>
                <w:color w:val="auto"/>
              </w:rPr>
              <w:t>本项目位于苏州高新区</w:t>
            </w:r>
            <w:r>
              <w:rPr>
                <w:rFonts w:hint="eastAsia"/>
                <w:color w:val="auto"/>
                <w:highlight w:val="none"/>
              </w:rPr>
              <w:t>东金芝路 56 号</w:t>
            </w:r>
            <w:r>
              <w:rPr>
                <w:color w:val="auto"/>
              </w:rPr>
              <w:t>，根据《江苏省生态红线区域保护规划》（苏政发[2013]113号），本项目与附近的生态红线保护区域相对位置如下表所示。</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表1-</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苏州市重要生态功能保护区</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64"/>
              <w:gridCol w:w="868"/>
              <w:gridCol w:w="2129"/>
              <w:gridCol w:w="2033"/>
              <w:gridCol w:w="922"/>
              <w:gridCol w:w="922"/>
              <w:gridCol w:w="926"/>
              <w:gridCol w:w="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58" w:type="pct"/>
                  <w:vMerge w:val="restart"/>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460" w:type="pct"/>
                  <w:vMerge w:val="restart"/>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主导生态功能</w:t>
                  </w:r>
                </w:p>
              </w:tc>
              <w:tc>
                <w:tcPr>
                  <w:tcW w:w="2207" w:type="pct"/>
                  <w:gridSpan w:val="2"/>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红线区域范围</w:t>
                  </w:r>
                </w:p>
              </w:tc>
              <w:tc>
                <w:tcPr>
                  <w:tcW w:w="1469" w:type="pct"/>
                  <w:gridSpan w:val="3"/>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面积（平方公里）</w:t>
                  </w:r>
                </w:p>
              </w:tc>
              <w:tc>
                <w:tcPr>
                  <w:tcW w:w="403"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相对位置及距离（m）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04" w:hRule="atLeast"/>
                <w:jc w:val="center"/>
              </w:trPr>
              <w:tc>
                <w:tcPr>
                  <w:tcW w:w="458" w:type="pct"/>
                  <w:vMerge w:val="continue"/>
                  <w:tcBorders>
                    <w:top w:val="single" w:color="auto" w:sz="12" w:space="0"/>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p>
              </w:tc>
              <w:tc>
                <w:tcPr>
                  <w:tcW w:w="460" w:type="pct"/>
                  <w:vMerge w:val="continue"/>
                  <w:tcBorders>
                    <w:top w:val="single" w:color="auto" w:sz="12" w:space="0"/>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p>
              </w:tc>
              <w:tc>
                <w:tcPr>
                  <w:tcW w:w="1129" w:type="pct"/>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国家级生态保护红线范围</w:t>
                  </w:r>
                </w:p>
              </w:tc>
              <w:tc>
                <w:tcPr>
                  <w:tcW w:w="1078" w:type="pct"/>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生态空间管控区域范围</w:t>
                  </w:r>
                </w:p>
              </w:tc>
              <w:tc>
                <w:tcPr>
                  <w:tcW w:w="489" w:type="pct"/>
                  <w:tcBorders>
                    <w:bottom w:val="single" w:color="auto" w:sz="12"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国家级生态红线保护面积</w:t>
                  </w:r>
                </w:p>
              </w:tc>
              <w:tc>
                <w:tcPr>
                  <w:tcW w:w="489" w:type="pct"/>
                  <w:tcBorders>
                    <w:bottom w:val="single" w:color="auto" w:sz="12"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生态空间管控区域面积</w:t>
                  </w:r>
                </w:p>
              </w:tc>
              <w:tc>
                <w:tcPr>
                  <w:tcW w:w="490" w:type="pct"/>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总面积</w:t>
                  </w:r>
                </w:p>
              </w:tc>
              <w:tc>
                <w:tcPr>
                  <w:tcW w:w="403" w:type="pct"/>
                  <w:vMerge w:val="continue"/>
                  <w:tcBorders>
                    <w:bottom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58"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江苏大阳山国家森林公园</w:t>
                  </w:r>
                </w:p>
              </w:tc>
              <w:tc>
                <w:tcPr>
                  <w:tcW w:w="460"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自然与人文景观保护</w:t>
                  </w:r>
                </w:p>
              </w:tc>
              <w:tc>
                <w:tcPr>
                  <w:tcW w:w="1129"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阳山环路以西，兴贤路以南，太湖大道以北，阳山环路西线以东，区域内包括浒关分区、东渚镇、通安镇、阳山林场，涉及新民村、石林村、观山村、香桥村、树山村、青峰村、宝山村、阳山村</w:t>
                  </w:r>
                </w:p>
              </w:tc>
              <w:tc>
                <w:tcPr>
                  <w:tcW w:w="1078"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489"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10.3</w:t>
                  </w:r>
                </w:p>
              </w:tc>
              <w:tc>
                <w:tcPr>
                  <w:tcW w:w="489"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490" w:type="pct"/>
                  <w:tcBorders>
                    <w:top w:val="single" w:color="auto" w:sz="12"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10.30</w:t>
                  </w:r>
                </w:p>
              </w:tc>
              <w:tc>
                <w:tcPr>
                  <w:tcW w:w="403" w:type="pct"/>
                  <w:tcBorders>
                    <w:top w:val="single" w:color="auto" w:sz="12"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172" w:hRule="atLeast"/>
                <w:jc w:val="center"/>
              </w:trPr>
              <w:tc>
                <w:tcPr>
                  <w:tcW w:w="458"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太湖（高新区）重要保护区</w:t>
                  </w:r>
                </w:p>
              </w:tc>
              <w:tc>
                <w:tcPr>
                  <w:tcW w:w="46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湿地生态系统保护</w:t>
                  </w:r>
                </w:p>
              </w:tc>
              <w:tc>
                <w:tcPr>
                  <w:tcW w:w="1129" w:type="pct"/>
                  <w:noWrap w:val="0"/>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w:t>
                  </w:r>
                </w:p>
              </w:tc>
              <w:tc>
                <w:tcPr>
                  <w:tcW w:w="1078"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分为两部分：湖体和湖岸。湖体为高新区内太湖水体（不包括金墅港、镇湖饮用水源保护区和太湖梅鲚河蚬国家级水产种质资源保护区的核心区）。湖岸部分为高新区太湖大堤以东1公里生态林带范围</w:t>
                  </w:r>
                </w:p>
              </w:tc>
              <w:tc>
                <w:tcPr>
                  <w:tcW w:w="489"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489"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126.62</w:t>
                  </w:r>
                </w:p>
              </w:tc>
              <w:tc>
                <w:tcPr>
                  <w:tcW w:w="490" w:type="pct"/>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126.62</w:t>
                  </w:r>
                </w:p>
              </w:tc>
              <w:tc>
                <w:tcPr>
                  <w:tcW w:w="403"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9000</w:t>
                  </w:r>
                </w:p>
              </w:tc>
            </w:tr>
          </w:tbl>
          <w:p>
            <w:pPr>
              <w:ind w:firstLine="480" w:firstLineChars="200"/>
              <w:rPr>
                <w:color w:val="auto"/>
              </w:rPr>
            </w:pPr>
            <w:r>
              <w:rPr>
                <w:rFonts w:hint="default" w:ascii="Times New Roman" w:hAnsi="Times New Roman" w:eastAsia="宋体" w:cs="Times New Roman"/>
              </w:rPr>
              <w:t>本项目位于苏州高新区富春江路188号，对照《江苏省生态空间管控区域规划》，离本项目最近的国家级生态保护红线区域为项目</w:t>
            </w:r>
            <w:r>
              <w:rPr>
                <w:rFonts w:hint="default" w:ascii="Times New Roman" w:hAnsi="Times New Roman" w:eastAsia="宋体" w:cs="Times New Roman"/>
                <w:lang w:val="en-US" w:eastAsia="zh-CN"/>
              </w:rPr>
              <w:t>东</w:t>
            </w:r>
            <w:r>
              <w:rPr>
                <w:rFonts w:hint="default" w:ascii="Times New Roman" w:hAnsi="Times New Roman" w:eastAsia="宋体" w:cs="Times New Roman"/>
              </w:rPr>
              <w:t>侧</w:t>
            </w:r>
            <w:r>
              <w:rPr>
                <w:rFonts w:hint="eastAsia" w:ascii="Times New Roman" w:hAnsi="Times New Roman" w:eastAsia="宋体" w:cs="Times New Roman"/>
                <w:lang w:val="en-US" w:eastAsia="zh-CN"/>
              </w:rPr>
              <w:t>1000m</w:t>
            </w:r>
            <w:r>
              <w:rPr>
                <w:rFonts w:hint="default" w:ascii="Times New Roman" w:hAnsi="Times New Roman" w:eastAsia="宋体" w:cs="Times New Roman"/>
              </w:rPr>
              <w:t>江苏大阳山国家森林公园，本项目不在其生态保护红线区域范围内，符合《江苏省生态空间管控区域规划》的相关要求。离本项目最近的生态空间管控区域为项目西侧</w:t>
            </w:r>
            <w:r>
              <w:rPr>
                <w:rFonts w:hint="eastAsia" w:ascii="Times New Roman" w:hAnsi="Times New Roman" w:eastAsia="宋体" w:cs="Times New Roman"/>
                <w:lang w:val="en-US" w:eastAsia="zh-CN"/>
              </w:rPr>
              <w:t>9000</w:t>
            </w:r>
            <w:r>
              <w:rPr>
                <w:rFonts w:hint="default" w:ascii="Times New Roman" w:hAnsi="Times New Roman" w:eastAsia="宋体" w:cs="Times New Roman"/>
              </w:rPr>
              <w:t>m的太湖（高新区）重要保护区，本项目不在其生态空间管控区域内，符合《江苏省生态空间管控区域规划》相关要求。</w:t>
            </w:r>
          </w:p>
          <w:p>
            <w:pPr>
              <w:ind w:firstLine="480" w:firstLineChars="200"/>
              <w:rPr>
                <w:color w:val="auto"/>
              </w:rPr>
            </w:pPr>
            <w:r>
              <w:rPr>
                <w:rFonts w:hint="eastAsia"/>
                <w:color w:val="auto"/>
              </w:rPr>
              <w:t>②</w:t>
            </w:r>
            <w:r>
              <w:rPr>
                <w:color w:val="auto"/>
              </w:rPr>
              <w:t>环境质量底线</w:t>
            </w:r>
          </w:p>
          <w:p>
            <w:pPr>
              <w:ind w:firstLine="480" w:firstLineChars="200"/>
              <w:rPr>
                <w:color w:val="auto"/>
              </w:rPr>
            </w:pPr>
            <w:r>
              <w:rPr>
                <w:color w:val="auto"/>
              </w:rPr>
              <w:t>项目所在区域环境空气指数为90，空气质量状况为良，环境空气质量优良率为67.1%。PM</w:t>
            </w:r>
            <w:r>
              <w:rPr>
                <w:color w:val="auto"/>
                <w:vertAlign w:val="subscript"/>
              </w:rPr>
              <w:t>10</w:t>
            </w:r>
            <w:r>
              <w:rPr>
                <w:color w:val="auto"/>
              </w:rPr>
              <w:t>、SO</w:t>
            </w:r>
            <w:r>
              <w:rPr>
                <w:color w:val="auto"/>
                <w:vertAlign w:val="subscript"/>
              </w:rPr>
              <w:t>2</w:t>
            </w:r>
            <w:r>
              <w:rPr>
                <w:color w:val="auto"/>
              </w:rPr>
              <w:t>指标年均值达到国家《环境空气质量标准》（GB3095-2012）及其修改单中年均值的二级标准，NO</w:t>
            </w:r>
            <w:r>
              <w:rPr>
                <w:color w:val="auto"/>
                <w:vertAlign w:val="subscript"/>
              </w:rPr>
              <w:t>2</w:t>
            </w:r>
            <w:r>
              <w:rPr>
                <w:color w:val="auto"/>
              </w:rPr>
              <w:t>和PM</w:t>
            </w:r>
            <w:r>
              <w:rPr>
                <w:color w:val="auto"/>
                <w:vertAlign w:val="subscript"/>
              </w:rPr>
              <w:t>2.5</w:t>
            </w:r>
            <w:r>
              <w:rPr>
                <w:color w:val="auto"/>
              </w:rPr>
              <w:t>二项指标的年均值未达到国家《环境空气质量标准》（GB3095-2012）及其修改单中年均值的二级标准。为进一步改善环境质量，根据《市政府办公室关于印发苏州市“十三五”生态环境保护规划的通知》（苏府办[2016]210号），苏州市以2020年为规划年，以空气质量达到优良天数的比例为大于73.9%约束性指标，PM2.5年均浓度总体下降比例≥20%约束性指标，氮氧化物排放量削减比例完成省下达任务约束性指标等，通过加快产业转型升级、严格环境准入、强化排污许可证制度、促进节能减排低碳、推进污染减排精细化管理、强化煤炭消费总量控制、加强工业废气污染协同治理、深化交通污染防治、严格控制扬尘污染、强化油烟污染防治、推进区域联防联控等措施，提升大气污染精细化防控能力。届时，苏州高新区的环境空气质量将得到极大的改善；地表水（纳污河流京杭运河）符合《地表水环境质量标准》（GB3838-2002）</w:t>
            </w:r>
            <w:r>
              <w:rPr>
                <w:rFonts w:hint="eastAsia"/>
                <w:color w:val="auto"/>
              </w:rPr>
              <w:t>Ⅳ</w:t>
            </w:r>
            <w:r>
              <w:rPr>
                <w:color w:val="auto"/>
              </w:rPr>
              <w:t>类标准；所在区域环境噪声达到《声环境质量标准》（GB3096-2008）3类标准。本项目生活废水达到接管标准后接入镇湖污水处理厂进行处理，废气、固废均得到合理处置，噪声对周边影响较小，不会降低项目所在地的环境功能质量。因此本项目的建设不会突破环境质量底线。</w:t>
            </w:r>
          </w:p>
          <w:p>
            <w:pPr>
              <w:ind w:firstLine="480" w:firstLineChars="200"/>
              <w:rPr>
                <w:color w:val="auto"/>
              </w:rPr>
            </w:pPr>
            <w:r>
              <w:rPr>
                <w:color w:val="auto"/>
              </w:rPr>
              <w:fldChar w:fldCharType="begin"/>
            </w:r>
            <w:r>
              <w:rPr>
                <w:color w:val="auto"/>
              </w:rPr>
              <w:instrText xml:space="preserve"> = 3 \* GB3 </w:instrText>
            </w:r>
            <w:r>
              <w:rPr>
                <w:color w:val="auto"/>
              </w:rPr>
              <w:fldChar w:fldCharType="separate"/>
            </w:r>
            <w:r>
              <w:rPr>
                <w:rFonts w:hint="eastAsia"/>
                <w:color w:val="auto"/>
              </w:rPr>
              <w:t>③</w:t>
            </w:r>
            <w:r>
              <w:rPr>
                <w:color w:val="auto"/>
              </w:rPr>
              <w:fldChar w:fldCharType="end"/>
            </w:r>
            <w:r>
              <w:rPr>
                <w:color w:val="auto"/>
              </w:rPr>
              <w:t>资源利用上线</w:t>
            </w:r>
          </w:p>
          <w:p>
            <w:pPr>
              <w:ind w:firstLine="480" w:firstLineChars="200"/>
              <w:rPr>
                <w:color w:val="auto"/>
              </w:rPr>
            </w:pPr>
            <w:r>
              <w:rPr>
                <w:color w:val="auto"/>
              </w:rPr>
              <w:t>本项目用水取自当地自来水，且用水量较小，不会达到资源利用上线；项目占地符合当地规划要求，亦不会达到资源利用上线。</w:t>
            </w:r>
          </w:p>
          <w:p>
            <w:pPr>
              <w:ind w:firstLine="480" w:firstLineChars="200"/>
              <w:rPr>
                <w:color w:val="auto"/>
              </w:rPr>
            </w:pPr>
            <w:r>
              <w:rPr>
                <w:rFonts w:hint="eastAsia"/>
                <w:color w:val="auto"/>
              </w:rPr>
              <w:t>④</w:t>
            </w:r>
            <w:r>
              <w:rPr>
                <w:color w:val="auto"/>
              </w:rPr>
              <w:t>环境准入负面清单</w:t>
            </w:r>
          </w:p>
          <w:p>
            <w:pPr>
              <w:ind w:firstLine="480" w:firstLineChars="200"/>
              <w:rPr>
                <w:color w:val="auto"/>
              </w:rPr>
            </w:pPr>
            <w:r>
              <w:rPr>
                <w:color w:val="auto"/>
              </w:rPr>
              <w:t>本项目所在地没有环境负面准入清单。本次环评对照国家及地方产业政策和《市场准入负面清单（2018年版）》进行说明，具体见表1-</w:t>
            </w:r>
            <w:r>
              <w:rPr>
                <w:rFonts w:hint="eastAsia"/>
                <w:color w:val="auto"/>
                <w:lang w:val="en-US" w:eastAsia="zh-CN"/>
              </w:rPr>
              <w:t>6</w:t>
            </w:r>
            <w:r>
              <w:rPr>
                <w:color w:val="auto"/>
              </w:rPr>
              <w:t>。</w:t>
            </w:r>
          </w:p>
          <w:p>
            <w:pPr>
              <w:ind w:firstLine="422" w:firstLineChars="200"/>
              <w:jc w:val="center"/>
              <w:rPr>
                <w:b/>
                <w:bCs/>
                <w:color w:val="auto"/>
                <w:sz w:val="21"/>
                <w:szCs w:val="21"/>
              </w:rPr>
            </w:pPr>
            <w:r>
              <w:rPr>
                <w:b/>
                <w:bCs/>
                <w:color w:val="auto"/>
                <w:sz w:val="21"/>
                <w:szCs w:val="21"/>
              </w:rPr>
              <w:t>表1-</w:t>
            </w:r>
            <w:r>
              <w:rPr>
                <w:rFonts w:hint="eastAsia"/>
                <w:b/>
                <w:bCs/>
                <w:color w:val="auto"/>
                <w:sz w:val="21"/>
                <w:szCs w:val="21"/>
                <w:lang w:val="en-US" w:eastAsia="zh-CN"/>
              </w:rPr>
              <w:t>6</w:t>
            </w:r>
            <w:r>
              <w:rPr>
                <w:b/>
                <w:bCs/>
                <w:color w:val="auto"/>
                <w:sz w:val="21"/>
                <w:szCs w:val="21"/>
              </w:rPr>
              <w:t>本项目与国家及地方产业政策和《市场准入负面清单（2018年版）》相符性分析</w:t>
            </w:r>
          </w:p>
          <w:tbl>
            <w:tblPr>
              <w:tblStyle w:val="26"/>
              <w:tblW w:w="941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280"/>
              <w:gridCol w:w="52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序号</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内容</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相符性分析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1</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《产业结构调整指导目录（2011年本）》（2013年修正）</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经查《产业结构调整指导目录（2011年本）》（2013年修正），项目不在《产业结构调整指导目录（2011年本）》（2013年修正）限制类和淘汰类中，为允许类，符合该文件的要求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2</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《江苏省工业和信息产业结构调整指导目录》（2012年本）</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经查《江苏省工业和信息产业结构调整指导目录》（2012年本），项目不在《江苏省工业和信息产业结构调整指导目录》（2012年本）中的限制及淘汰类，为允许类，符合该文件的要求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3</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《江苏省工业和信息产业结构调整限制淘汰目录和能耗限额的通知》（苏政办发[2015]118号）</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经查《江苏省工业和信息产业结构调整限制淘汰目录和能耗限额的通知》（苏政办发[2015]118号），项目不在《省发展改革委江苏省工业和信息产业结构调整限制淘汰目录和能耗限额的通知》（苏政办发[2015]118号）中淘汰类和限制类，符合该文件的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4</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《限制用地项目目录（2012年本）》《禁止用地项目目录（2012年本）》</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本项目不在《限制用地项目目录（2012年本）》、《禁止用地项目目录（2012年本）》中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5</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《江苏省限制用地项目目录（2013年本）》、《江苏省禁止用地项目目录（2013年本）》</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本项目不在《江苏省限制用地项目目录（2013年本）》、《江苏省禁止用地项目目录（2013年本）》中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6</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《市场准入负面清单（2018版本）》</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经查《市场准入负面清单（2018版本）》，本项目不在其禁止准入类和限制准入类中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7</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《江苏省太湖水污染防治条例》（2018年修订）</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根据《江苏省太湖水污染防治条例》（2018年修订）第四十三条规定：太湖流域一、二、三级保护区禁止下列行为：“（一）新建、改建、扩建化学制浆造纸、制革、酿造、染料、印染、电镀以及其他排放含磷、氮等污染物的企业和项目，城镇污水集中处理等环境基础设施项目和第四十六条规定的情形除外……”本项目位于太湖流域三级保护区，项目属于环境保护专用设备制造，不在上述禁止和限制行业范围内，并且无生产废水排放，因此符合该条例规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8</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《苏州市主体功能区实施意见》</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经查《苏州市主体功能区实施意见》，本项目不在其限制开发区域和禁止开发区域内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7" w:type="dxa"/>
                  <w:tcBorders>
                    <w:top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9</w:t>
                  </w:r>
                </w:p>
              </w:tc>
              <w:tc>
                <w:tcPr>
                  <w:tcW w:w="3280" w:type="dxa"/>
                  <w:tcBorders>
                    <w:top w:val="single" w:color="auto" w:sz="4" w:space="0"/>
                    <w:left w:val="single" w:color="auto" w:sz="4" w:space="0"/>
                    <w:bottom w:val="single" w:color="auto" w:sz="4" w:space="0"/>
                    <w:right w:val="single" w:color="auto" w:sz="4" w:space="0"/>
                  </w:tcBorders>
                  <w:vAlign w:val="center"/>
                </w:tcPr>
                <w:p>
                  <w:pPr>
                    <w:pStyle w:val="95"/>
                    <w:rPr>
                      <w:color w:val="auto"/>
                      <w:sz w:val="21"/>
                      <w:szCs w:val="21"/>
                    </w:rPr>
                  </w:pPr>
                  <w:r>
                    <w:rPr>
                      <w:color w:val="auto"/>
                      <w:sz w:val="21"/>
                      <w:szCs w:val="21"/>
                    </w:rPr>
                    <w:t>《苏州市产业发展导向目录（2007年本）》</w:t>
                  </w:r>
                </w:p>
              </w:tc>
              <w:tc>
                <w:tcPr>
                  <w:tcW w:w="5295" w:type="dxa"/>
                  <w:tcBorders>
                    <w:top w:val="single" w:color="auto" w:sz="4" w:space="0"/>
                    <w:left w:val="single" w:color="auto" w:sz="4" w:space="0"/>
                    <w:bottom w:val="single" w:color="auto" w:sz="4" w:space="0"/>
                  </w:tcBorders>
                  <w:vAlign w:val="center"/>
                </w:tcPr>
                <w:p>
                  <w:pPr>
                    <w:pStyle w:val="95"/>
                    <w:rPr>
                      <w:color w:val="auto"/>
                      <w:sz w:val="21"/>
                      <w:szCs w:val="21"/>
                    </w:rPr>
                  </w:pPr>
                  <w:r>
                    <w:rPr>
                      <w:color w:val="auto"/>
                      <w:sz w:val="21"/>
                      <w:szCs w:val="21"/>
                    </w:rPr>
                    <w:t>本项目不属于《苏州市产业发展导向目录（2007年本）》中限制、禁止类、淘汰类，属于允许类。</w:t>
                  </w:r>
                </w:p>
              </w:tc>
            </w:tr>
          </w:tbl>
          <w:p>
            <w:pPr>
              <w:ind w:firstLine="480" w:firstLineChars="200"/>
              <w:rPr>
                <w:color w:val="auto"/>
              </w:rPr>
            </w:pPr>
            <w:r>
              <w:rPr>
                <w:color w:val="auto"/>
              </w:rPr>
              <w:t>综上所述，本项目符合“三线一单”要求。</w:t>
            </w:r>
          </w:p>
          <w:p>
            <w:pPr>
              <w:rPr>
                <w:color w:val="auto"/>
                <w:highlight w:val="none"/>
              </w:rPr>
            </w:pPr>
            <w:r>
              <w:rPr>
                <w:color w:val="auto"/>
              </w:rPr>
              <w:t>8、与《太湖流域管理条例》、</w:t>
            </w:r>
            <w:r>
              <w:rPr>
                <w:color w:val="auto"/>
                <w:highlight w:val="none"/>
              </w:rPr>
              <w:t>《江苏省太湖水污染防治条例》相符性</w:t>
            </w:r>
          </w:p>
          <w:p>
            <w:pPr>
              <w:ind w:firstLine="480" w:firstLineChars="200"/>
              <w:rPr>
                <w:color w:val="auto"/>
                <w:highlight w:val="none"/>
              </w:rPr>
            </w:pPr>
            <w:r>
              <w:rPr>
                <w:color w:val="auto"/>
                <w:highlight w:val="none"/>
              </w:rPr>
              <w:t>本项目地距离太湖最近距离</w:t>
            </w:r>
            <w:r>
              <w:rPr>
                <w:rFonts w:hint="eastAsia"/>
                <w:color w:val="auto"/>
                <w:highlight w:val="none"/>
                <w:lang w:val="en-US" w:eastAsia="zh-CN"/>
              </w:rPr>
              <w:t>9000</w:t>
            </w:r>
            <w:r>
              <w:rPr>
                <w:color w:val="auto"/>
                <w:highlight w:val="none"/>
              </w:rPr>
              <w:t>m，根据江苏省人民政府办公厅文件《省政府办公厅关于公布江苏省太湖流域三级保护区范围的通知》（苏政办发[2012]221号），本项目位于太湖重要保护区三级保护区范围内。</w:t>
            </w:r>
          </w:p>
          <w:p>
            <w:pPr>
              <w:ind w:firstLine="480" w:firstLineChars="200"/>
              <w:rPr>
                <w:color w:val="auto"/>
              </w:rPr>
            </w:pPr>
            <w:r>
              <w:rPr>
                <w:color w:val="auto"/>
              </w:rPr>
              <w:t>对照《太湖流域管理条例》、《江苏省太湖水污染防治条例》（2018年1月24日江苏省第十二届人民代表大会常务委员会第三十四次会议修正），本项目相符性分析如下表。</w:t>
            </w:r>
          </w:p>
          <w:p>
            <w:pPr>
              <w:ind w:firstLine="422" w:firstLineChars="200"/>
              <w:jc w:val="center"/>
              <w:rPr>
                <w:b/>
                <w:bCs/>
                <w:color w:val="auto"/>
                <w:sz w:val="21"/>
                <w:szCs w:val="21"/>
              </w:rPr>
            </w:pPr>
            <w:r>
              <w:rPr>
                <w:b/>
                <w:bCs/>
                <w:color w:val="auto"/>
                <w:sz w:val="21"/>
                <w:szCs w:val="21"/>
              </w:rPr>
              <w:t>表1-</w:t>
            </w:r>
            <w:r>
              <w:rPr>
                <w:rFonts w:hint="eastAsia"/>
                <w:b/>
                <w:bCs/>
                <w:color w:val="auto"/>
                <w:sz w:val="21"/>
                <w:szCs w:val="21"/>
                <w:lang w:val="en-US" w:eastAsia="zh-CN"/>
              </w:rPr>
              <w:t>7</w:t>
            </w:r>
            <w:r>
              <w:rPr>
                <w:b/>
                <w:bCs/>
                <w:color w:val="auto"/>
                <w:sz w:val="21"/>
                <w:szCs w:val="21"/>
              </w:rPr>
              <w:t>《太湖流域管理条例》及《江苏省太湖水污染防治条例》有关条例及相符性分析一览表</w:t>
            </w:r>
          </w:p>
          <w:tbl>
            <w:tblPr>
              <w:tblStyle w:val="26"/>
              <w:tblW w:w="941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35"/>
              <w:gridCol w:w="4871"/>
              <w:gridCol w:w="2251"/>
              <w:gridCol w:w="10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Align w:val="center"/>
                </w:tcPr>
                <w:p>
                  <w:pPr>
                    <w:spacing w:line="320" w:lineRule="exact"/>
                    <w:jc w:val="center"/>
                    <w:rPr>
                      <w:color w:val="auto"/>
                      <w:sz w:val="21"/>
                      <w:szCs w:val="21"/>
                    </w:rPr>
                  </w:pPr>
                  <w:r>
                    <w:rPr>
                      <w:color w:val="auto"/>
                      <w:sz w:val="21"/>
                      <w:szCs w:val="21"/>
                    </w:rPr>
                    <w:t>条例名称</w:t>
                  </w:r>
                </w:p>
              </w:tc>
              <w:tc>
                <w:tcPr>
                  <w:tcW w:w="4871" w:type="dxa"/>
                  <w:vAlign w:val="center"/>
                </w:tcPr>
                <w:p>
                  <w:pPr>
                    <w:spacing w:line="276" w:lineRule="auto"/>
                    <w:jc w:val="center"/>
                    <w:rPr>
                      <w:color w:val="auto"/>
                      <w:sz w:val="21"/>
                      <w:szCs w:val="21"/>
                    </w:rPr>
                  </w:pPr>
                  <w:r>
                    <w:rPr>
                      <w:color w:val="auto"/>
                      <w:sz w:val="21"/>
                      <w:szCs w:val="21"/>
                    </w:rPr>
                    <w:t>管理要求</w:t>
                  </w:r>
                </w:p>
              </w:tc>
              <w:tc>
                <w:tcPr>
                  <w:tcW w:w="2251" w:type="dxa"/>
                  <w:vAlign w:val="center"/>
                </w:tcPr>
                <w:p>
                  <w:pPr>
                    <w:spacing w:line="276" w:lineRule="auto"/>
                    <w:jc w:val="center"/>
                    <w:rPr>
                      <w:color w:val="auto"/>
                      <w:sz w:val="21"/>
                      <w:szCs w:val="21"/>
                    </w:rPr>
                  </w:pPr>
                  <w:r>
                    <w:rPr>
                      <w:color w:val="auto"/>
                      <w:sz w:val="21"/>
                      <w:szCs w:val="21"/>
                    </w:rPr>
                    <w:t>本项目管理要求</w:t>
                  </w:r>
                </w:p>
              </w:tc>
              <w:tc>
                <w:tcPr>
                  <w:tcW w:w="1055" w:type="dxa"/>
                  <w:vAlign w:val="center"/>
                </w:tcPr>
                <w:p>
                  <w:pPr>
                    <w:spacing w:line="276" w:lineRule="auto"/>
                    <w:jc w:val="center"/>
                    <w:rPr>
                      <w:color w:val="auto"/>
                      <w:sz w:val="21"/>
                      <w:szCs w:val="21"/>
                    </w:rPr>
                  </w:pPr>
                  <w:r>
                    <w:rPr>
                      <w:color w:val="auto"/>
                      <w:sz w:val="21"/>
                      <w:szCs w:val="21"/>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restart"/>
                  <w:vAlign w:val="center"/>
                </w:tcPr>
                <w:p>
                  <w:pPr>
                    <w:spacing w:line="320" w:lineRule="exact"/>
                    <w:jc w:val="center"/>
                    <w:rPr>
                      <w:color w:val="auto"/>
                      <w:sz w:val="21"/>
                      <w:szCs w:val="21"/>
                    </w:rPr>
                  </w:pPr>
                  <w:r>
                    <w:rPr>
                      <w:color w:val="auto"/>
                      <w:sz w:val="21"/>
                      <w:szCs w:val="21"/>
                    </w:rPr>
                    <w:t>《江苏省太湖水污染防治条例》（2018年5月1日）</w:t>
                  </w:r>
                </w:p>
              </w:tc>
              <w:tc>
                <w:tcPr>
                  <w:tcW w:w="4871" w:type="dxa"/>
                  <w:vAlign w:val="center"/>
                </w:tcPr>
                <w:p>
                  <w:pPr>
                    <w:spacing w:line="276" w:lineRule="auto"/>
                    <w:jc w:val="center"/>
                    <w:rPr>
                      <w:color w:val="auto"/>
                      <w:sz w:val="21"/>
                      <w:szCs w:val="21"/>
                    </w:rPr>
                  </w:pPr>
                  <w:r>
                    <w:rPr>
                      <w:color w:val="auto"/>
                      <w:sz w:val="21"/>
                      <w:szCs w:val="21"/>
                    </w:rPr>
                    <w:t>第四十三条：太湖流域一、二、三级保护区禁止下列行为：</w:t>
                  </w:r>
                </w:p>
              </w:tc>
              <w:tc>
                <w:tcPr>
                  <w:tcW w:w="2251" w:type="dxa"/>
                  <w:vAlign w:val="center"/>
                </w:tcPr>
                <w:p>
                  <w:pPr>
                    <w:spacing w:line="276" w:lineRule="auto"/>
                    <w:jc w:val="center"/>
                    <w:rPr>
                      <w:color w:val="auto"/>
                      <w:sz w:val="21"/>
                      <w:szCs w:val="21"/>
                    </w:rPr>
                  </w:pPr>
                  <w:r>
                    <w:rPr>
                      <w:color w:val="auto"/>
                      <w:sz w:val="21"/>
                      <w:szCs w:val="21"/>
                    </w:rPr>
                    <w:t>/</w:t>
                  </w:r>
                </w:p>
              </w:tc>
              <w:tc>
                <w:tcPr>
                  <w:tcW w:w="1055" w:type="dxa"/>
                  <w:vAlign w:val="center"/>
                </w:tcPr>
                <w:p>
                  <w:pPr>
                    <w:spacing w:line="276" w:lineRule="auto"/>
                    <w:jc w:val="center"/>
                    <w:rPr>
                      <w:color w:val="auto"/>
                      <w:sz w:val="21"/>
                      <w:szCs w:val="21"/>
                    </w:rPr>
                  </w:pPr>
                  <w:r>
                    <w:rPr>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（一）新建、改建、扩建化学纸浆造纸、制革、酿造、染料、印染、电镀以及其他排放含磷、氮等污染物的企业和项目，城镇污水集中处理等环境基础设施项目和第四十六条规定的情形除外；</w:t>
                  </w:r>
                </w:p>
              </w:tc>
              <w:tc>
                <w:tcPr>
                  <w:tcW w:w="2251" w:type="dxa"/>
                  <w:vAlign w:val="center"/>
                </w:tcPr>
                <w:p>
                  <w:pPr>
                    <w:spacing w:line="276" w:lineRule="auto"/>
                    <w:jc w:val="center"/>
                    <w:rPr>
                      <w:color w:val="auto"/>
                      <w:sz w:val="21"/>
                      <w:szCs w:val="21"/>
                    </w:rPr>
                  </w:pPr>
                  <w:r>
                    <w:rPr>
                      <w:color w:val="auto"/>
                      <w:sz w:val="21"/>
                      <w:szCs w:val="21"/>
                    </w:rPr>
                    <w:t>本项目建设内容为环境保护专用设备制造，无生产废水产生。</w:t>
                  </w:r>
                </w:p>
              </w:tc>
              <w:tc>
                <w:tcPr>
                  <w:tcW w:w="1055" w:type="dxa"/>
                  <w:vAlign w:val="center"/>
                </w:tcPr>
                <w:p>
                  <w:pPr>
                    <w:spacing w:line="276" w:lineRule="auto"/>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（二）销售、使用含磷洗涤用品；</w:t>
                  </w:r>
                </w:p>
              </w:tc>
              <w:tc>
                <w:tcPr>
                  <w:tcW w:w="2251" w:type="dxa"/>
                  <w:vAlign w:val="center"/>
                </w:tcPr>
                <w:p>
                  <w:pPr>
                    <w:spacing w:line="276" w:lineRule="auto"/>
                    <w:jc w:val="center"/>
                    <w:rPr>
                      <w:color w:val="auto"/>
                      <w:sz w:val="21"/>
                      <w:szCs w:val="21"/>
                    </w:rPr>
                  </w:pPr>
                  <w:r>
                    <w:rPr>
                      <w:color w:val="auto"/>
                      <w:sz w:val="21"/>
                      <w:szCs w:val="21"/>
                    </w:rPr>
                    <w:t>本项目不销售、使用含磷洗涤用品。</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（三）向水体排放或者倾倒油类、酸液、碱液、剧毒废渣废液、含放射性废渣废液、含病原体污水、工业废渣以及其他废弃物；</w:t>
                  </w:r>
                </w:p>
              </w:tc>
              <w:tc>
                <w:tcPr>
                  <w:tcW w:w="2251" w:type="dxa"/>
                  <w:vAlign w:val="center"/>
                </w:tcPr>
                <w:p>
                  <w:pPr>
                    <w:spacing w:line="276" w:lineRule="auto"/>
                    <w:jc w:val="center"/>
                    <w:rPr>
                      <w:color w:val="auto"/>
                      <w:sz w:val="21"/>
                      <w:szCs w:val="21"/>
                    </w:rPr>
                  </w:pPr>
                  <w:r>
                    <w:rPr>
                      <w:color w:val="auto"/>
                      <w:sz w:val="21"/>
                      <w:szCs w:val="21"/>
                    </w:rPr>
                    <w:t>本项目不向水体排放污染物。</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（四）在水体清洗装贮过油类或者有毒有害污染物的车辆、船舶和容器等；</w:t>
                  </w:r>
                </w:p>
              </w:tc>
              <w:tc>
                <w:tcPr>
                  <w:tcW w:w="2251" w:type="dxa"/>
                  <w:vAlign w:val="center"/>
                </w:tcPr>
                <w:p>
                  <w:pPr>
                    <w:spacing w:line="276" w:lineRule="auto"/>
                    <w:jc w:val="center"/>
                    <w:rPr>
                      <w:color w:val="auto"/>
                      <w:sz w:val="21"/>
                      <w:szCs w:val="21"/>
                    </w:rPr>
                  </w:pPr>
                  <w:r>
                    <w:rPr>
                      <w:color w:val="auto"/>
                      <w:sz w:val="21"/>
                      <w:szCs w:val="21"/>
                    </w:rPr>
                    <w:t>本项目不向水体排放污染物。</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（五）使用农药等有毒物毒杀水生生物；</w:t>
                  </w:r>
                </w:p>
              </w:tc>
              <w:tc>
                <w:tcPr>
                  <w:tcW w:w="2251" w:type="dxa"/>
                  <w:vAlign w:val="center"/>
                </w:tcPr>
                <w:p>
                  <w:pPr>
                    <w:spacing w:line="276" w:lineRule="auto"/>
                    <w:jc w:val="center"/>
                    <w:rPr>
                      <w:color w:val="auto"/>
                      <w:sz w:val="21"/>
                      <w:szCs w:val="21"/>
                    </w:rPr>
                  </w:pPr>
                  <w:r>
                    <w:rPr>
                      <w:color w:val="auto"/>
                      <w:sz w:val="21"/>
                      <w:szCs w:val="21"/>
                    </w:rPr>
                    <w:t>本项目不使用农药。</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（六）向水体直接排放人畜粪便、倾倒垃圾；</w:t>
                  </w:r>
                </w:p>
              </w:tc>
              <w:tc>
                <w:tcPr>
                  <w:tcW w:w="2251" w:type="dxa"/>
                  <w:vAlign w:val="center"/>
                </w:tcPr>
                <w:p>
                  <w:pPr>
                    <w:spacing w:line="276" w:lineRule="auto"/>
                    <w:jc w:val="center"/>
                    <w:rPr>
                      <w:color w:val="auto"/>
                      <w:sz w:val="21"/>
                      <w:szCs w:val="21"/>
                    </w:rPr>
                  </w:pPr>
                  <w:r>
                    <w:rPr>
                      <w:color w:val="auto"/>
                      <w:sz w:val="21"/>
                      <w:szCs w:val="21"/>
                    </w:rPr>
                    <w:t>本项目不向水体排放污染物。生活污水接管至镇湖污水处理厂</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（七）围湖造地；</w:t>
                  </w:r>
                </w:p>
              </w:tc>
              <w:tc>
                <w:tcPr>
                  <w:tcW w:w="2251" w:type="dxa"/>
                  <w:vAlign w:val="center"/>
                </w:tcPr>
                <w:p>
                  <w:pPr>
                    <w:spacing w:line="276" w:lineRule="auto"/>
                    <w:jc w:val="center"/>
                    <w:rPr>
                      <w:color w:val="auto"/>
                      <w:sz w:val="21"/>
                      <w:szCs w:val="21"/>
                    </w:rPr>
                  </w:pPr>
                  <w:r>
                    <w:rPr>
                      <w:color w:val="auto"/>
                      <w:sz w:val="21"/>
                      <w:szCs w:val="21"/>
                    </w:rPr>
                    <w:t>本项目不围湖造地。</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（八）违法开山采石，或者进行破坏林木、植被、水生生物的活动；</w:t>
                  </w:r>
                </w:p>
              </w:tc>
              <w:tc>
                <w:tcPr>
                  <w:tcW w:w="2251" w:type="dxa"/>
                  <w:vAlign w:val="center"/>
                </w:tcPr>
                <w:p>
                  <w:pPr>
                    <w:spacing w:line="276" w:lineRule="auto"/>
                    <w:jc w:val="center"/>
                    <w:rPr>
                      <w:color w:val="auto"/>
                      <w:sz w:val="21"/>
                      <w:szCs w:val="21"/>
                    </w:rPr>
                  </w:pPr>
                  <w:r>
                    <w:rPr>
                      <w:color w:val="auto"/>
                      <w:sz w:val="21"/>
                      <w:szCs w:val="21"/>
                    </w:rPr>
                    <w:t>本项目不会进行开山采石、破坏林木、植被、水生生物的活动。</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（九）法律、法规禁止的其他行为。</w:t>
                  </w:r>
                </w:p>
              </w:tc>
              <w:tc>
                <w:tcPr>
                  <w:tcW w:w="2251" w:type="dxa"/>
                  <w:vAlign w:val="center"/>
                </w:tcPr>
                <w:p>
                  <w:pPr>
                    <w:spacing w:line="276" w:lineRule="auto"/>
                    <w:jc w:val="center"/>
                    <w:rPr>
                      <w:color w:val="auto"/>
                      <w:sz w:val="21"/>
                      <w:szCs w:val="21"/>
                    </w:rPr>
                  </w:pPr>
                  <w:r>
                    <w:rPr>
                      <w:color w:val="auto"/>
                      <w:sz w:val="21"/>
                      <w:szCs w:val="21"/>
                    </w:rPr>
                    <w:t>本项目不进行法律、法规禁止的其他行为。</w:t>
                  </w:r>
                </w:p>
              </w:tc>
              <w:tc>
                <w:tcPr>
                  <w:tcW w:w="1055" w:type="dxa"/>
                  <w:vAlign w:val="center"/>
                </w:tcPr>
                <w:p>
                  <w:pPr>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restart"/>
                  <w:vAlign w:val="center"/>
                </w:tcPr>
                <w:p>
                  <w:pPr>
                    <w:spacing w:line="320" w:lineRule="exact"/>
                    <w:jc w:val="center"/>
                    <w:rPr>
                      <w:color w:val="auto"/>
                      <w:sz w:val="21"/>
                      <w:szCs w:val="21"/>
                    </w:rPr>
                  </w:pPr>
                  <w:r>
                    <w:rPr>
                      <w:color w:val="auto"/>
                      <w:sz w:val="21"/>
                      <w:szCs w:val="21"/>
                    </w:rPr>
                    <w:t>《太湖流域管理条例》</w:t>
                  </w:r>
                </w:p>
              </w:tc>
              <w:tc>
                <w:tcPr>
                  <w:tcW w:w="4871" w:type="dxa"/>
                  <w:vAlign w:val="center"/>
                </w:tcPr>
                <w:p>
                  <w:pPr>
                    <w:spacing w:line="276" w:lineRule="auto"/>
                    <w:jc w:val="center"/>
                    <w:rPr>
                      <w:color w:val="auto"/>
                      <w:sz w:val="21"/>
                      <w:szCs w:val="21"/>
                    </w:rPr>
                  </w:pPr>
                  <w:r>
                    <w:rPr>
                      <w:color w:val="auto"/>
                      <w:sz w:val="21"/>
                      <w:szCs w:val="21"/>
                    </w:rPr>
                    <w:t>第二十八条  排污单位排放水污染物，不得超过经核定的水污染物排放总量，并应当按照规定设置便于检查、采样的规范化排污口，悬挂标志牌；不得私设暗管或者采取其他规避监管的方式排放水污染物。</w:t>
                  </w:r>
                </w:p>
              </w:tc>
              <w:tc>
                <w:tcPr>
                  <w:tcW w:w="2251" w:type="dxa"/>
                  <w:vAlign w:val="center"/>
                </w:tcPr>
                <w:p>
                  <w:pPr>
                    <w:spacing w:line="276" w:lineRule="auto"/>
                    <w:jc w:val="center"/>
                    <w:rPr>
                      <w:color w:val="auto"/>
                      <w:sz w:val="21"/>
                      <w:szCs w:val="21"/>
                    </w:rPr>
                  </w:pPr>
                  <w:r>
                    <w:rPr>
                      <w:color w:val="auto"/>
                      <w:sz w:val="21"/>
                      <w:szCs w:val="21"/>
                    </w:rPr>
                    <w:t>本项目建成后设置便于检查、采样的规范化排污口。</w:t>
                  </w:r>
                </w:p>
              </w:tc>
              <w:tc>
                <w:tcPr>
                  <w:tcW w:w="1055" w:type="dxa"/>
                  <w:vAlign w:val="center"/>
                </w:tcPr>
                <w:p>
                  <w:pPr>
                    <w:spacing w:line="276" w:lineRule="auto"/>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禁止在太湖流域设置不符合国家产业政策和水环境综合治理要求的造纸、制革、酒精、淀粉、冶金、酿造、印染、电镀等排放水污染物的生产项目，现有的生产项目不能实现达标排放的，应当依法关闭。</w:t>
                  </w:r>
                </w:p>
              </w:tc>
              <w:tc>
                <w:tcPr>
                  <w:tcW w:w="2251" w:type="dxa"/>
                  <w:vAlign w:val="center"/>
                </w:tcPr>
                <w:p>
                  <w:pPr>
                    <w:spacing w:line="276" w:lineRule="auto"/>
                    <w:jc w:val="center"/>
                    <w:rPr>
                      <w:color w:val="auto"/>
                      <w:sz w:val="21"/>
                      <w:szCs w:val="21"/>
                    </w:rPr>
                  </w:pPr>
                  <w:r>
                    <w:rPr>
                      <w:color w:val="auto"/>
                      <w:sz w:val="21"/>
                      <w:szCs w:val="21"/>
                    </w:rPr>
                    <w:t>本项目建设内容为环境保护专用设备制造，无生产废水产生。产生的生活污水接管至镇湖污水处理厂。不属于造纸、制革、酒精、淀粉、冶金、酿造、印染、电镀等排放水污染物的生产项目。</w:t>
                  </w:r>
                </w:p>
              </w:tc>
              <w:tc>
                <w:tcPr>
                  <w:tcW w:w="1055" w:type="dxa"/>
                  <w:vAlign w:val="center"/>
                </w:tcPr>
                <w:p>
                  <w:pPr>
                    <w:spacing w:line="276" w:lineRule="auto"/>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1235" w:type="dxa"/>
                  <w:vMerge w:val="continue"/>
                  <w:vAlign w:val="center"/>
                </w:tcPr>
                <w:p>
                  <w:pPr>
                    <w:spacing w:line="320" w:lineRule="exact"/>
                    <w:jc w:val="center"/>
                    <w:rPr>
                      <w:color w:val="auto"/>
                      <w:sz w:val="21"/>
                      <w:szCs w:val="21"/>
                    </w:rPr>
                  </w:pPr>
                </w:p>
              </w:tc>
              <w:tc>
                <w:tcPr>
                  <w:tcW w:w="4871" w:type="dxa"/>
                  <w:vAlign w:val="center"/>
                </w:tcPr>
                <w:p>
                  <w:pPr>
                    <w:spacing w:line="276" w:lineRule="auto"/>
                    <w:jc w:val="center"/>
                    <w:rPr>
                      <w:color w:val="auto"/>
                      <w:sz w:val="21"/>
                      <w:szCs w:val="21"/>
                    </w:rPr>
                  </w:pPr>
                  <w:r>
                    <w:rPr>
                      <w:color w:val="auto"/>
                      <w:sz w:val="21"/>
                      <w:szCs w:val="21"/>
                    </w:rPr>
                    <w:t>在太湖流域新设企业应当符合国家规定的清洁生产要求，现有的企业尚未达到清洁生产要求的，应当按照清洁生产规划要求进行技术改造，两省一市人民政府应当加强监督检查。</w:t>
                  </w:r>
                </w:p>
              </w:tc>
              <w:tc>
                <w:tcPr>
                  <w:tcW w:w="2251" w:type="dxa"/>
                  <w:vAlign w:val="center"/>
                </w:tcPr>
                <w:p>
                  <w:pPr>
                    <w:spacing w:line="276" w:lineRule="auto"/>
                    <w:jc w:val="center"/>
                    <w:rPr>
                      <w:color w:val="auto"/>
                      <w:sz w:val="21"/>
                      <w:szCs w:val="21"/>
                    </w:rPr>
                  </w:pPr>
                  <w:r>
                    <w:rPr>
                      <w:color w:val="auto"/>
                      <w:sz w:val="21"/>
                      <w:szCs w:val="21"/>
                    </w:rPr>
                    <w:t>本项目建设符合国家规定的清洁生产要求。</w:t>
                  </w:r>
                </w:p>
              </w:tc>
              <w:tc>
                <w:tcPr>
                  <w:tcW w:w="1055" w:type="dxa"/>
                  <w:vAlign w:val="center"/>
                </w:tcPr>
                <w:p>
                  <w:pPr>
                    <w:spacing w:line="276" w:lineRule="auto"/>
                    <w:jc w:val="center"/>
                    <w:rPr>
                      <w:color w:val="auto"/>
                      <w:sz w:val="21"/>
                      <w:szCs w:val="21"/>
                    </w:rPr>
                  </w:pPr>
                  <w:r>
                    <w:rPr>
                      <w:color w:val="auto"/>
                      <w:sz w:val="21"/>
                      <w:szCs w:val="21"/>
                    </w:rPr>
                    <w:t>符合</w:t>
                  </w:r>
                </w:p>
              </w:tc>
            </w:tr>
          </w:tbl>
          <w:p>
            <w:pPr>
              <w:ind w:firstLine="480" w:firstLineChars="200"/>
              <w:rPr>
                <w:color w:val="auto"/>
              </w:rPr>
            </w:pPr>
            <w:r>
              <w:rPr>
                <w:color w:val="auto"/>
              </w:rPr>
              <w:t>综上所述，本项目生产过程中无含氮、磷的工业废水排放，</w:t>
            </w:r>
            <w:r>
              <w:rPr>
                <w:rFonts w:hint="eastAsia"/>
                <w:color w:val="auto"/>
              </w:rPr>
              <w:t>项目</w:t>
            </w:r>
            <w:r>
              <w:rPr>
                <w:color w:val="auto"/>
              </w:rPr>
              <w:t>废水</w:t>
            </w:r>
            <w:r>
              <w:rPr>
                <w:rFonts w:hint="eastAsia"/>
                <w:color w:val="auto"/>
              </w:rPr>
              <w:t>无工业废水，只有生活污水，</w:t>
            </w:r>
            <w:r>
              <w:rPr>
                <w:color w:val="auto"/>
              </w:rPr>
              <w:t>经市政污水管网进入</w:t>
            </w:r>
            <w:r>
              <w:rPr>
                <w:rFonts w:hint="eastAsia"/>
                <w:color w:val="auto"/>
                <w:lang w:val="en-US" w:eastAsia="zh-CN"/>
              </w:rPr>
              <w:t>白荡水质净化厂</w:t>
            </w:r>
            <w:r>
              <w:rPr>
                <w:color w:val="auto"/>
              </w:rPr>
              <w:t>处理后排放，符合《太湖流域管理条例》及《江苏省太湖水污染防治条例》相关要求。</w:t>
            </w:r>
          </w:p>
          <w:p>
            <w:pPr>
              <w:rPr>
                <w:color w:val="auto"/>
              </w:rPr>
            </w:pPr>
            <w:r>
              <w:rPr>
                <w:color w:val="auto"/>
              </w:rPr>
              <w:t>9、与“两减六治三提升”专项行动方案的相符性分析</w:t>
            </w:r>
          </w:p>
          <w:p>
            <w:pPr>
              <w:pStyle w:val="9"/>
              <w:spacing w:after="0"/>
              <w:ind w:firstLine="480" w:firstLineChars="200"/>
              <w:rPr>
                <w:color w:val="auto"/>
              </w:rPr>
            </w:pPr>
            <w:r>
              <w:rPr>
                <w:color w:val="auto"/>
              </w:rPr>
              <w:t>根据《省政府办公厅关于印发江苏省“两减六治三提升”专项行动实施方案的通知》（苏政办发[2017]30号）、《中共江苏省委江苏省人民政府关于印发“两减六治三提升”专项行动方案的通知》（苏发[2016]47号）、《市政府办公室关于印发苏州市“两减六治三提升”13个专项行动实施方案的通知》（苏府办[2017]108号）及《关于印发《苏州高新区“两减六治三提升”专项行动实施方案》的通知》（苏高新委[2017]33号）：</w:t>
            </w:r>
          </w:p>
          <w:p>
            <w:pPr>
              <w:pStyle w:val="9"/>
              <w:spacing w:after="0"/>
              <w:ind w:firstLine="480" w:firstLineChars="200"/>
              <w:rPr>
                <w:color w:val="auto"/>
              </w:rPr>
            </w:pPr>
            <w:r>
              <w:rPr>
                <w:color w:val="auto"/>
              </w:rPr>
              <w:t>“两减”，即以减少煤炭消费总量和减少落后化工产能为重点，调整江苏省长期以来形成的煤炭型能源结构、重化型产业结构，从源头上为生态环境减负。</w:t>
            </w:r>
          </w:p>
          <w:p>
            <w:pPr>
              <w:pStyle w:val="9"/>
              <w:spacing w:after="0"/>
              <w:ind w:firstLine="480" w:firstLineChars="200"/>
              <w:rPr>
                <w:color w:val="auto"/>
              </w:rPr>
            </w:pPr>
            <w:r>
              <w:rPr>
                <w:color w:val="auto"/>
              </w:rPr>
              <w:t>“六治”，即针对当前生态文明建设问题最突出、与群众生活联系最紧密、百姓反映最强烈的六方面问题，重点治理太湖水环境、生活垃圾、黑臭水体、畜禽养殖污染、挥发性有机物污染和环境隐患。</w:t>
            </w:r>
          </w:p>
          <w:p>
            <w:pPr>
              <w:pStyle w:val="2"/>
              <w:ind w:firstLine="480"/>
              <w:jc w:val="left"/>
              <w:rPr>
                <w:color w:val="auto"/>
              </w:rPr>
            </w:pPr>
            <w:r>
              <w:rPr>
                <w:color w:val="auto"/>
              </w:rPr>
              <w:t>“三提升”，则是提升生态保护水平、提升环境经济政策调控水平、提升环境监管执法水平，为生态文明建设提供坚实保障。</w:t>
            </w:r>
          </w:p>
          <w:p>
            <w:pPr>
              <w:pStyle w:val="2"/>
              <w:ind w:firstLine="480"/>
              <w:jc w:val="left"/>
              <w:rPr>
                <w:color w:val="auto"/>
              </w:rPr>
            </w:pPr>
            <w:r>
              <w:rPr>
                <w:color w:val="auto"/>
              </w:rPr>
              <w:t>相关要求对照分析如下：</w:t>
            </w:r>
          </w:p>
          <w:p>
            <w:pPr>
              <w:jc w:val="center"/>
              <w:rPr>
                <w:b/>
                <w:bCs/>
                <w:color w:val="auto"/>
                <w:sz w:val="21"/>
                <w:szCs w:val="21"/>
              </w:rPr>
            </w:pPr>
            <w:r>
              <w:rPr>
                <w:b/>
                <w:bCs/>
                <w:color w:val="auto"/>
                <w:sz w:val="21"/>
                <w:szCs w:val="21"/>
              </w:rPr>
              <w:t>表1-</w:t>
            </w:r>
            <w:r>
              <w:rPr>
                <w:rFonts w:hint="eastAsia"/>
                <w:b/>
                <w:bCs/>
                <w:color w:val="auto"/>
                <w:sz w:val="21"/>
                <w:szCs w:val="21"/>
                <w:lang w:val="en-US" w:eastAsia="zh-CN"/>
              </w:rPr>
              <w:t>8</w:t>
            </w:r>
            <w:r>
              <w:rPr>
                <w:b/>
                <w:bCs/>
                <w:color w:val="auto"/>
                <w:sz w:val="21"/>
                <w:szCs w:val="21"/>
              </w:rPr>
              <w:t>“两减六治三提升”专项行动方案对照表</w:t>
            </w:r>
          </w:p>
          <w:tbl>
            <w:tblPr>
              <w:tblStyle w:val="26"/>
              <w:tblW w:w="94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1"/>
              <w:gridCol w:w="2143"/>
              <w:gridCol w:w="5893"/>
              <w:gridCol w:w="7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1" w:type="dxa"/>
                  <w:vAlign w:val="center"/>
                </w:tcPr>
                <w:p>
                  <w:pPr>
                    <w:jc w:val="center"/>
                    <w:rPr>
                      <w:color w:val="auto"/>
                      <w:sz w:val="21"/>
                      <w:szCs w:val="21"/>
                    </w:rPr>
                  </w:pPr>
                  <w:r>
                    <w:rPr>
                      <w:color w:val="auto"/>
                      <w:sz w:val="21"/>
                      <w:szCs w:val="21"/>
                    </w:rPr>
                    <w:t>序号</w:t>
                  </w:r>
                </w:p>
              </w:tc>
              <w:tc>
                <w:tcPr>
                  <w:tcW w:w="2143" w:type="dxa"/>
                  <w:vAlign w:val="center"/>
                </w:tcPr>
                <w:p>
                  <w:pPr>
                    <w:jc w:val="center"/>
                    <w:rPr>
                      <w:color w:val="auto"/>
                      <w:sz w:val="21"/>
                      <w:szCs w:val="21"/>
                    </w:rPr>
                  </w:pPr>
                  <w:r>
                    <w:rPr>
                      <w:color w:val="auto"/>
                      <w:sz w:val="21"/>
                      <w:szCs w:val="21"/>
                    </w:rPr>
                    <w:t>相关要求</w:t>
                  </w:r>
                </w:p>
              </w:tc>
              <w:tc>
                <w:tcPr>
                  <w:tcW w:w="5893" w:type="dxa"/>
                  <w:vAlign w:val="center"/>
                </w:tcPr>
                <w:p>
                  <w:pPr>
                    <w:jc w:val="center"/>
                    <w:rPr>
                      <w:color w:val="auto"/>
                      <w:sz w:val="21"/>
                      <w:szCs w:val="21"/>
                    </w:rPr>
                  </w:pPr>
                  <w:r>
                    <w:rPr>
                      <w:color w:val="auto"/>
                      <w:sz w:val="21"/>
                      <w:szCs w:val="21"/>
                    </w:rPr>
                    <w:t>项目情况</w:t>
                  </w:r>
                </w:p>
              </w:tc>
              <w:tc>
                <w:tcPr>
                  <w:tcW w:w="795" w:type="dxa"/>
                  <w:vAlign w:val="center"/>
                </w:tcPr>
                <w:p>
                  <w:pPr>
                    <w:jc w:val="center"/>
                    <w:rPr>
                      <w:color w:val="auto"/>
                      <w:sz w:val="21"/>
                      <w:szCs w:val="21"/>
                    </w:rPr>
                  </w:pPr>
                  <w:r>
                    <w:rPr>
                      <w:color w:val="auto"/>
                      <w:sz w:val="21"/>
                      <w:szCs w:val="21"/>
                    </w:rPr>
                    <w:t>是否满足要求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591" w:type="dxa"/>
                  <w:vAlign w:val="center"/>
                </w:tcPr>
                <w:p>
                  <w:pPr>
                    <w:jc w:val="center"/>
                    <w:rPr>
                      <w:color w:val="auto"/>
                      <w:sz w:val="21"/>
                      <w:szCs w:val="21"/>
                    </w:rPr>
                  </w:pPr>
                  <w:r>
                    <w:rPr>
                      <w:color w:val="auto"/>
                      <w:sz w:val="21"/>
                      <w:szCs w:val="21"/>
                    </w:rPr>
                    <w:t>1</w:t>
                  </w:r>
                </w:p>
              </w:tc>
              <w:tc>
                <w:tcPr>
                  <w:tcW w:w="2143" w:type="dxa"/>
                  <w:vAlign w:val="center"/>
                </w:tcPr>
                <w:p>
                  <w:pPr>
                    <w:jc w:val="center"/>
                    <w:rPr>
                      <w:color w:val="auto"/>
                      <w:sz w:val="21"/>
                      <w:szCs w:val="21"/>
                    </w:rPr>
                  </w:pPr>
                  <w:r>
                    <w:rPr>
                      <w:color w:val="auto"/>
                      <w:sz w:val="21"/>
                      <w:szCs w:val="21"/>
                    </w:rPr>
                    <w:t>减少煤炭消费总量</w:t>
                  </w:r>
                </w:p>
              </w:tc>
              <w:tc>
                <w:tcPr>
                  <w:tcW w:w="5893" w:type="dxa"/>
                  <w:vAlign w:val="center"/>
                </w:tcPr>
                <w:p>
                  <w:pPr>
                    <w:jc w:val="center"/>
                    <w:rPr>
                      <w:color w:val="auto"/>
                      <w:sz w:val="21"/>
                      <w:szCs w:val="21"/>
                    </w:rPr>
                  </w:pPr>
                  <w:r>
                    <w:rPr>
                      <w:color w:val="auto"/>
                      <w:sz w:val="21"/>
                      <w:szCs w:val="21"/>
                    </w:rPr>
                    <w:t>本项目采用电能为能源，不使用煤炭能源</w:t>
                  </w:r>
                </w:p>
              </w:tc>
              <w:tc>
                <w:tcPr>
                  <w:tcW w:w="795" w:type="dxa"/>
                  <w:vAlign w:val="center"/>
                </w:tcPr>
                <w:p>
                  <w:pPr>
                    <w:jc w:val="center"/>
                    <w:rPr>
                      <w:color w:val="auto"/>
                      <w:sz w:val="21"/>
                      <w:szCs w:val="21"/>
                    </w:rPr>
                  </w:pPr>
                  <w:r>
                    <w:rPr>
                      <w:color w:val="auto"/>
                      <w:sz w:val="21"/>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1" w:type="dxa"/>
                  <w:vAlign w:val="center"/>
                </w:tcPr>
                <w:p>
                  <w:pPr>
                    <w:jc w:val="center"/>
                    <w:rPr>
                      <w:color w:val="auto"/>
                      <w:sz w:val="21"/>
                      <w:szCs w:val="21"/>
                    </w:rPr>
                  </w:pPr>
                  <w:r>
                    <w:rPr>
                      <w:color w:val="auto"/>
                      <w:sz w:val="21"/>
                      <w:szCs w:val="21"/>
                    </w:rPr>
                    <w:t>2</w:t>
                  </w:r>
                </w:p>
              </w:tc>
              <w:tc>
                <w:tcPr>
                  <w:tcW w:w="2143" w:type="dxa"/>
                  <w:vAlign w:val="center"/>
                </w:tcPr>
                <w:p>
                  <w:pPr>
                    <w:jc w:val="center"/>
                    <w:rPr>
                      <w:color w:val="auto"/>
                      <w:sz w:val="21"/>
                      <w:szCs w:val="21"/>
                    </w:rPr>
                  </w:pPr>
                  <w:r>
                    <w:rPr>
                      <w:color w:val="auto"/>
                      <w:sz w:val="21"/>
                      <w:szCs w:val="21"/>
                    </w:rPr>
                    <w:t>减少落后化工产能</w:t>
                  </w:r>
                </w:p>
              </w:tc>
              <w:tc>
                <w:tcPr>
                  <w:tcW w:w="5893" w:type="dxa"/>
                  <w:vAlign w:val="center"/>
                </w:tcPr>
                <w:p>
                  <w:pPr>
                    <w:jc w:val="center"/>
                    <w:rPr>
                      <w:color w:val="auto"/>
                      <w:sz w:val="21"/>
                      <w:szCs w:val="21"/>
                    </w:rPr>
                  </w:pPr>
                  <w:r>
                    <w:rPr>
                      <w:color w:val="auto"/>
                      <w:sz w:val="21"/>
                      <w:szCs w:val="21"/>
                    </w:rPr>
                    <w:t>本项目为环境保护专用设备制造，不涉及电镀及化工工艺</w:t>
                  </w:r>
                </w:p>
              </w:tc>
              <w:tc>
                <w:tcPr>
                  <w:tcW w:w="795" w:type="dxa"/>
                  <w:vAlign w:val="center"/>
                </w:tcPr>
                <w:p>
                  <w:pPr>
                    <w:jc w:val="center"/>
                    <w:rPr>
                      <w:color w:val="auto"/>
                      <w:sz w:val="21"/>
                      <w:szCs w:val="21"/>
                    </w:rPr>
                  </w:pPr>
                  <w:r>
                    <w:rPr>
                      <w:color w:val="auto"/>
                      <w:sz w:val="21"/>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1" w:type="dxa"/>
                  <w:vAlign w:val="center"/>
                </w:tcPr>
                <w:p>
                  <w:pPr>
                    <w:jc w:val="center"/>
                    <w:rPr>
                      <w:color w:val="auto"/>
                      <w:sz w:val="21"/>
                      <w:szCs w:val="21"/>
                    </w:rPr>
                  </w:pPr>
                  <w:r>
                    <w:rPr>
                      <w:color w:val="auto"/>
                      <w:sz w:val="21"/>
                      <w:szCs w:val="21"/>
                    </w:rPr>
                    <w:t>3</w:t>
                  </w:r>
                </w:p>
              </w:tc>
              <w:tc>
                <w:tcPr>
                  <w:tcW w:w="2143" w:type="dxa"/>
                  <w:vAlign w:val="center"/>
                </w:tcPr>
                <w:p>
                  <w:pPr>
                    <w:jc w:val="center"/>
                    <w:rPr>
                      <w:color w:val="auto"/>
                      <w:sz w:val="21"/>
                      <w:szCs w:val="21"/>
                    </w:rPr>
                  </w:pPr>
                  <w:r>
                    <w:rPr>
                      <w:color w:val="auto"/>
                      <w:sz w:val="21"/>
                      <w:szCs w:val="21"/>
                    </w:rPr>
                    <w:t>治理太湖水环境</w:t>
                  </w:r>
                </w:p>
              </w:tc>
              <w:tc>
                <w:tcPr>
                  <w:tcW w:w="5893" w:type="dxa"/>
                  <w:vAlign w:val="center"/>
                </w:tcPr>
                <w:p>
                  <w:pPr>
                    <w:jc w:val="center"/>
                    <w:rPr>
                      <w:color w:val="auto"/>
                      <w:sz w:val="21"/>
                      <w:szCs w:val="21"/>
                    </w:rPr>
                  </w:pPr>
                  <w:r>
                    <w:rPr>
                      <w:color w:val="auto"/>
                      <w:sz w:val="21"/>
                      <w:szCs w:val="21"/>
                    </w:rPr>
                    <w:t>本项目生活污水经市政污水管网进入镇湖污水处理厂处理达标后排入京杭运河。无含氮、磷生产废水排放。</w:t>
                  </w:r>
                </w:p>
              </w:tc>
              <w:tc>
                <w:tcPr>
                  <w:tcW w:w="795" w:type="dxa"/>
                  <w:vAlign w:val="center"/>
                </w:tcPr>
                <w:p>
                  <w:pPr>
                    <w:jc w:val="center"/>
                    <w:rPr>
                      <w:color w:val="auto"/>
                      <w:sz w:val="21"/>
                      <w:szCs w:val="21"/>
                    </w:rPr>
                  </w:pPr>
                  <w:r>
                    <w:rPr>
                      <w:color w:val="auto"/>
                      <w:sz w:val="21"/>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91" w:type="dxa"/>
                  <w:vAlign w:val="center"/>
                </w:tcPr>
                <w:p>
                  <w:pPr>
                    <w:jc w:val="center"/>
                    <w:rPr>
                      <w:color w:val="auto"/>
                      <w:sz w:val="21"/>
                      <w:szCs w:val="21"/>
                    </w:rPr>
                  </w:pPr>
                  <w:r>
                    <w:rPr>
                      <w:color w:val="auto"/>
                      <w:sz w:val="21"/>
                      <w:szCs w:val="21"/>
                    </w:rPr>
                    <w:t>4</w:t>
                  </w:r>
                </w:p>
              </w:tc>
              <w:tc>
                <w:tcPr>
                  <w:tcW w:w="2143" w:type="dxa"/>
                  <w:vAlign w:val="center"/>
                </w:tcPr>
                <w:p>
                  <w:pPr>
                    <w:jc w:val="center"/>
                    <w:rPr>
                      <w:color w:val="auto"/>
                      <w:sz w:val="21"/>
                      <w:szCs w:val="21"/>
                    </w:rPr>
                  </w:pPr>
                  <w:r>
                    <w:rPr>
                      <w:color w:val="auto"/>
                      <w:sz w:val="21"/>
                      <w:szCs w:val="21"/>
                    </w:rPr>
                    <w:t>治理挥发性有机物污染，强制使用水性涂料</w:t>
                  </w:r>
                </w:p>
              </w:tc>
              <w:tc>
                <w:tcPr>
                  <w:tcW w:w="5893" w:type="dxa"/>
                  <w:vAlign w:val="center"/>
                </w:tcPr>
                <w:p>
                  <w:pPr>
                    <w:jc w:val="center"/>
                    <w:rPr>
                      <w:color w:val="auto"/>
                      <w:sz w:val="21"/>
                      <w:szCs w:val="21"/>
                    </w:rPr>
                  </w:pPr>
                  <w:r>
                    <w:rPr>
                      <w:color w:val="auto"/>
                      <w:sz w:val="21"/>
                      <w:szCs w:val="21"/>
                    </w:rPr>
                    <w:t>本项目生产过程中不使用挥发性有机物。</w:t>
                  </w:r>
                </w:p>
              </w:tc>
              <w:tc>
                <w:tcPr>
                  <w:tcW w:w="795" w:type="dxa"/>
                  <w:vAlign w:val="center"/>
                </w:tcPr>
                <w:p>
                  <w:pPr>
                    <w:jc w:val="center"/>
                    <w:rPr>
                      <w:color w:val="auto"/>
                      <w:sz w:val="21"/>
                      <w:szCs w:val="21"/>
                    </w:rPr>
                  </w:pPr>
                  <w:r>
                    <w:rPr>
                      <w:color w:val="auto"/>
                      <w:sz w:val="21"/>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91" w:type="dxa"/>
                  <w:vAlign w:val="center"/>
                </w:tcPr>
                <w:p>
                  <w:pPr>
                    <w:jc w:val="center"/>
                    <w:rPr>
                      <w:color w:val="auto"/>
                      <w:sz w:val="21"/>
                      <w:szCs w:val="21"/>
                    </w:rPr>
                  </w:pPr>
                  <w:r>
                    <w:rPr>
                      <w:color w:val="auto"/>
                      <w:sz w:val="21"/>
                      <w:szCs w:val="21"/>
                    </w:rPr>
                    <w:t>5</w:t>
                  </w:r>
                </w:p>
              </w:tc>
              <w:tc>
                <w:tcPr>
                  <w:tcW w:w="2143" w:type="dxa"/>
                  <w:vAlign w:val="center"/>
                </w:tcPr>
                <w:p>
                  <w:pPr>
                    <w:jc w:val="center"/>
                    <w:rPr>
                      <w:color w:val="auto"/>
                      <w:sz w:val="21"/>
                      <w:szCs w:val="21"/>
                    </w:rPr>
                  </w:pPr>
                  <w:r>
                    <w:rPr>
                      <w:color w:val="auto"/>
                      <w:sz w:val="21"/>
                      <w:szCs w:val="21"/>
                    </w:rPr>
                    <w:t>提升生态保护水平</w:t>
                  </w:r>
                </w:p>
              </w:tc>
              <w:tc>
                <w:tcPr>
                  <w:tcW w:w="5893" w:type="dxa"/>
                  <w:vAlign w:val="center"/>
                </w:tcPr>
                <w:p>
                  <w:pPr>
                    <w:jc w:val="center"/>
                    <w:rPr>
                      <w:color w:val="auto"/>
                      <w:sz w:val="21"/>
                      <w:szCs w:val="21"/>
                    </w:rPr>
                  </w:pPr>
                  <w:r>
                    <w:rPr>
                      <w:color w:val="auto"/>
                      <w:sz w:val="21"/>
                      <w:szCs w:val="21"/>
                    </w:rPr>
                    <w:t>本项目选址不在生态红线管控区内，各项目污染物均得到有效控制。</w:t>
                  </w:r>
                </w:p>
              </w:tc>
              <w:tc>
                <w:tcPr>
                  <w:tcW w:w="795" w:type="dxa"/>
                  <w:vAlign w:val="center"/>
                </w:tcPr>
                <w:p>
                  <w:pPr>
                    <w:jc w:val="center"/>
                    <w:rPr>
                      <w:color w:val="auto"/>
                      <w:sz w:val="21"/>
                      <w:szCs w:val="21"/>
                    </w:rPr>
                  </w:pPr>
                  <w:r>
                    <w:rPr>
                      <w:color w:val="auto"/>
                      <w:sz w:val="21"/>
                      <w:szCs w:val="21"/>
                    </w:rPr>
                    <w:t>是</w:t>
                  </w:r>
                </w:p>
              </w:tc>
            </w:tr>
          </w:tbl>
          <w:p>
            <w:pPr>
              <w:ind w:firstLine="480" w:firstLineChars="200"/>
              <w:rPr>
                <w:color w:val="auto"/>
              </w:rPr>
            </w:pPr>
            <w:r>
              <w:rPr>
                <w:color w:val="auto"/>
              </w:rPr>
              <w:t>综上所述，本项目与“两减六治三提升”专项行动方案相符。</w:t>
            </w:r>
          </w:p>
          <w:p>
            <w:pPr>
              <w:pStyle w:val="2"/>
              <w:ind w:firstLine="0" w:firstLineChars="0"/>
              <w:rPr>
                <w:b/>
                <w:bCs/>
                <w:color w:val="auto"/>
              </w:rPr>
            </w:pPr>
            <w:r>
              <w:rPr>
                <w:rFonts w:hint="eastAsia"/>
                <w:b/>
                <w:bCs/>
                <w:color w:val="auto"/>
              </w:rPr>
              <w:t>8、与《苏州高新区工业挥发性有机废气整治提升三年行动方案的通知》的相符性</w:t>
            </w:r>
          </w:p>
          <w:p>
            <w:pPr>
              <w:pStyle w:val="2"/>
              <w:ind w:firstLine="480" w:firstLineChars="200"/>
              <w:rPr>
                <w:color w:val="auto"/>
              </w:rPr>
            </w:pPr>
            <w:r>
              <w:rPr>
                <w:rFonts w:hint="eastAsia"/>
                <w:color w:val="auto"/>
              </w:rPr>
              <w:t>苏州国家高新技术产业开发区管理委员会于 2018 年 4 月通过了《苏州高新区工业挥发性有机废气整治提升三年行动方案》，本项目建设性质为新建，故本项目与该文件的相符性分析见下表：</w:t>
            </w:r>
          </w:p>
          <w:p>
            <w:pPr>
              <w:pStyle w:val="2"/>
              <w:ind w:firstLine="0" w:firstLineChars="0"/>
              <w:jc w:val="center"/>
              <w:rPr>
                <w:b/>
                <w:bCs/>
                <w:color w:val="auto"/>
                <w:sz w:val="21"/>
                <w:szCs w:val="21"/>
              </w:rPr>
            </w:pPr>
            <w:r>
              <w:rPr>
                <w:rFonts w:hint="eastAsia"/>
                <w:b/>
                <w:bCs/>
                <w:color w:val="auto"/>
                <w:sz w:val="21"/>
                <w:szCs w:val="21"/>
              </w:rPr>
              <w:t>表1-</w:t>
            </w:r>
            <w:r>
              <w:rPr>
                <w:rFonts w:hint="eastAsia"/>
                <w:b/>
                <w:bCs/>
                <w:color w:val="auto"/>
                <w:sz w:val="21"/>
                <w:szCs w:val="21"/>
                <w:lang w:val="en-US" w:eastAsia="zh-CN"/>
              </w:rPr>
              <w:t>9</w:t>
            </w:r>
            <w:r>
              <w:rPr>
                <w:rFonts w:hint="eastAsia"/>
                <w:b/>
                <w:bCs/>
                <w:color w:val="auto"/>
                <w:sz w:val="21"/>
                <w:szCs w:val="21"/>
              </w:rPr>
              <w:t>与《苏州高新区工业挥发性有机废气整治提升三年行动方案》的相符性</w:t>
            </w:r>
          </w:p>
          <w:tbl>
            <w:tblPr>
              <w:tblStyle w:val="26"/>
              <w:tblW w:w="94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04"/>
              <w:gridCol w:w="1220"/>
              <w:gridCol w:w="4999"/>
              <w:gridCol w:w="1372"/>
              <w:gridCol w:w="11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noWrap/>
                </w:tcPr>
                <w:p>
                  <w:pPr>
                    <w:spacing w:line="240" w:lineRule="auto"/>
                    <w:ind w:left="120" w:leftChars="50" w:right="120" w:rightChars="50"/>
                    <w:jc w:val="center"/>
                    <w:rPr>
                      <w:color w:val="auto"/>
                      <w:sz w:val="21"/>
                      <w:szCs w:val="21"/>
                    </w:rPr>
                  </w:pPr>
                  <w:r>
                    <w:rPr>
                      <w:color w:val="auto"/>
                      <w:sz w:val="21"/>
                      <w:szCs w:val="21"/>
                    </w:rPr>
                    <w:t>序号</w:t>
                  </w:r>
                </w:p>
              </w:tc>
              <w:tc>
                <w:tcPr>
                  <w:tcW w:w="6219" w:type="dxa"/>
                  <w:gridSpan w:val="2"/>
                  <w:noWrap/>
                  <w:vAlign w:val="center"/>
                </w:tcPr>
                <w:p>
                  <w:pPr>
                    <w:spacing w:line="240" w:lineRule="auto"/>
                    <w:ind w:right="120" w:rightChars="50"/>
                    <w:jc w:val="center"/>
                    <w:rPr>
                      <w:color w:val="auto"/>
                      <w:sz w:val="21"/>
                      <w:szCs w:val="21"/>
                    </w:rPr>
                  </w:pPr>
                  <w:r>
                    <w:rPr>
                      <w:color w:val="auto"/>
                      <w:sz w:val="21"/>
                      <w:szCs w:val="21"/>
                    </w:rPr>
                    <w:t>苏高新管〔2018〕74 号要求</w:t>
                  </w:r>
                </w:p>
              </w:tc>
              <w:tc>
                <w:tcPr>
                  <w:tcW w:w="1372" w:type="dxa"/>
                  <w:noWrap/>
                  <w:vAlign w:val="center"/>
                </w:tcPr>
                <w:p>
                  <w:pPr>
                    <w:spacing w:line="240" w:lineRule="auto"/>
                    <w:ind w:right="120" w:rightChars="50"/>
                    <w:jc w:val="center"/>
                    <w:rPr>
                      <w:color w:val="auto"/>
                      <w:sz w:val="21"/>
                      <w:szCs w:val="21"/>
                    </w:rPr>
                  </w:pPr>
                  <w:r>
                    <w:rPr>
                      <w:color w:val="auto"/>
                      <w:sz w:val="21"/>
                      <w:szCs w:val="21"/>
                    </w:rPr>
                    <w:t>项目情况</w:t>
                  </w:r>
                </w:p>
              </w:tc>
              <w:tc>
                <w:tcPr>
                  <w:tcW w:w="1127" w:type="dxa"/>
                  <w:noWrap/>
                  <w:vAlign w:val="center"/>
                </w:tcPr>
                <w:p>
                  <w:pPr>
                    <w:spacing w:line="240" w:lineRule="auto"/>
                    <w:ind w:right="120" w:rightChars="50"/>
                    <w:jc w:val="center"/>
                    <w:rPr>
                      <w:color w:val="auto"/>
                      <w:sz w:val="21"/>
                      <w:szCs w:val="21"/>
                    </w:rPr>
                  </w:pPr>
                  <w:r>
                    <w:rPr>
                      <w:color w:val="auto"/>
                      <w:sz w:val="21"/>
                      <w:szCs w:val="21"/>
                    </w:rPr>
                    <w:t>是否相符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restart"/>
                  <w:noWrap/>
                  <w:vAlign w:val="center"/>
                </w:tcPr>
                <w:p>
                  <w:pPr>
                    <w:spacing w:line="240" w:lineRule="auto"/>
                    <w:ind w:right="120" w:rightChars="50"/>
                    <w:jc w:val="center"/>
                    <w:rPr>
                      <w:color w:val="auto"/>
                      <w:sz w:val="21"/>
                      <w:szCs w:val="21"/>
                    </w:rPr>
                  </w:pPr>
                  <w:r>
                    <w:rPr>
                      <w:color w:val="auto"/>
                      <w:sz w:val="21"/>
                      <w:szCs w:val="21"/>
                    </w:rPr>
                    <w:t>1</w:t>
                  </w:r>
                </w:p>
              </w:tc>
              <w:tc>
                <w:tcPr>
                  <w:tcW w:w="1220" w:type="dxa"/>
                  <w:vMerge w:val="restart"/>
                  <w:noWrap/>
                  <w:vAlign w:val="center"/>
                </w:tcPr>
                <w:p>
                  <w:pPr>
                    <w:spacing w:line="240" w:lineRule="auto"/>
                    <w:ind w:right="120" w:rightChars="50"/>
                    <w:jc w:val="center"/>
                    <w:rPr>
                      <w:color w:val="auto"/>
                      <w:sz w:val="21"/>
                      <w:szCs w:val="21"/>
                    </w:rPr>
                  </w:pPr>
                  <w:r>
                    <w:rPr>
                      <w:color w:val="auto"/>
                      <w:sz w:val="21"/>
                      <w:szCs w:val="21"/>
                    </w:rPr>
                    <w:t>严格新建项目准入门槛，控制VOCs排放增量</w:t>
                  </w: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1、喷涂、电泳等表面涂装和涉有机溶剂的印刷、涂布、清洗、浸渍等排放 VOCs 的处理工艺，除为主体项目配套外，原则一律不予准入</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2、VOCs 排放总量≥3t/a的建设项目，投资额不得低于5000万人民币，VOCs 排放总量≥5t/a的建设项目，投资额不得低于1个亿人民币</w:t>
                  </w:r>
                </w:p>
              </w:tc>
              <w:tc>
                <w:tcPr>
                  <w:tcW w:w="1372" w:type="dxa"/>
                  <w:vMerge w:val="restart"/>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vMerge w:val="restart"/>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3、严格限制VOCs新增排放量≥10t/a以上项目的准入</w:t>
                  </w:r>
                </w:p>
              </w:tc>
              <w:tc>
                <w:tcPr>
                  <w:tcW w:w="1372"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127" w:type="dxa"/>
                  <w:vMerge w:val="continue"/>
                  <w:noWrap/>
                  <w:vAlign w:val="center"/>
                </w:tcPr>
                <w:p>
                  <w:pPr>
                    <w:spacing w:line="240" w:lineRule="auto"/>
                    <w:ind w:left="120" w:leftChars="50" w:right="120" w:rightChars="50" w:firstLine="420" w:firstLineChars="200"/>
                    <w:jc w:val="center"/>
                    <w:rPr>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4、包装印刷、集装箱、交通工具、机械设备、人造板、家具、船舶制造等行业，使用低VOCs含量的涂料、胶黏剂、清洗剂、油墨等有机溶剂。</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5、严格控制敏感目标周边300m范围内建设挥发性有机物排放量大（≥3t/a）的工业项目，切实减少对敏感目标的影响</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6、化工集中区、高架沿线、中心城区等信访投诉较多的环境敏感区域内新增VOCs项目排放总量在项目所在地人民政府（街道办、管委会）范围内平衡；其他项目按照倍量削减政策在全区范围内平衡</w:t>
                  </w:r>
                </w:p>
              </w:tc>
              <w:tc>
                <w:tcPr>
                  <w:tcW w:w="1372" w:type="dxa"/>
                  <w:noWrap/>
                  <w:vAlign w:val="center"/>
                </w:tcPr>
                <w:p>
                  <w:pPr>
                    <w:spacing w:line="240" w:lineRule="auto"/>
                    <w:ind w:left="120" w:leftChars="50" w:right="120" w:rightChars="50"/>
                    <w:jc w:val="center"/>
                    <w:rPr>
                      <w:color w:val="auto"/>
                      <w:sz w:val="21"/>
                      <w:szCs w:val="21"/>
                    </w:rPr>
                  </w:pPr>
                  <w:r>
                    <w:rPr>
                      <w:rFonts w:hint="eastAsia"/>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7-1有机化工、医药化工、橡胶和塑料制品（有溶剂浸胶工艺）、溶剂型涂料表面涂装、包装印刷业和VOCs排放总量≥1t/a的企业，按照VOCs总收集率不低于90%的标准进行改造，其他行业原则上按照不低于75%的标准进行改造</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vMerge w:val="restart"/>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7-2有机化工、医药化工、橡胶和塑料制品（有溶剂浸胶工艺）、溶剂型涂料表面涂装、包装印刷等行业企业按照净化处理效率不低于90%的标准进行改造，其他行业原则上按照不低于75%的标准进行改造</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vMerge w:val="continue"/>
                  <w:noWrap/>
                  <w:vAlign w:val="center"/>
                </w:tcPr>
                <w:p>
                  <w:pPr>
                    <w:spacing w:line="240" w:lineRule="auto"/>
                    <w:ind w:right="120" w:rightChars="50"/>
                    <w:jc w:val="center"/>
                    <w:rPr>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04"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1220" w:type="dxa"/>
                  <w:vMerge w:val="continue"/>
                  <w:noWrap/>
                  <w:vAlign w:val="center"/>
                </w:tcPr>
                <w:p>
                  <w:pPr>
                    <w:spacing w:line="240" w:lineRule="auto"/>
                    <w:ind w:left="120" w:leftChars="50" w:right="120" w:rightChars="50" w:firstLine="420" w:firstLineChars="200"/>
                    <w:jc w:val="center"/>
                    <w:rPr>
                      <w:color w:val="auto"/>
                      <w:sz w:val="21"/>
                      <w:szCs w:val="21"/>
                    </w:rPr>
                  </w:pP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7-3非甲烷总烃进气浓度≥70mg/m</w:t>
                  </w:r>
                  <w:r>
                    <w:rPr>
                      <w:color w:val="auto"/>
                      <w:sz w:val="21"/>
                      <w:szCs w:val="21"/>
                      <w:vertAlign w:val="superscript"/>
                    </w:rPr>
                    <w:t>3</w:t>
                  </w:r>
                  <w:r>
                    <w:rPr>
                      <w:color w:val="auto"/>
                      <w:sz w:val="21"/>
                      <w:szCs w:val="21"/>
                    </w:rPr>
                    <w:t>或者排放量≥2t/a的企业废气处理工艺不允许选择仅活性炭处理的末端治理方式</w:t>
                  </w:r>
                </w:p>
              </w:tc>
              <w:tc>
                <w:tcPr>
                  <w:tcW w:w="1372" w:type="dxa"/>
                  <w:noWrap/>
                  <w:vAlign w:val="center"/>
                </w:tcPr>
                <w:p>
                  <w:pPr>
                    <w:spacing w:line="240" w:lineRule="auto"/>
                    <w:ind w:right="120" w:rightChars="50"/>
                    <w:jc w:val="center"/>
                    <w:rPr>
                      <w:color w:val="auto"/>
                      <w:sz w:val="21"/>
                      <w:szCs w:val="21"/>
                    </w:rPr>
                  </w:pPr>
                  <w:r>
                    <w:rPr>
                      <w:rFonts w:hint="eastAsia"/>
                      <w:color w:val="auto"/>
                      <w:sz w:val="21"/>
                      <w:szCs w:val="21"/>
                    </w:rPr>
                    <w:t>不属于</w:t>
                  </w:r>
                </w:p>
              </w:tc>
              <w:tc>
                <w:tcPr>
                  <w:tcW w:w="1127" w:type="dxa"/>
                  <w:vMerge w:val="continue"/>
                  <w:noWrap/>
                  <w:vAlign w:val="center"/>
                </w:tcPr>
                <w:p>
                  <w:pPr>
                    <w:spacing w:line="240" w:lineRule="auto"/>
                    <w:ind w:right="120" w:rightChars="50"/>
                    <w:jc w:val="center"/>
                    <w:rPr>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noWrap/>
                  <w:vAlign w:val="center"/>
                </w:tcPr>
                <w:p>
                  <w:pPr>
                    <w:spacing w:line="240" w:lineRule="auto"/>
                    <w:ind w:right="120" w:rightChars="50"/>
                    <w:jc w:val="center"/>
                    <w:rPr>
                      <w:color w:val="auto"/>
                      <w:sz w:val="21"/>
                      <w:szCs w:val="21"/>
                    </w:rPr>
                  </w:pPr>
                  <w:r>
                    <w:rPr>
                      <w:color w:val="auto"/>
                      <w:sz w:val="21"/>
                      <w:szCs w:val="21"/>
                    </w:rPr>
                    <w:t>2</w:t>
                  </w:r>
                </w:p>
                <w:p>
                  <w:pPr>
                    <w:pStyle w:val="2"/>
                    <w:spacing w:line="240" w:lineRule="auto"/>
                    <w:ind w:left="120" w:leftChars="50"/>
                    <w:jc w:val="center"/>
                    <w:rPr>
                      <w:color w:val="auto"/>
                      <w:sz w:val="21"/>
                      <w:szCs w:val="21"/>
                    </w:rPr>
                  </w:pPr>
                </w:p>
              </w:tc>
              <w:tc>
                <w:tcPr>
                  <w:tcW w:w="1220" w:type="dxa"/>
                  <w:noWrap/>
                  <w:vAlign w:val="center"/>
                </w:tcPr>
                <w:p>
                  <w:pPr>
                    <w:spacing w:line="240" w:lineRule="auto"/>
                    <w:ind w:right="120" w:rightChars="50"/>
                    <w:jc w:val="center"/>
                    <w:rPr>
                      <w:color w:val="auto"/>
                      <w:sz w:val="21"/>
                      <w:szCs w:val="21"/>
                    </w:rPr>
                  </w:pPr>
                  <w:r>
                    <w:rPr>
                      <w:color w:val="auto"/>
                      <w:sz w:val="21"/>
                      <w:szCs w:val="21"/>
                    </w:rPr>
                    <w:t>严格执行排放标准</w:t>
                  </w: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石油化工、石油炼制和合成树脂行业企业严格执行国家行业标准，化学工业和表面涂装（家具制造业）严格执行江苏省地标，其他涉VOCs行业工业企业有组织废气非甲烷总烃排放浓度执行70mg/m</w:t>
                  </w:r>
                  <w:r>
                    <w:rPr>
                      <w:color w:val="auto"/>
                      <w:sz w:val="21"/>
                      <w:szCs w:val="21"/>
                      <w:vertAlign w:val="superscript"/>
                    </w:rPr>
                    <w:t>3</w:t>
                  </w:r>
                  <w:r>
                    <w:rPr>
                      <w:color w:val="auto"/>
                      <w:sz w:val="21"/>
                      <w:szCs w:val="21"/>
                    </w:rPr>
                    <w:t>。其他有组织废气和无组织废气有机污染物因子排放标准执行《大气污染物综合排放标准》（GB 16297-1996）浓度的 80%。所有行业工业企业臭气浓度执行2000标准（行业标准有规定的执行行业标准）</w:t>
                  </w:r>
                </w:p>
              </w:tc>
              <w:tc>
                <w:tcPr>
                  <w:tcW w:w="1372" w:type="dxa"/>
                  <w:noWrap/>
                  <w:vAlign w:val="center"/>
                </w:tcPr>
                <w:p>
                  <w:pPr>
                    <w:spacing w:line="240" w:lineRule="auto"/>
                    <w:ind w:right="120" w:rightChars="50"/>
                    <w:jc w:val="center"/>
                    <w:rPr>
                      <w:color w:val="auto"/>
                      <w:sz w:val="21"/>
                      <w:szCs w:val="21"/>
                    </w:rPr>
                  </w:pPr>
                  <w:r>
                    <w:rPr>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04" w:type="dxa"/>
                  <w:noWrap/>
                  <w:vAlign w:val="center"/>
                </w:tcPr>
                <w:p>
                  <w:pPr>
                    <w:spacing w:line="240" w:lineRule="auto"/>
                    <w:ind w:right="120" w:rightChars="50"/>
                    <w:jc w:val="center"/>
                    <w:rPr>
                      <w:color w:val="auto"/>
                      <w:sz w:val="21"/>
                      <w:szCs w:val="21"/>
                    </w:rPr>
                  </w:pPr>
                  <w:r>
                    <w:rPr>
                      <w:color w:val="auto"/>
                      <w:sz w:val="21"/>
                      <w:szCs w:val="21"/>
                    </w:rPr>
                    <w:t>3</w:t>
                  </w:r>
                </w:p>
              </w:tc>
              <w:tc>
                <w:tcPr>
                  <w:tcW w:w="1220" w:type="dxa"/>
                  <w:noWrap/>
                  <w:vAlign w:val="center"/>
                </w:tcPr>
                <w:p>
                  <w:pPr>
                    <w:spacing w:line="240" w:lineRule="auto"/>
                    <w:ind w:right="120" w:rightChars="50"/>
                    <w:jc w:val="center"/>
                    <w:rPr>
                      <w:color w:val="auto"/>
                      <w:sz w:val="21"/>
                      <w:szCs w:val="21"/>
                    </w:rPr>
                  </w:pPr>
                  <w:r>
                    <w:rPr>
                      <w:color w:val="auto"/>
                      <w:sz w:val="21"/>
                      <w:szCs w:val="21"/>
                    </w:rPr>
                    <w:t>采用信息化监管</w:t>
                  </w:r>
                </w:p>
                <w:p>
                  <w:pPr>
                    <w:spacing w:line="240" w:lineRule="auto"/>
                    <w:ind w:right="120" w:rightChars="50"/>
                    <w:jc w:val="center"/>
                    <w:rPr>
                      <w:color w:val="auto"/>
                      <w:sz w:val="21"/>
                      <w:szCs w:val="21"/>
                    </w:rPr>
                  </w:pPr>
                  <w:r>
                    <w:rPr>
                      <w:color w:val="auto"/>
                      <w:sz w:val="21"/>
                      <w:szCs w:val="21"/>
                    </w:rPr>
                    <w:t>手段</w:t>
                  </w:r>
                </w:p>
              </w:tc>
              <w:tc>
                <w:tcPr>
                  <w:tcW w:w="4999" w:type="dxa"/>
                  <w:noWrap/>
                  <w:vAlign w:val="center"/>
                </w:tcPr>
                <w:p>
                  <w:pPr>
                    <w:spacing w:line="240" w:lineRule="auto"/>
                    <w:ind w:left="120" w:leftChars="50" w:right="120" w:rightChars="50"/>
                    <w:jc w:val="center"/>
                    <w:rPr>
                      <w:color w:val="auto"/>
                      <w:sz w:val="21"/>
                      <w:szCs w:val="21"/>
                    </w:rPr>
                  </w:pPr>
                  <w:r>
                    <w:rPr>
                      <w:color w:val="auto"/>
                      <w:sz w:val="21"/>
                      <w:szCs w:val="21"/>
                    </w:rPr>
                    <w:t>非甲烷总烃排放量≥2t/a的企业安装 VOCs 在线监测和工况监控设备并与环保局联网；采用催化氧化、RTO 等燃烧方式处理废气的企业，需建设中控中心，对温度、流量、停留时间、污染物排放等信息进行实时监控。所有监控数据实时传递至大数字环保平台，实现实时监控、预测预警和大数据分析等功能</w:t>
                  </w:r>
                </w:p>
              </w:tc>
              <w:tc>
                <w:tcPr>
                  <w:tcW w:w="1372" w:type="dxa"/>
                  <w:noWrap/>
                  <w:vAlign w:val="center"/>
                </w:tcPr>
                <w:p>
                  <w:pPr>
                    <w:spacing w:line="240" w:lineRule="auto"/>
                    <w:ind w:left="120" w:leftChars="50" w:right="120" w:rightChars="50"/>
                    <w:jc w:val="center"/>
                    <w:rPr>
                      <w:color w:val="auto"/>
                      <w:sz w:val="21"/>
                      <w:szCs w:val="21"/>
                    </w:rPr>
                  </w:pPr>
                  <w:r>
                    <w:rPr>
                      <w:color w:val="auto"/>
                      <w:sz w:val="21"/>
                      <w:szCs w:val="21"/>
                    </w:rPr>
                    <w:t>不属于</w:t>
                  </w:r>
                </w:p>
              </w:tc>
              <w:tc>
                <w:tcPr>
                  <w:tcW w:w="1127" w:type="dxa"/>
                  <w:noWrap/>
                  <w:vAlign w:val="center"/>
                </w:tcPr>
                <w:p>
                  <w:pPr>
                    <w:spacing w:line="240" w:lineRule="auto"/>
                    <w:ind w:right="120" w:rightChars="50"/>
                    <w:jc w:val="center"/>
                    <w:rPr>
                      <w:color w:val="auto"/>
                      <w:sz w:val="21"/>
                      <w:szCs w:val="21"/>
                    </w:rPr>
                  </w:pPr>
                  <w:r>
                    <w:rPr>
                      <w:color w:val="auto"/>
                      <w:sz w:val="21"/>
                      <w:szCs w:val="21"/>
                    </w:rPr>
                    <w:t>符合</w:t>
                  </w:r>
                </w:p>
              </w:tc>
            </w:tr>
          </w:tbl>
          <w:p>
            <w:pPr>
              <w:pStyle w:val="2"/>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2"/>
            <w:tcBorders>
              <w:top w:val="single" w:color="auto" w:sz="4" w:space="0"/>
              <w:left w:val="single" w:color="auto" w:sz="4" w:space="0"/>
              <w:bottom w:val="single" w:color="auto" w:sz="4" w:space="0"/>
              <w:right w:val="single" w:color="auto" w:sz="4" w:space="0"/>
            </w:tcBorders>
          </w:tcPr>
          <w:p>
            <w:pPr>
              <w:rPr>
                <w:b/>
                <w:bCs/>
              </w:rPr>
            </w:pPr>
            <w:r>
              <w:rPr>
                <w:b/>
                <w:bCs/>
              </w:rPr>
              <w:t>与本项目有关的原有污染情况及主要环境问题</w:t>
            </w:r>
          </w:p>
          <w:p>
            <w:pPr>
              <w:rPr>
                <w:rFonts w:hint="default"/>
                <w:b/>
                <w:bCs/>
              </w:rPr>
            </w:pPr>
            <w:r>
              <w:rPr>
                <w:rFonts w:hint="default"/>
                <w:b/>
                <w:bCs/>
              </w:rPr>
              <w:t>1、原有项目概况</w:t>
            </w:r>
          </w:p>
          <w:p>
            <w:pPr>
              <w:pStyle w:val="2"/>
              <w:ind w:firstLine="480"/>
              <w:rPr>
                <w:rFonts w:hint="default"/>
              </w:rPr>
            </w:pPr>
            <w:r>
              <w:rPr>
                <w:rFonts w:hint="eastAsia"/>
              </w:rPr>
              <w:t>项目位于苏州高新区浒关分区东金芝路 56 号，租用苏州市赛克塑胶有限公司现有的部分厂房。项目总投资 45 万元，其中环保投资 5 万元</w:t>
            </w:r>
            <w:r>
              <w:rPr>
                <w:rFonts w:hint="eastAsia"/>
                <w:lang w:eastAsia="zh-CN"/>
              </w:rPr>
              <w:t>，年产塑料制品 1500 吨。</w:t>
            </w:r>
            <w:r>
              <w:rPr>
                <w:rFonts w:hint="default"/>
              </w:rPr>
              <w:t>企业环评手续见表1-</w:t>
            </w:r>
            <w:r>
              <w:rPr>
                <w:rFonts w:hint="eastAsia"/>
                <w:lang w:val="en-US" w:eastAsia="zh-CN"/>
              </w:rPr>
              <w:t>10</w:t>
            </w:r>
            <w:r>
              <w:rPr>
                <w:rFonts w:hint="default"/>
              </w:rPr>
              <w:t>：</w:t>
            </w:r>
          </w:p>
          <w:p>
            <w:pPr>
              <w:pStyle w:val="2"/>
              <w:ind w:firstLine="0" w:firstLineChars="0"/>
              <w:jc w:val="center"/>
              <w:rPr>
                <w:rFonts w:hint="default"/>
              </w:rPr>
            </w:pPr>
            <w:r>
              <w:rPr>
                <w:rFonts w:hint="default"/>
                <w:b/>
                <w:bCs/>
                <w:sz w:val="21"/>
                <w:szCs w:val="21"/>
              </w:rPr>
              <w:t>表1-</w:t>
            </w:r>
            <w:r>
              <w:rPr>
                <w:rFonts w:hint="eastAsia"/>
                <w:b/>
                <w:bCs/>
                <w:sz w:val="21"/>
                <w:szCs w:val="21"/>
                <w:lang w:val="en-US" w:eastAsia="zh-CN"/>
              </w:rPr>
              <w:t>10</w:t>
            </w:r>
            <w:r>
              <w:rPr>
                <w:rFonts w:hint="default"/>
                <w:b/>
                <w:bCs/>
                <w:sz w:val="21"/>
                <w:szCs w:val="21"/>
              </w:rPr>
              <w:t>企业成立以来环保执行情况表</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510"/>
              <w:gridCol w:w="1520"/>
              <w:gridCol w:w="2370"/>
              <w:gridCol w:w="1640"/>
              <w:gridCol w:w="1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noWrap w:val="0"/>
                  <w:vAlign w:val="center"/>
                </w:tcPr>
                <w:p>
                  <w:pPr>
                    <w:pStyle w:val="2"/>
                    <w:spacing w:line="240" w:lineRule="auto"/>
                    <w:ind w:firstLine="0" w:firstLineChars="0"/>
                    <w:jc w:val="center"/>
                    <w:rPr>
                      <w:rFonts w:hint="default"/>
                      <w:sz w:val="21"/>
                      <w:szCs w:val="21"/>
                    </w:rPr>
                  </w:pPr>
                  <w:r>
                    <w:rPr>
                      <w:rFonts w:hint="default"/>
                      <w:sz w:val="21"/>
                      <w:szCs w:val="21"/>
                    </w:rPr>
                    <w:t>时间</w:t>
                  </w:r>
                </w:p>
              </w:tc>
              <w:tc>
                <w:tcPr>
                  <w:tcW w:w="1510" w:type="dxa"/>
                  <w:noWrap w:val="0"/>
                  <w:vAlign w:val="center"/>
                </w:tcPr>
                <w:p>
                  <w:pPr>
                    <w:pStyle w:val="2"/>
                    <w:spacing w:line="240" w:lineRule="auto"/>
                    <w:ind w:firstLine="0" w:firstLineChars="0"/>
                    <w:jc w:val="center"/>
                    <w:rPr>
                      <w:rFonts w:hint="default"/>
                      <w:sz w:val="21"/>
                      <w:szCs w:val="21"/>
                    </w:rPr>
                  </w:pPr>
                  <w:r>
                    <w:rPr>
                      <w:rFonts w:hint="default"/>
                      <w:sz w:val="21"/>
                      <w:szCs w:val="21"/>
                    </w:rPr>
                    <w:t>环保手续</w:t>
                  </w:r>
                </w:p>
              </w:tc>
              <w:tc>
                <w:tcPr>
                  <w:tcW w:w="1520" w:type="dxa"/>
                  <w:noWrap w:val="0"/>
                  <w:vAlign w:val="center"/>
                </w:tcPr>
                <w:p>
                  <w:pPr>
                    <w:pStyle w:val="2"/>
                    <w:spacing w:line="240" w:lineRule="auto"/>
                    <w:ind w:firstLine="0" w:firstLineChars="0"/>
                    <w:jc w:val="center"/>
                    <w:rPr>
                      <w:rFonts w:hint="default"/>
                      <w:sz w:val="21"/>
                      <w:szCs w:val="21"/>
                    </w:rPr>
                  </w:pPr>
                  <w:r>
                    <w:rPr>
                      <w:rFonts w:hint="default"/>
                      <w:sz w:val="21"/>
                      <w:szCs w:val="21"/>
                    </w:rPr>
                    <w:t>批复情况</w:t>
                  </w:r>
                </w:p>
              </w:tc>
              <w:tc>
                <w:tcPr>
                  <w:tcW w:w="2370" w:type="dxa"/>
                  <w:noWrap w:val="0"/>
                  <w:vAlign w:val="center"/>
                </w:tcPr>
                <w:p>
                  <w:pPr>
                    <w:pStyle w:val="2"/>
                    <w:spacing w:line="240" w:lineRule="auto"/>
                    <w:ind w:firstLine="0" w:firstLineChars="0"/>
                    <w:jc w:val="center"/>
                    <w:rPr>
                      <w:rFonts w:hint="default"/>
                      <w:sz w:val="21"/>
                      <w:szCs w:val="21"/>
                    </w:rPr>
                  </w:pPr>
                  <w:r>
                    <w:rPr>
                      <w:rFonts w:hint="default"/>
                      <w:sz w:val="21"/>
                      <w:szCs w:val="21"/>
                    </w:rPr>
                    <w:t>企业产能及建设情况</w:t>
                  </w:r>
                </w:p>
              </w:tc>
              <w:tc>
                <w:tcPr>
                  <w:tcW w:w="1640" w:type="dxa"/>
                  <w:noWrap w:val="0"/>
                  <w:vAlign w:val="center"/>
                </w:tcPr>
                <w:p>
                  <w:pPr>
                    <w:pStyle w:val="2"/>
                    <w:spacing w:line="240" w:lineRule="auto"/>
                    <w:ind w:firstLine="0" w:firstLineChars="0"/>
                    <w:jc w:val="center"/>
                    <w:rPr>
                      <w:rFonts w:hint="default"/>
                      <w:sz w:val="21"/>
                      <w:szCs w:val="21"/>
                    </w:rPr>
                  </w:pPr>
                  <w:r>
                    <w:rPr>
                      <w:rFonts w:hint="default"/>
                      <w:sz w:val="21"/>
                      <w:szCs w:val="21"/>
                    </w:rPr>
                    <w:t>验收情况</w:t>
                  </w:r>
                </w:p>
              </w:tc>
              <w:tc>
                <w:tcPr>
                  <w:tcW w:w="1190" w:type="dxa"/>
                  <w:noWrap w:val="0"/>
                  <w:vAlign w:val="center"/>
                </w:tcPr>
                <w:p>
                  <w:pPr>
                    <w:pStyle w:val="2"/>
                    <w:spacing w:line="240" w:lineRule="auto"/>
                    <w:ind w:firstLine="0" w:firstLineChars="0"/>
                    <w:jc w:val="center"/>
                    <w:rPr>
                      <w:rFonts w:hint="default"/>
                      <w:sz w:val="21"/>
                      <w:szCs w:val="21"/>
                    </w:rPr>
                  </w:pPr>
                  <w:r>
                    <w:rPr>
                      <w:rFonts w:hint="default"/>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92" w:type="dxa"/>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2016</w:t>
                  </w:r>
                </w:p>
              </w:tc>
              <w:tc>
                <w:tcPr>
                  <w:tcW w:w="1510" w:type="dxa"/>
                  <w:noWrap w:val="0"/>
                  <w:vAlign w:val="center"/>
                </w:tcPr>
                <w:p>
                  <w:pPr>
                    <w:pStyle w:val="2"/>
                    <w:spacing w:line="240" w:lineRule="auto"/>
                    <w:ind w:firstLine="0" w:firstLineChars="0"/>
                    <w:jc w:val="center"/>
                    <w:rPr>
                      <w:rFonts w:hint="default"/>
                      <w:sz w:val="21"/>
                      <w:szCs w:val="21"/>
                    </w:rPr>
                  </w:pPr>
                  <w:r>
                    <w:rPr>
                      <w:rFonts w:hint="default" w:ascii="Times New Roman" w:hAnsi="Times New Roman" w:cs="Times New Roman"/>
                      <w:color w:val="000000"/>
                      <w:sz w:val="21"/>
                      <w:szCs w:val="21"/>
                    </w:rPr>
                    <w:t>建设项目环境影响报告表</w:t>
                  </w:r>
                </w:p>
              </w:tc>
              <w:tc>
                <w:tcPr>
                  <w:tcW w:w="1520" w:type="dxa"/>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苏新环项[2016]325</w:t>
                  </w:r>
                </w:p>
              </w:tc>
              <w:tc>
                <w:tcPr>
                  <w:tcW w:w="2370" w:type="dxa"/>
                  <w:noWrap w:val="0"/>
                  <w:vAlign w:val="center"/>
                </w:tcPr>
                <w:p>
                  <w:pPr>
                    <w:pStyle w:val="2"/>
                    <w:spacing w:line="240" w:lineRule="auto"/>
                    <w:ind w:firstLine="0" w:firstLineChars="0"/>
                    <w:jc w:val="center"/>
                    <w:rPr>
                      <w:rFonts w:hint="eastAsia" w:eastAsia="宋体"/>
                      <w:sz w:val="21"/>
                      <w:szCs w:val="21"/>
                      <w:lang w:val="en-US" w:eastAsia="zh-CN"/>
                    </w:rPr>
                  </w:pPr>
                  <w:r>
                    <w:rPr>
                      <w:rFonts w:hint="eastAsia"/>
                      <w:sz w:val="21"/>
                      <w:szCs w:val="21"/>
                      <w:lang w:val="en-US" w:eastAsia="zh-CN"/>
                    </w:rPr>
                    <w:t>满产</w:t>
                  </w:r>
                </w:p>
              </w:tc>
              <w:tc>
                <w:tcPr>
                  <w:tcW w:w="1640" w:type="dxa"/>
                  <w:noWrap w:val="0"/>
                  <w:vAlign w:val="center"/>
                </w:tcPr>
                <w:p>
                  <w:pPr>
                    <w:pStyle w:val="2"/>
                    <w:spacing w:line="240" w:lineRule="auto"/>
                    <w:ind w:firstLine="0" w:firstLineChars="0"/>
                    <w:jc w:val="center"/>
                    <w:rPr>
                      <w:rFonts w:hint="eastAsia" w:eastAsia="宋体"/>
                      <w:sz w:val="21"/>
                      <w:szCs w:val="21"/>
                      <w:lang w:val="en-US" w:eastAsia="zh-CN"/>
                    </w:rPr>
                  </w:pPr>
                  <w:r>
                    <w:rPr>
                      <w:rFonts w:hint="eastAsia"/>
                      <w:sz w:val="21"/>
                      <w:szCs w:val="21"/>
                      <w:lang w:val="en-US" w:eastAsia="zh-CN"/>
                    </w:rPr>
                    <w:t>自主验收</w:t>
                  </w:r>
                </w:p>
              </w:tc>
              <w:tc>
                <w:tcPr>
                  <w:tcW w:w="1190" w:type="dxa"/>
                  <w:noWrap w:val="0"/>
                  <w:vAlign w:val="center"/>
                </w:tcPr>
                <w:p>
                  <w:pPr>
                    <w:pStyle w:val="2"/>
                    <w:spacing w:line="240" w:lineRule="auto"/>
                    <w:ind w:firstLine="0" w:firstLineChars="0"/>
                    <w:jc w:val="center"/>
                    <w:rPr>
                      <w:rFonts w:hint="eastAsia" w:eastAsia="宋体"/>
                      <w:sz w:val="21"/>
                      <w:szCs w:val="21"/>
                      <w:lang w:val="en-US" w:eastAsia="zh-CN"/>
                    </w:rPr>
                  </w:pPr>
                  <w:r>
                    <w:rPr>
                      <w:rFonts w:hint="eastAsia"/>
                      <w:sz w:val="21"/>
                      <w:szCs w:val="21"/>
                      <w:lang w:val="en-US" w:eastAsia="zh-CN"/>
                    </w:rPr>
                    <w:t>/</w:t>
                  </w:r>
                </w:p>
              </w:tc>
            </w:tr>
          </w:tbl>
          <w:p>
            <w:pPr>
              <w:pStyle w:val="2"/>
              <w:ind w:firstLine="0" w:firstLineChars="0"/>
              <w:jc w:val="center"/>
              <w:rPr>
                <w:rFonts w:hint="default"/>
                <w:lang w:val="en-US" w:eastAsia="zh-CN"/>
              </w:rPr>
            </w:pPr>
            <w:r>
              <w:rPr>
                <w:rFonts w:hint="default"/>
                <w:b/>
                <w:bCs/>
                <w:sz w:val="21"/>
                <w:szCs w:val="21"/>
                <w:lang w:val="en-US" w:eastAsia="zh-CN"/>
              </w:rPr>
              <w:t>表1-</w:t>
            </w:r>
            <w:r>
              <w:rPr>
                <w:rFonts w:hint="eastAsia"/>
                <w:b/>
                <w:bCs/>
                <w:sz w:val="21"/>
                <w:szCs w:val="21"/>
                <w:lang w:val="en-US" w:eastAsia="zh-CN"/>
              </w:rPr>
              <w:t>11</w:t>
            </w:r>
            <w:r>
              <w:rPr>
                <w:rFonts w:hint="default"/>
                <w:b/>
                <w:bCs/>
                <w:sz w:val="21"/>
                <w:szCs w:val="21"/>
                <w:lang w:val="en-US" w:eastAsia="zh-CN"/>
              </w:rPr>
              <w:t>现有项目环评批复执行落实情况</w:t>
            </w:r>
          </w:p>
          <w:tbl>
            <w:tblPr>
              <w:tblStyle w:val="27"/>
              <w:tblW w:w="94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35"/>
              <w:gridCol w:w="39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711" w:type="dxa"/>
                  <w:tcBorders>
                    <w:top w:val="single" w:color="auto" w:sz="12" w:space="0"/>
                    <w:bottom w:val="single" w:color="auto" w:sz="12" w:space="0"/>
                  </w:tcBorders>
                  <w:noWrap w:val="0"/>
                  <w:vAlign w:val="center"/>
                </w:tcPr>
                <w:p>
                  <w:pPr>
                    <w:pStyle w:val="110"/>
                    <w:ind w:firstLine="0" w:firstLineChars="0"/>
                    <w:rPr>
                      <w:rFonts w:hint="default" w:ascii="Times New Roman" w:hAnsi="Times New Roman" w:eastAsia="宋体" w:cs="Times New Roman"/>
                      <w:b/>
                      <w:bCs/>
                      <w:kern w:val="0"/>
                      <w:sz w:val="21"/>
                      <w:szCs w:val="21"/>
                      <w:lang w:val="en-US" w:eastAsia="zh-CN" w:bidi="ar-SA"/>
                    </w:rPr>
                  </w:pPr>
                  <w:r>
                    <w:rPr>
                      <w:rFonts w:cs="Times New Roman"/>
                      <w:b/>
                      <w:bCs/>
                    </w:rPr>
                    <w:t>该项目环评/批复意见</w:t>
                  </w:r>
                </w:p>
              </w:tc>
              <w:tc>
                <w:tcPr>
                  <w:tcW w:w="4711" w:type="dxa"/>
                  <w:tcBorders>
                    <w:top w:val="single" w:color="auto" w:sz="12" w:space="0"/>
                    <w:bottom w:val="single" w:color="auto" w:sz="12" w:space="0"/>
                  </w:tcBorders>
                  <w:noWrap w:val="0"/>
                  <w:vAlign w:val="center"/>
                </w:tcPr>
                <w:p>
                  <w:pPr>
                    <w:pStyle w:val="110"/>
                    <w:ind w:firstLine="0" w:firstLineChars="0"/>
                    <w:rPr>
                      <w:rFonts w:hint="default" w:ascii="Times New Roman" w:hAnsi="Times New Roman" w:eastAsia="宋体" w:cs="Times New Roman"/>
                      <w:b/>
                      <w:bCs/>
                      <w:kern w:val="0"/>
                      <w:sz w:val="21"/>
                      <w:szCs w:val="21"/>
                      <w:lang w:val="en-US" w:eastAsia="zh-CN" w:bidi="ar-SA"/>
                    </w:rPr>
                  </w:pPr>
                  <w:r>
                    <w:rPr>
                      <w:rFonts w:cs="Times New Roman"/>
                      <w:b/>
                      <w:bCs/>
                    </w:rPr>
                    <w:t>实际执行情况检查结果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tcBorders>
                    <w:top w:val="single" w:color="auto" w:sz="12" w:space="0"/>
                  </w:tcBorders>
                  <w:noWrap w:val="0"/>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1、项目工程设计、建设和环境管理中，必须切实落实《报告表》中提出的各项环保要求和污染防治措施，确保各污染物达标排放，不得使用废塑料用于生产加工。</w:t>
                  </w:r>
                </w:p>
              </w:tc>
              <w:tc>
                <w:tcPr>
                  <w:tcW w:w="4711" w:type="dxa"/>
                  <w:tcBorders>
                    <w:top w:val="single" w:color="auto" w:sz="12" w:space="0"/>
                  </w:tcBorders>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项目工程设计、建设和环境管理中，切实落实《报告表》中提出的各项环保要求和污染防治措施，经检测各污染物达标排放，未使用废塑料用于生产加工。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2、厂区实行雨、污分流。该项目无生产废水，生活污水排入市政污水管网，废水排放执行《污水综合排放标准》( GB8978-1996)三级标准，氨氮、总磷执行《污水排入城镇下水道水质标准》(CJ343-2010) 表1标准。</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厂区实行雨、污分流。该项目无生产废水，生活污水排入市政污水管网，废水排放执行《污水综合排放标准》( GB8978-1996)三级标准，因《污水排入城镇下水道水质标准》(CJ343-2010)已废止，氨氮、总磷执行《污水排入城镇下水道水质标准》(GB/T31962-2015) 表1B级标准。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3、加强废气排放管理，注塑废气经收集处理后通过15米高排气简排放，非甲烷总烃排放执行《大气污染物综合排放标准》(GB16296-1996)表2二级标准。严格执行《报告表》中提出的卫生防护距离要求。</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本项目注塑废气经集气罩收集后进入活性炭吸附装置</w:t>
                  </w:r>
                  <w:r>
                    <w:rPr>
                      <w:rFonts w:hint="eastAsia" w:cs="Times New Roman"/>
                    </w:rPr>
                    <w:t>+低温等离子设备</w:t>
                  </w:r>
                  <w:r>
                    <w:rPr>
                      <w:rFonts w:cs="Times New Roman"/>
                    </w:rPr>
                    <w:t>处理后通过15米高排气简排放，非甲烷总烃排放执行《大气污染物综合排放标准》(GB16296-1996)表2二级标准。已按《报告表》要求设置100米卫生防护距离，卫生防护距离内无居民等环境敏感点。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lang w:val="en-US" w:eastAsia="zh-CN" w:bidi="ar-SA"/>
                    </w:rPr>
                  </w:pPr>
                  <w:r>
                    <w:rPr>
                      <w:rFonts w:cs="Times New Roman"/>
                    </w:rPr>
                    <w:t>4、采取切实有效的隔音降噪措施，确保厂界噪声排放达到《工业企业厂界环境噪声排放标准》(GB12348- 2008) 3类标准，昼间≤65dB(A)，夜间≤55dB (A)。</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已选用低噪声设备、合理布局，并采取有效的减振、隔声措施，经检测厂界噪声达到《工业企业厂界环境噪声排放标准》(GB12348-2008)3类标准要求。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lang w:val="en-US" w:eastAsia="zh-CN" w:bidi="ar-SA"/>
                    </w:rPr>
                  </w:pPr>
                  <w:r>
                    <w:rPr>
                      <w:rFonts w:cs="Times New Roman"/>
                    </w:rPr>
                    <w:t>5、固体废物分类收集妥善处置或利用，不得排放。危险废物根据就近处置原则，鼓励企业委托区内有资质单位进行处理，并执行危险废物转移联单制度.</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已落实各类固体废物的分类收集处理处置和综合利用措施，固体废物“零排放”，其中危险废物已委托具备危险废物处理、经营许可证的单位进行处理，且执行危险废物转移联单制度。厂内危险废物暂存场所符合《危险废物贮存污染控制标准》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6、你公司须积极推广循环经济理念，实施清洁生产措施，贯彻IS014000标准。</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积极推广循环经济理念，实施清洁生产措施，贯彻IS014000标准。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1" w:type="dxa"/>
                  <w:noWrap w:val="0"/>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7、排污口设置按《江苏省排污口设置及规范化整治管理办法》(苏环控[1997]122号文)的要求执行。各类污染物排放口设置监测采样口并安装环保标志牌。</w:t>
                  </w:r>
                </w:p>
              </w:tc>
              <w:tc>
                <w:tcPr>
                  <w:tcW w:w="4711" w:type="dxa"/>
                  <w:noWrap w:val="0"/>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已规范各类排污口及标识。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3" w:type="dxa"/>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8、建设单位须采取有效的环境风险防范措施和应急措施，制定《突发环境事件应急预案》，建立完善的监控、监测及报警系统，防止各类污染事故发生。</w:t>
                  </w:r>
                </w:p>
              </w:tc>
              <w:tc>
                <w:tcPr>
                  <w:tcW w:w="2709" w:type="dxa"/>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已经做好相关工作。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3" w:type="dxa"/>
                  <w:vAlign w:val="center"/>
                </w:tcPr>
                <w:p>
                  <w:pPr>
                    <w:pStyle w:val="110"/>
                    <w:ind w:firstLine="0" w:firstLineChars="0"/>
                    <w:jc w:val="left"/>
                    <w:rPr>
                      <w:rFonts w:hint="default" w:ascii="Times New Roman" w:hAnsi="Times New Roman" w:eastAsia="宋体" w:cs="Times New Roman"/>
                      <w:kern w:val="0"/>
                      <w:sz w:val="21"/>
                      <w:szCs w:val="21"/>
                      <w:highlight w:val="yellow"/>
                      <w:lang w:val="en-US" w:eastAsia="zh-CN" w:bidi="ar-SA"/>
                    </w:rPr>
                  </w:pPr>
                  <w:r>
                    <w:rPr>
                      <w:rFonts w:cs="Times New Roman"/>
                    </w:rPr>
                    <w:t>9、项目经我局验收合格后方可正式生产。</w:t>
                  </w:r>
                </w:p>
              </w:tc>
              <w:tc>
                <w:tcPr>
                  <w:tcW w:w="2709" w:type="dxa"/>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正在进行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3" w:type="dxa"/>
                  <w:tcBorders>
                    <w:bottom w:val="single" w:color="auto" w:sz="12" w:space="0"/>
                  </w:tcBorders>
                  <w:vAlign w:val="center"/>
                </w:tcPr>
                <w:p>
                  <w:pPr>
                    <w:pStyle w:val="110"/>
                    <w:ind w:firstLine="0" w:firstLineChars="0"/>
                    <w:jc w:val="left"/>
                    <w:rPr>
                      <w:rFonts w:hint="default" w:ascii="Times New Roman" w:hAnsi="Times New Roman" w:eastAsia="宋体" w:cs="Times New Roman"/>
                      <w:kern w:val="0"/>
                      <w:sz w:val="21"/>
                      <w:szCs w:val="21"/>
                      <w:lang w:val="en-US" w:eastAsia="zh-CN" w:bidi="ar-SA"/>
                    </w:rPr>
                  </w:pPr>
                  <w:r>
                    <w:rPr>
                      <w:rFonts w:cs="Times New Roman"/>
                    </w:rPr>
                    <w:t>10、本批复自审批之日起有效期5年。本项目5年后方开工建设或项目的性质、规模、地点、采用的生产工艺或拟采用的防治污染措施发生重大变化的，你公司须重新报批该项目环境影响评价文件。</w:t>
                  </w:r>
                </w:p>
              </w:tc>
              <w:tc>
                <w:tcPr>
                  <w:tcW w:w="2709" w:type="dxa"/>
                  <w:tcBorders>
                    <w:bottom w:val="single" w:color="auto" w:sz="12" w:space="0"/>
                  </w:tcBorders>
                  <w:vAlign w:val="center"/>
                </w:tcPr>
                <w:p>
                  <w:pPr>
                    <w:pStyle w:val="110"/>
                    <w:ind w:firstLine="0" w:firstLineChars="0"/>
                    <w:rPr>
                      <w:rFonts w:hint="default" w:ascii="Times New Roman" w:hAnsi="Times New Roman" w:eastAsia="宋体" w:cs="Times New Roman"/>
                      <w:kern w:val="0"/>
                      <w:sz w:val="21"/>
                      <w:szCs w:val="21"/>
                      <w:highlight w:val="yellow"/>
                      <w:lang w:val="en-US" w:eastAsia="zh-CN" w:bidi="ar-SA"/>
                    </w:rPr>
                  </w:pPr>
                  <w:r>
                    <w:rPr>
                      <w:rFonts w:cs="Times New Roman"/>
                    </w:rPr>
                    <w:t>已在规定时间内建设完毕</w:t>
                  </w:r>
                </w:p>
              </w:tc>
            </w:tr>
          </w:tbl>
          <w:p>
            <w:pPr>
              <w:pStyle w:val="2"/>
              <w:ind w:firstLine="0" w:firstLineChars="0"/>
              <w:rPr>
                <w:rFonts w:hint="default"/>
              </w:rPr>
            </w:pPr>
            <w:r>
              <w:rPr>
                <w:rFonts w:hint="default"/>
              </w:rPr>
              <w:t>2、</w:t>
            </w:r>
            <w:r>
              <w:rPr>
                <w:rFonts w:hint="default"/>
                <w:lang w:eastAsia="zh-CN"/>
              </w:rPr>
              <w:t>现</w:t>
            </w:r>
            <w:r>
              <w:rPr>
                <w:rFonts w:hint="default"/>
              </w:rPr>
              <w:t>有项目生产工艺流程</w:t>
            </w:r>
          </w:p>
          <w:p>
            <w:pPr>
              <w:pStyle w:val="2"/>
              <w:ind w:firstLine="0" w:firstLineChars="0"/>
              <w:jc w:val="center"/>
              <w:rPr>
                <w:rFonts w:hint="default"/>
              </w:rPr>
            </w:pPr>
            <w:r>
              <w:drawing>
                <wp:inline distT="0" distB="0" distL="114300" distR="114300">
                  <wp:extent cx="5857875" cy="1323975"/>
                  <wp:effectExtent l="0" t="0" r="9525"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5857875" cy="1323975"/>
                          </a:xfrm>
                          <a:prstGeom prst="rect">
                            <a:avLst/>
                          </a:prstGeom>
                          <a:noFill/>
                          <a:ln>
                            <a:noFill/>
                          </a:ln>
                        </pic:spPr>
                      </pic:pic>
                    </a:graphicData>
                  </a:graphic>
                </wp:inline>
              </w:drawing>
            </w:r>
          </w:p>
          <w:p>
            <w:pPr>
              <w:rPr>
                <w:rFonts w:hint="default"/>
              </w:rPr>
            </w:pPr>
            <w:r>
              <w:rPr>
                <w:rFonts w:hint="default"/>
              </w:rPr>
              <w:t>工艺流程说明：</w:t>
            </w:r>
          </w:p>
          <w:p>
            <w:pPr>
              <w:pStyle w:val="2"/>
              <w:rPr>
                <w:rFonts w:hint="eastAsia"/>
                <w:lang w:eastAsia="zh-CN"/>
              </w:rPr>
            </w:pPr>
            <w:r>
              <w:rPr>
                <w:rFonts w:hint="eastAsia"/>
                <w:lang w:eastAsia="zh-CN"/>
              </w:rPr>
              <w:t>混料：项目首先将所需要的塑料粒子、弹性体和相应的色料母粒通过真空输送装置计</w:t>
            </w:r>
          </w:p>
          <w:p>
            <w:pPr>
              <w:pStyle w:val="2"/>
              <w:rPr>
                <w:rFonts w:hint="eastAsia"/>
                <w:lang w:eastAsia="zh-CN"/>
              </w:rPr>
            </w:pPr>
            <w:r>
              <w:rPr>
                <w:rFonts w:hint="eastAsia"/>
                <w:lang w:eastAsia="zh-CN"/>
              </w:rPr>
              <w:t>量并输送入捏料机中进行混合，由于所用粒子和色料母粒直径约 2mm，非粉状，因此不涉及粉尘的产生问题；</w:t>
            </w:r>
          </w:p>
          <w:p>
            <w:pPr>
              <w:pStyle w:val="2"/>
              <w:rPr>
                <w:rFonts w:hint="eastAsia"/>
                <w:lang w:eastAsia="zh-CN"/>
              </w:rPr>
            </w:pPr>
            <w:r>
              <w:rPr>
                <w:rFonts w:hint="eastAsia"/>
                <w:lang w:eastAsia="zh-CN"/>
              </w:rPr>
              <w:t>挤出成型、冷却：由于采用单螺杆挤出机，为预热后的粒子通过螺杆挤出，之后经风冷后成型。项目单螺杆挤出机使用过程需要冷却水进行设备的间接冷却，冷却水经冷却塔冷却后循环回用。挤出过程加热、融熔、增压，温度约 120～160℃，约 0.1%的原料单体会挥发出（G1），主要为烃类气体，以非甲烷总烃计的量为 1.5t/a，经相应的吸风罩收集后集中通风，风量 4000m3/h，按照 90%的收集率，废气经</w:t>
            </w:r>
            <w:r>
              <w:t>活性炭吸附</w:t>
            </w:r>
            <w:r>
              <w:rPr>
                <w:rFonts w:hint="eastAsia"/>
                <w:lang w:val="en-US" w:eastAsia="zh-CN"/>
              </w:rPr>
              <w:t>+低温等离子</w:t>
            </w:r>
            <w:r>
              <w:rPr>
                <w:rFonts w:hint="eastAsia"/>
                <w:lang w:eastAsia="zh-CN"/>
              </w:rPr>
              <w:t>处理，按照70%的效率，最终达标尾气经 15 米高排气筒外排；</w:t>
            </w:r>
          </w:p>
          <w:p>
            <w:pPr>
              <w:pStyle w:val="2"/>
              <w:rPr>
                <w:rFonts w:hint="eastAsia"/>
                <w:lang w:eastAsia="zh-CN"/>
              </w:rPr>
            </w:pPr>
            <w:r>
              <w:rPr>
                <w:rFonts w:hint="eastAsia"/>
                <w:lang w:eastAsia="zh-CN"/>
              </w:rPr>
              <w:t>检验：成型后产品经检验，合格的包装外运出厂，不合格的（S1）经回收外卖；</w:t>
            </w:r>
          </w:p>
          <w:p>
            <w:pPr>
              <w:pStyle w:val="2"/>
              <w:ind w:firstLine="0" w:firstLineChars="0"/>
              <w:rPr>
                <w:rFonts w:hint="default" w:ascii="Times New Roman" w:hAnsi="Times New Roman" w:cs="Times New Roman"/>
                <w:b/>
                <w:bCs w:val="0"/>
                <w:color w:val="000000"/>
              </w:rPr>
            </w:pPr>
            <w:r>
              <w:rPr>
                <w:rFonts w:hint="default" w:ascii="Times New Roman" w:hAnsi="Times New Roman" w:cs="Times New Roman"/>
                <w:b/>
                <w:bCs w:val="0"/>
                <w:color w:val="000000"/>
              </w:rPr>
              <w:t>3、</w:t>
            </w:r>
            <w:r>
              <w:rPr>
                <w:rFonts w:hint="eastAsia" w:cs="Times New Roman"/>
                <w:b/>
                <w:bCs w:val="0"/>
                <w:color w:val="000000"/>
                <w:lang w:val="en-US" w:eastAsia="zh-CN"/>
              </w:rPr>
              <w:t>现有</w:t>
            </w:r>
            <w:r>
              <w:rPr>
                <w:rFonts w:hint="default" w:ascii="Times New Roman" w:hAnsi="Times New Roman" w:cs="Times New Roman"/>
                <w:b/>
                <w:bCs w:val="0"/>
                <w:color w:val="000000"/>
              </w:rPr>
              <w:t>项目污染物产生及治理情况</w:t>
            </w:r>
          </w:p>
          <w:p>
            <w:pPr>
              <w:pStyle w:val="2"/>
              <w:ind w:firstLine="480" w:firstLineChars="200"/>
              <w:rPr>
                <w:rFonts w:hint="eastAsia" w:ascii="Times New Roman" w:hAnsi="Times New Roman" w:eastAsia="宋体" w:cs="Times New Roman"/>
                <w:bCs/>
                <w:color w:val="000000"/>
                <w:lang w:eastAsia="zh-CN"/>
              </w:rPr>
            </w:pPr>
            <w:r>
              <w:rPr>
                <w:rFonts w:hint="eastAsia" w:cs="Times New Roman"/>
                <w:bCs/>
                <w:color w:val="000000"/>
                <w:lang w:val="en-US" w:eastAsia="zh-CN"/>
              </w:rPr>
              <w:t>现有</w:t>
            </w:r>
            <w:r>
              <w:rPr>
                <w:rFonts w:hint="eastAsia" w:ascii="Times New Roman" w:hAnsi="Times New Roman" w:cs="Times New Roman"/>
                <w:bCs/>
                <w:color w:val="000000"/>
                <w:lang w:eastAsia="zh-CN"/>
              </w:rPr>
              <w:t>项目验收监测数据见附件，均已达标排放。</w:t>
            </w:r>
          </w:p>
          <w:p>
            <w:pPr>
              <w:rPr>
                <w:rFonts w:hint="eastAsia"/>
                <w:lang w:eastAsia="zh-CN"/>
              </w:rPr>
            </w:pPr>
            <w:r>
              <w:rPr>
                <w:rFonts w:hint="eastAsia"/>
                <w:lang w:val="en-US" w:eastAsia="zh-CN"/>
              </w:rPr>
              <w:t>1）</w:t>
            </w:r>
            <w:r>
              <w:rPr>
                <w:rFonts w:hint="eastAsia"/>
                <w:lang w:eastAsia="zh-CN"/>
              </w:rPr>
              <w:t xml:space="preserve">废气 </w:t>
            </w:r>
          </w:p>
          <w:p>
            <w:pPr>
              <w:ind w:firstLine="480" w:firstLineChars="200"/>
              <w:rPr>
                <w:rFonts w:hint="eastAsia"/>
                <w:lang w:eastAsia="zh-CN"/>
              </w:rPr>
            </w:pPr>
            <w:r>
              <w:rPr>
                <w:rFonts w:hint="eastAsia"/>
                <w:lang w:val="en-US" w:eastAsia="zh-CN"/>
              </w:rPr>
              <w:t>现有</w:t>
            </w:r>
            <w:r>
              <w:rPr>
                <w:rFonts w:hint="eastAsia"/>
                <w:lang w:eastAsia="zh-CN"/>
              </w:rPr>
              <w:t>项目主要产生废气的工段是挤出成型、冷却工段，在该工段有加热、熔融、增压过程，温度约120-160℃，有少量塑料粒子中的低分子成分高温受热分解，以非甲烷总烃计算，经过吸风罩收集后经一级活性炭吸附+低温等离子体设备处理，最后由一根15m高排气筒排出，剩余未被收集的非甲烷总烃经车间通风后无组织排放。本项目大气污染物产生及排放情况见表</w:t>
            </w:r>
            <w:r>
              <w:rPr>
                <w:rFonts w:hint="eastAsia"/>
                <w:lang w:val="en-US" w:eastAsia="zh-CN"/>
              </w:rPr>
              <w:t>1-12</w:t>
            </w:r>
            <w:r>
              <w:rPr>
                <w:rFonts w:hint="eastAsia"/>
                <w:lang w:eastAsia="zh-CN"/>
              </w:rPr>
              <w:t>、表</w:t>
            </w:r>
            <w:r>
              <w:rPr>
                <w:rFonts w:hint="eastAsia"/>
                <w:lang w:val="en-US" w:eastAsia="zh-CN"/>
              </w:rPr>
              <w:t>1-13</w:t>
            </w:r>
            <w:r>
              <w:rPr>
                <w:rFonts w:hint="eastAsia"/>
                <w:lang w:eastAsia="zh-CN"/>
              </w:rPr>
              <w:t>。</w:t>
            </w:r>
          </w:p>
          <w:p>
            <w:pPr>
              <w:bidi w:val="0"/>
              <w:spacing w:line="240" w:lineRule="auto"/>
              <w:jc w:val="center"/>
              <w:rPr>
                <w:rFonts w:hint="default"/>
              </w:rPr>
            </w:pPr>
            <w:r>
              <w:rPr>
                <w:rFonts w:hint="default"/>
                <w:b/>
                <w:bCs/>
                <w:sz w:val="21"/>
                <w:szCs w:val="21"/>
              </w:rPr>
              <w:t>表</w:t>
            </w:r>
            <w:r>
              <w:rPr>
                <w:rFonts w:hint="eastAsia"/>
                <w:b/>
                <w:bCs/>
                <w:sz w:val="21"/>
                <w:szCs w:val="21"/>
                <w:lang w:val="en-US" w:eastAsia="zh-CN"/>
              </w:rPr>
              <w:t>1-12</w:t>
            </w:r>
            <w:r>
              <w:rPr>
                <w:rFonts w:hint="default"/>
                <w:b/>
                <w:bCs/>
                <w:sz w:val="21"/>
                <w:szCs w:val="21"/>
              </w:rPr>
              <w:t>项目有组织废气产生及排放情况表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490"/>
              <w:gridCol w:w="1444"/>
              <w:gridCol w:w="2251"/>
              <w:gridCol w:w="23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pct"/>
                  <w:tcBorders>
                    <w:bottom w:val="single" w:color="auto" w:sz="12" w:space="0"/>
                  </w:tcBorders>
                  <w:vAlign w:val="center"/>
                </w:tcPr>
                <w:p>
                  <w:pPr>
                    <w:pStyle w:val="110"/>
                    <w:rPr>
                      <w:rFonts w:cs="Times New Roman"/>
                      <w:b/>
                      <w:bCs/>
                    </w:rPr>
                  </w:pPr>
                  <w:r>
                    <w:rPr>
                      <w:rFonts w:cs="Times New Roman"/>
                      <w:b/>
                      <w:bCs/>
                    </w:rPr>
                    <w:t>产生工序</w:t>
                  </w:r>
                </w:p>
              </w:tc>
              <w:tc>
                <w:tcPr>
                  <w:tcW w:w="790" w:type="pct"/>
                  <w:tcBorders>
                    <w:bottom w:val="single" w:color="auto" w:sz="12" w:space="0"/>
                  </w:tcBorders>
                  <w:vAlign w:val="center"/>
                </w:tcPr>
                <w:p>
                  <w:pPr>
                    <w:pStyle w:val="110"/>
                    <w:rPr>
                      <w:rFonts w:cs="Times New Roman"/>
                      <w:b/>
                      <w:bCs/>
                    </w:rPr>
                  </w:pPr>
                  <w:r>
                    <w:rPr>
                      <w:rFonts w:cs="Times New Roman"/>
                      <w:b/>
                      <w:bCs/>
                    </w:rPr>
                    <w:t>污染物</w:t>
                  </w:r>
                </w:p>
              </w:tc>
              <w:tc>
                <w:tcPr>
                  <w:tcW w:w="766" w:type="pct"/>
                  <w:tcBorders>
                    <w:bottom w:val="single" w:color="auto" w:sz="12" w:space="0"/>
                  </w:tcBorders>
                  <w:vAlign w:val="center"/>
                </w:tcPr>
                <w:p>
                  <w:pPr>
                    <w:pStyle w:val="110"/>
                    <w:rPr>
                      <w:rFonts w:cs="Times New Roman"/>
                      <w:b/>
                      <w:bCs/>
                    </w:rPr>
                  </w:pPr>
                  <w:r>
                    <w:rPr>
                      <w:rFonts w:cs="Times New Roman"/>
                      <w:b/>
                      <w:bCs/>
                    </w:rPr>
                    <w:t>产生量t/a</w:t>
                  </w:r>
                </w:p>
              </w:tc>
              <w:tc>
                <w:tcPr>
                  <w:tcW w:w="1194" w:type="pct"/>
                  <w:tcBorders>
                    <w:bottom w:val="single" w:color="auto" w:sz="12" w:space="0"/>
                  </w:tcBorders>
                  <w:vAlign w:val="center"/>
                </w:tcPr>
                <w:p>
                  <w:pPr>
                    <w:pStyle w:val="110"/>
                    <w:rPr>
                      <w:rFonts w:cs="Times New Roman"/>
                      <w:b/>
                      <w:bCs/>
                    </w:rPr>
                  </w:pPr>
                  <w:r>
                    <w:rPr>
                      <w:rFonts w:cs="Times New Roman"/>
                      <w:b/>
                      <w:bCs/>
                    </w:rPr>
                    <w:t>治理措施</w:t>
                  </w:r>
                </w:p>
              </w:tc>
              <w:tc>
                <w:tcPr>
                  <w:tcW w:w="1245" w:type="pct"/>
                  <w:tcBorders>
                    <w:bottom w:val="single" w:color="auto" w:sz="12" w:space="0"/>
                  </w:tcBorders>
                  <w:vAlign w:val="center"/>
                </w:tcPr>
                <w:p>
                  <w:pPr>
                    <w:pStyle w:val="110"/>
                    <w:rPr>
                      <w:rFonts w:cs="Times New Roman"/>
                      <w:b/>
                      <w:bCs/>
                    </w:rPr>
                  </w:pPr>
                  <w:r>
                    <w:rPr>
                      <w:rFonts w:cs="Times New Roman"/>
                      <w:b/>
                      <w:bCs/>
                    </w:rPr>
                    <w:t>排气筒编号及高度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1003" w:type="pct"/>
                  <w:tcBorders>
                    <w:top w:val="single" w:color="auto" w:sz="12" w:space="0"/>
                  </w:tcBorders>
                  <w:vAlign w:val="center"/>
                </w:tcPr>
                <w:p>
                  <w:pPr>
                    <w:pStyle w:val="110"/>
                    <w:rPr>
                      <w:rFonts w:cs="Times New Roman"/>
                    </w:rPr>
                  </w:pPr>
                  <w:r>
                    <w:rPr>
                      <w:rFonts w:cs="Times New Roman"/>
                    </w:rPr>
                    <w:t>挤出成型、冷却</w:t>
                  </w:r>
                </w:p>
              </w:tc>
              <w:tc>
                <w:tcPr>
                  <w:tcW w:w="790" w:type="pct"/>
                  <w:tcBorders>
                    <w:top w:val="single" w:color="auto" w:sz="12" w:space="0"/>
                  </w:tcBorders>
                  <w:vAlign w:val="center"/>
                </w:tcPr>
                <w:p>
                  <w:pPr>
                    <w:pStyle w:val="110"/>
                    <w:rPr>
                      <w:rFonts w:cs="Times New Roman"/>
                    </w:rPr>
                  </w:pPr>
                  <w:r>
                    <w:rPr>
                      <w:rFonts w:cs="Times New Roman"/>
                    </w:rPr>
                    <w:t>非甲烷总烃</w:t>
                  </w:r>
                </w:p>
              </w:tc>
              <w:tc>
                <w:tcPr>
                  <w:tcW w:w="766" w:type="pct"/>
                  <w:tcBorders>
                    <w:top w:val="single" w:color="auto" w:sz="12" w:space="0"/>
                  </w:tcBorders>
                  <w:vAlign w:val="center"/>
                </w:tcPr>
                <w:p>
                  <w:pPr>
                    <w:pStyle w:val="110"/>
                    <w:rPr>
                      <w:rFonts w:cs="Times New Roman"/>
                    </w:rPr>
                  </w:pPr>
                  <w:r>
                    <w:rPr>
                      <w:rFonts w:cs="Times New Roman"/>
                    </w:rPr>
                    <w:t>1.5</w:t>
                  </w:r>
                </w:p>
              </w:tc>
              <w:tc>
                <w:tcPr>
                  <w:tcW w:w="1194" w:type="pct"/>
                  <w:tcBorders>
                    <w:top w:val="single" w:color="auto" w:sz="12" w:space="0"/>
                  </w:tcBorders>
                  <w:vAlign w:val="center"/>
                </w:tcPr>
                <w:p>
                  <w:pPr>
                    <w:pStyle w:val="110"/>
                    <w:rPr>
                      <w:rFonts w:cs="Times New Roman"/>
                    </w:rPr>
                  </w:pPr>
                  <w:r>
                    <w:rPr>
                      <w:rFonts w:hint="eastAsia" w:cs="Times New Roman"/>
                    </w:rPr>
                    <w:t>一级</w:t>
                  </w:r>
                  <w:r>
                    <w:rPr>
                      <w:rFonts w:cs="Times New Roman"/>
                    </w:rPr>
                    <w:t>活性炭</w:t>
                  </w:r>
                  <w:r>
                    <w:rPr>
                      <w:rFonts w:hint="eastAsia" w:cs="Times New Roman"/>
                    </w:rPr>
                    <w:t>+低温等离子体设备</w:t>
                  </w:r>
                </w:p>
              </w:tc>
              <w:tc>
                <w:tcPr>
                  <w:tcW w:w="1245" w:type="pct"/>
                  <w:tcBorders>
                    <w:top w:val="single" w:color="auto" w:sz="12" w:space="0"/>
                  </w:tcBorders>
                  <w:vAlign w:val="center"/>
                </w:tcPr>
                <w:p>
                  <w:pPr>
                    <w:pStyle w:val="110"/>
                    <w:rPr>
                      <w:rFonts w:cs="Times New Roman"/>
                    </w:rPr>
                  </w:pPr>
                  <w:r>
                    <w:rPr>
                      <w:rFonts w:cs="Times New Roman"/>
                    </w:rPr>
                    <w:t>1#，15m</w:t>
                  </w:r>
                </w:p>
              </w:tc>
            </w:tr>
          </w:tbl>
          <w:p>
            <w:pPr>
              <w:spacing w:line="240" w:lineRule="auto"/>
              <w:jc w:val="center"/>
              <w:rPr>
                <w:rFonts w:hint="eastAsia"/>
                <w:b/>
                <w:bCs/>
                <w:sz w:val="21"/>
                <w:szCs w:val="21"/>
                <w:lang w:val="en-US" w:eastAsia="zh-CN"/>
              </w:rPr>
            </w:pPr>
            <w:r>
              <w:rPr>
                <w:rFonts w:hint="eastAsia"/>
                <w:b/>
                <w:bCs/>
                <w:sz w:val="21"/>
                <w:szCs w:val="21"/>
                <w:lang w:val="en-US" w:eastAsia="zh-CN"/>
              </w:rPr>
              <w:t>表1-13废气检测结果</w:t>
            </w:r>
          </w:p>
          <w:tbl>
            <w:tblPr>
              <w:tblStyle w:val="26"/>
              <w:tblW w:w="942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78"/>
              <w:gridCol w:w="743"/>
              <w:gridCol w:w="749"/>
              <w:gridCol w:w="826"/>
              <w:gridCol w:w="1132"/>
              <w:gridCol w:w="1026"/>
              <w:gridCol w:w="1058"/>
              <w:gridCol w:w="1026"/>
              <w:gridCol w:w="1026"/>
              <w:gridCol w:w="6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25" w:type="pct"/>
                  <w:vMerge w:val="restart"/>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排气筒</w:t>
                  </w:r>
                </w:p>
                <w:p>
                  <w:pPr>
                    <w:pStyle w:val="110"/>
                    <w:rPr>
                      <w:rFonts w:hint="default" w:ascii="Times New Roman" w:hAnsi="Times New Roman" w:eastAsia="宋体" w:cs="Times New Roman"/>
                      <w:b/>
                      <w:bCs/>
                    </w:rPr>
                  </w:pPr>
                  <w:r>
                    <w:rPr>
                      <w:rFonts w:hint="default" w:ascii="Times New Roman" w:hAnsi="Times New Roman" w:eastAsia="宋体" w:cs="Times New Roman"/>
                      <w:b/>
                      <w:bCs/>
                    </w:rPr>
                    <w:t>名称</w:t>
                  </w:r>
                </w:p>
              </w:tc>
              <w:tc>
                <w:tcPr>
                  <w:tcW w:w="791" w:type="pct"/>
                  <w:gridSpan w:val="2"/>
                  <w:vMerge w:val="restart"/>
                  <w:vAlign w:val="center"/>
                </w:tcPr>
                <w:p>
                  <w:pPr>
                    <w:pStyle w:val="110"/>
                    <w:rPr>
                      <w:rFonts w:hint="default" w:ascii="Times New Roman" w:hAnsi="Times New Roman" w:eastAsia="宋体" w:cs="Times New Roman"/>
                      <w:b/>
                      <w:bCs/>
                      <w:highlight w:val="yellow"/>
                    </w:rPr>
                  </w:pPr>
                  <w:r>
                    <w:rPr>
                      <w:rFonts w:hint="default" w:ascii="Times New Roman" w:hAnsi="Times New Roman" w:eastAsia="宋体" w:cs="Times New Roman"/>
                      <w:b/>
                      <w:bCs/>
                    </w:rPr>
                    <w:t>检测项目</w:t>
                  </w:r>
                </w:p>
              </w:tc>
              <w:tc>
                <w:tcPr>
                  <w:tcW w:w="438" w:type="pct"/>
                  <w:vMerge w:val="restart"/>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单位</w:t>
                  </w:r>
                </w:p>
              </w:tc>
              <w:tc>
                <w:tcPr>
                  <w:tcW w:w="600" w:type="pct"/>
                  <w:vMerge w:val="restart"/>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最高允许排放浓度/限值</w:t>
                  </w:r>
                </w:p>
              </w:tc>
              <w:tc>
                <w:tcPr>
                  <w:tcW w:w="2193" w:type="pct"/>
                  <w:gridSpan w:val="4"/>
                  <w:vAlign w:val="center"/>
                </w:tcPr>
                <w:p>
                  <w:pPr>
                    <w:pStyle w:val="110"/>
                    <w:rPr>
                      <w:rFonts w:hint="default" w:ascii="Times New Roman" w:hAnsi="Times New Roman" w:eastAsia="宋体" w:cs="Times New Roman"/>
                      <w:b/>
                      <w:bCs/>
                      <w:highlight w:val="yellow"/>
                    </w:rPr>
                  </w:pPr>
                  <w:r>
                    <w:rPr>
                      <w:rFonts w:hint="default" w:ascii="Times New Roman" w:hAnsi="Times New Roman" w:eastAsia="宋体" w:cs="Times New Roman"/>
                      <w:b/>
                      <w:bCs/>
                    </w:rPr>
                    <w:t>检测结果</w:t>
                  </w:r>
                </w:p>
              </w:tc>
              <w:tc>
                <w:tcPr>
                  <w:tcW w:w="350" w:type="pct"/>
                  <w:vMerge w:val="restart"/>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评价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625" w:type="pct"/>
                  <w:vMerge w:val="continue"/>
                  <w:tcBorders>
                    <w:bottom w:val="single" w:color="auto" w:sz="12" w:space="0"/>
                  </w:tcBorders>
                  <w:vAlign w:val="center"/>
                </w:tcPr>
                <w:p>
                  <w:pPr>
                    <w:pStyle w:val="110"/>
                    <w:rPr>
                      <w:rFonts w:hint="default" w:ascii="Times New Roman" w:hAnsi="Times New Roman" w:eastAsia="宋体" w:cs="Times New Roman"/>
                      <w:b/>
                      <w:bCs/>
                    </w:rPr>
                  </w:pPr>
                </w:p>
              </w:tc>
              <w:tc>
                <w:tcPr>
                  <w:tcW w:w="791" w:type="pct"/>
                  <w:gridSpan w:val="2"/>
                  <w:vMerge w:val="continue"/>
                  <w:tcBorders>
                    <w:bottom w:val="single" w:color="auto" w:sz="12" w:space="0"/>
                  </w:tcBorders>
                  <w:vAlign w:val="center"/>
                </w:tcPr>
                <w:p>
                  <w:pPr>
                    <w:pStyle w:val="110"/>
                    <w:rPr>
                      <w:rFonts w:hint="default" w:ascii="Times New Roman" w:hAnsi="Times New Roman" w:eastAsia="宋体" w:cs="Times New Roman"/>
                      <w:b/>
                      <w:bCs/>
                      <w:highlight w:val="yellow"/>
                    </w:rPr>
                  </w:pPr>
                </w:p>
              </w:tc>
              <w:tc>
                <w:tcPr>
                  <w:tcW w:w="438" w:type="pct"/>
                  <w:vMerge w:val="continue"/>
                  <w:tcBorders>
                    <w:bottom w:val="single" w:color="auto" w:sz="12" w:space="0"/>
                  </w:tcBorders>
                  <w:vAlign w:val="center"/>
                </w:tcPr>
                <w:p>
                  <w:pPr>
                    <w:pStyle w:val="110"/>
                    <w:rPr>
                      <w:rFonts w:hint="default" w:ascii="Times New Roman" w:hAnsi="Times New Roman" w:eastAsia="宋体" w:cs="Times New Roman"/>
                      <w:b/>
                      <w:bCs/>
                    </w:rPr>
                  </w:pPr>
                </w:p>
              </w:tc>
              <w:tc>
                <w:tcPr>
                  <w:tcW w:w="600" w:type="pct"/>
                  <w:vMerge w:val="continue"/>
                  <w:tcBorders>
                    <w:bottom w:val="single" w:color="auto" w:sz="12" w:space="0"/>
                  </w:tcBorders>
                  <w:vAlign w:val="center"/>
                </w:tcPr>
                <w:p>
                  <w:pPr>
                    <w:pStyle w:val="110"/>
                    <w:rPr>
                      <w:rFonts w:hint="default" w:ascii="Times New Roman" w:hAnsi="Times New Roman" w:eastAsia="宋体" w:cs="Times New Roman"/>
                      <w:b/>
                      <w:bCs/>
                    </w:rPr>
                  </w:pPr>
                </w:p>
              </w:tc>
              <w:tc>
                <w:tcPr>
                  <w:tcW w:w="544" w:type="pct"/>
                  <w:tcBorders>
                    <w:bottom w:val="single" w:color="auto" w:sz="12" w:space="0"/>
                  </w:tcBorders>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1</w:t>
                  </w:r>
                </w:p>
              </w:tc>
              <w:tc>
                <w:tcPr>
                  <w:tcW w:w="561" w:type="pct"/>
                  <w:tcBorders>
                    <w:bottom w:val="single" w:color="auto" w:sz="12" w:space="0"/>
                  </w:tcBorders>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2</w:t>
                  </w:r>
                </w:p>
              </w:tc>
              <w:tc>
                <w:tcPr>
                  <w:tcW w:w="544" w:type="pct"/>
                  <w:tcBorders>
                    <w:bottom w:val="single" w:color="auto" w:sz="12" w:space="0"/>
                  </w:tcBorders>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3</w:t>
                  </w:r>
                </w:p>
              </w:tc>
              <w:tc>
                <w:tcPr>
                  <w:tcW w:w="544" w:type="pct"/>
                  <w:tcBorders>
                    <w:bottom w:val="single" w:color="auto" w:sz="12" w:space="0"/>
                  </w:tcBorders>
                  <w:vAlign w:val="center"/>
                </w:tcPr>
                <w:p>
                  <w:pPr>
                    <w:pStyle w:val="110"/>
                    <w:rPr>
                      <w:rFonts w:hint="default" w:ascii="Times New Roman" w:hAnsi="Times New Roman" w:eastAsia="宋体" w:cs="Times New Roman"/>
                      <w:b/>
                      <w:bCs/>
                    </w:rPr>
                  </w:pPr>
                  <w:r>
                    <w:rPr>
                      <w:rFonts w:hint="default" w:ascii="Times New Roman" w:hAnsi="Times New Roman" w:eastAsia="宋体" w:cs="Times New Roman"/>
                      <w:b/>
                      <w:bCs/>
                    </w:rPr>
                    <w:t>4</w:t>
                  </w:r>
                </w:p>
              </w:tc>
              <w:tc>
                <w:tcPr>
                  <w:tcW w:w="350" w:type="pct"/>
                  <w:vMerge w:val="continue"/>
                  <w:tcBorders>
                    <w:bottom w:val="single" w:color="auto" w:sz="12" w:space="0"/>
                  </w:tcBorders>
                  <w:vAlign w:val="center"/>
                </w:tcPr>
                <w:p>
                  <w:pPr>
                    <w:pStyle w:val="110"/>
                    <w:rPr>
                      <w:rFonts w:hint="default" w:ascii="Times New Roman" w:hAnsi="Times New Roman" w:eastAsia="宋体" w:cs="Times New Roman"/>
                      <w:b/>
                      <w:bCs/>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restar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排气筒出口（2019.</w:t>
                  </w:r>
                </w:p>
                <w:p>
                  <w:pPr>
                    <w:pStyle w:val="110"/>
                    <w:rPr>
                      <w:rFonts w:hint="default" w:ascii="Times New Roman" w:hAnsi="Times New Roman" w:eastAsia="宋体" w:cs="Times New Roman"/>
                    </w:rPr>
                  </w:pPr>
                  <w:r>
                    <w:rPr>
                      <w:rFonts w:hint="default" w:ascii="Times New Roman" w:hAnsi="Times New Roman" w:eastAsia="宋体" w:cs="Times New Roman"/>
                    </w:rPr>
                    <w:t>7.01）</w:t>
                  </w:r>
                </w:p>
              </w:tc>
              <w:tc>
                <w:tcPr>
                  <w:tcW w:w="394" w:type="pct"/>
                  <w:vMerge w:val="restar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非甲烷总烃</w:t>
                  </w:r>
                </w:p>
              </w:tc>
              <w:tc>
                <w:tcPr>
                  <w:tcW w:w="397" w:type="pc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排放浓度</w:t>
                  </w:r>
                </w:p>
              </w:tc>
              <w:tc>
                <w:tcPr>
                  <w:tcW w:w="438" w:type="pc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mg/m</w:t>
                  </w:r>
                  <w:r>
                    <w:rPr>
                      <w:rFonts w:hint="default" w:ascii="Times New Roman" w:hAnsi="Times New Roman" w:eastAsia="宋体" w:cs="Times New Roman"/>
                      <w:vertAlign w:val="superscript"/>
                    </w:rPr>
                    <w:t>3</w:t>
                  </w:r>
                </w:p>
              </w:tc>
              <w:tc>
                <w:tcPr>
                  <w:tcW w:w="600" w:type="pc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≤50</w:t>
                  </w:r>
                </w:p>
              </w:tc>
              <w:tc>
                <w:tcPr>
                  <w:tcW w:w="544" w:type="pct"/>
                  <w:tcBorders>
                    <w:top w:val="single" w:color="auto" w:sz="12" w:space="0"/>
                  </w:tcBorders>
                  <w:vAlign w:val="center"/>
                </w:tcPr>
                <w:p>
                  <w:pPr>
                    <w:pStyle w:val="110"/>
                    <w:rPr>
                      <w:rFonts w:hint="default" w:ascii="Times New Roman" w:hAnsi="Times New Roman" w:eastAsia="宋体" w:cs="Times New Roman"/>
                      <w:spacing w:val="10"/>
                      <w:kern w:val="2"/>
                    </w:rPr>
                  </w:pPr>
                  <w:r>
                    <w:rPr>
                      <w:rFonts w:hint="default" w:ascii="Times New Roman" w:hAnsi="Times New Roman" w:eastAsia="宋体" w:cs="Times New Roman"/>
                    </w:rPr>
                    <w:t>8.62</w:t>
                  </w:r>
                </w:p>
              </w:tc>
              <w:tc>
                <w:tcPr>
                  <w:tcW w:w="561" w:type="pct"/>
                  <w:tcBorders>
                    <w:top w:val="single" w:color="auto" w:sz="12" w:space="0"/>
                  </w:tcBorders>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rPr>
                    <w:t>15.2</w:t>
                  </w:r>
                </w:p>
              </w:tc>
              <w:tc>
                <w:tcPr>
                  <w:tcW w:w="544" w:type="pct"/>
                  <w:tcBorders>
                    <w:top w:val="single" w:color="auto" w:sz="12" w:space="0"/>
                  </w:tcBorders>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rPr>
                    <w:t>7.37</w:t>
                  </w:r>
                </w:p>
              </w:tc>
              <w:tc>
                <w:tcPr>
                  <w:tcW w:w="544" w:type="pct"/>
                  <w:tcBorders>
                    <w:top w:val="single" w:color="auto" w:sz="12" w:space="0"/>
                  </w:tcBorders>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rPr>
                    <w:t>11.3</w:t>
                  </w:r>
                </w:p>
              </w:tc>
              <w:tc>
                <w:tcPr>
                  <w:tcW w:w="350" w:type="pct"/>
                  <w:tcBorders>
                    <w:top w:val="single" w:color="auto" w:sz="12" w:space="0"/>
                  </w:tcBorders>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pStyle w:val="110"/>
                    <w:rPr>
                      <w:rFonts w:hint="default" w:ascii="Times New Roman" w:hAnsi="Times New Roman" w:eastAsia="宋体" w:cs="Times New Roman"/>
                    </w:rPr>
                  </w:pPr>
                </w:p>
              </w:tc>
              <w:tc>
                <w:tcPr>
                  <w:tcW w:w="394" w:type="pct"/>
                  <w:vMerge w:val="continue"/>
                  <w:vAlign w:val="center"/>
                </w:tcPr>
                <w:p>
                  <w:pPr>
                    <w:pStyle w:val="110"/>
                    <w:rPr>
                      <w:rFonts w:hint="default" w:ascii="Times New Roman" w:hAnsi="Times New Roman" w:eastAsia="宋体" w:cs="Times New Roman"/>
                    </w:rPr>
                  </w:pPr>
                </w:p>
              </w:tc>
              <w:tc>
                <w:tcPr>
                  <w:tcW w:w="397"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排放速率</w:t>
                  </w:r>
                </w:p>
              </w:tc>
              <w:tc>
                <w:tcPr>
                  <w:tcW w:w="438"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kg/h</w:t>
                  </w:r>
                </w:p>
              </w:tc>
              <w:tc>
                <w:tcPr>
                  <w:tcW w:w="600"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≤10</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lang w:bidi="ar"/>
                    </w:rPr>
                    <w:t>5.92</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561"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lang w:bidi="ar"/>
                    </w:rPr>
                    <w:t>0.108</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lang w:bidi="ar"/>
                    </w:rPr>
                    <w:t>5.21</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rPr>
                    <w:t>7.96×10</w:t>
                  </w:r>
                  <w:r>
                    <w:rPr>
                      <w:rFonts w:hint="default" w:ascii="Times New Roman" w:hAnsi="Times New Roman" w:eastAsia="宋体" w:cs="Times New Roman"/>
                      <w:vertAlign w:val="superscript"/>
                    </w:rPr>
                    <w:t>-2</w:t>
                  </w:r>
                </w:p>
              </w:tc>
              <w:tc>
                <w:tcPr>
                  <w:tcW w:w="350"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restar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排气筒出口（2019.</w:t>
                  </w:r>
                </w:p>
                <w:p>
                  <w:pPr>
                    <w:pStyle w:val="110"/>
                    <w:rPr>
                      <w:rFonts w:hint="default" w:ascii="Times New Roman" w:hAnsi="Times New Roman" w:eastAsia="宋体" w:cs="Times New Roman"/>
                    </w:rPr>
                  </w:pPr>
                  <w:r>
                    <w:rPr>
                      <w:rFonts w:hint="default" w:ascii="Times New Roman" w:hAnsi="Times New Roman" w:eastAsia="宋体" w:cs="Times New Roman"/>
                    </w:rPr>
                    <w:t>7.02）</w:t>
                  </w:r>
                </w:p>
              </w:tc>
              <w:tc>
                <w:tcPr>
                  <w:tcW w:w="394" w:type="pct"/>
                  <w:vMerge w:val="restar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非甲烷总烃</w:t>
                  </w:r>
                </w:p>
              </w:tc>
              <w:tc>
                <w:tcPr>
                  <w:tcW w:w="397"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排放浓度</w:t>
                  </w:r>
                </w:p>
              </w:tc>
              <w:tc>
                <w:tcPr>
                  <w:tcW w:w="438"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mg/m</w:t>
                  </w:r>
                  <w:r>
                    <w:rPr>
                      <w:rFonts w:hint="default" w:ascii="Times New Roman" w:hAnsi="Times New Roman" w:eastAsia="宋体" w:cs="Times New Roman"/>
                      <w:vertAlign w:val="superscript"/>
                    </w:rPr>
                    <w:t>3</w:t>
                  </w:r>
                </w:p>
              </w:tc>
              <w:tc>
                <w:tcPr>
                  <w:tcW w:w="600"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≤50</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spacing w:val="10"/>
                    </w:rPr>
                    <w:t>6.18</w:t>
                  </w:r>
                </w:p>
              </w:tc>
              <w:tc>
                <w:tcPr>
                  <w:tcW w:w="561"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spacing w:val="10"/>
                    </w:rPr>
                    <w:t>8.12</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spacing w:val="10"/>
                    </w:rPr>
                    <w:t>6.56</w:t>
                  </w:r>
                </w:p>
              </w:tc>
              <w:tc>
                <w:tcPr>
                  <w:tcW w:w="544"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spacing w:val="10"/>
                    </w:rPr>
                    <w:t>7.55</w:t>
                  </w:r>
                </w:p>
              </w:tc>
              <w:tc>
                <w:tcPr>
                  <w:tcW w:w="350" w:type="pct"/>
                  <w:vAlign w:val="center"/>
                </w:tcPr>
                <w:p>
                  <w:pPr>
                    <w:pStyle w:val="110"/>
                    <w:rPr>
                      <w:rFonts w:hint="default" w:ascii="Times New Roman" w:hAnsi="Times New Roman" w:eastAsia="宋体" w:cs="Times New Roman"/>
                      <w:spacing w:val="10"/>
                    </w:rPr>
                  </w:pPr>
                  <w:r>
                    <w:rPr>
                      <w:rFonts w:hint="default" w:ascii="Times New Roman" w:hAnsi="Times New Roman" w:eastAsia="宋体" w:cs="Times New Roman"/>
                      <w:spacing w:val="10"/>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pStyle w:val="110"/>
                    <w:rPr>
                      <w:rFonts w:hint="default" w:ascii="Times New Roman" w:hAnsi="Times New Roman" w:eastAsia="宋体" w:cs="Times New Roman"/>
                      <w:highlight w:val="yellow"/>
                    </w:rPr>
                  </w:pPr>
                </w:p>
              </w:tc>
              <w:tc>
                <w:tcPr>
                  <w:tcW w:w="394" w:type="pct"/>
                  <w:vMerge w:val="continue"/>
                  <w:vAlign w:val="center"/>
                </w:tcPr>
                <w:p>
                  <w:pPr>
                    <w:pStyle w:val="110"/>
                    <w:rPr>
                      <w:rFonts w:hint="default" w:ascii="Times New Roman" w:hAnsi="Times New Roman" w:eastAsia="宋体" w:cs="Times New Roman"/>
                    </w:rPr>
                  </w:pPr>
                </w:p>
              </w:tc>
              <w:tc>
                <w:tcPr>
                  <w:tcW w:w="397"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排放速率</w:t>
                  </w:r>
                </w:p>
              </w:tc>
              <w:tc>
                <w:tcPr>
                  <w:tcW w:w="438"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kg/h</w:t>
                  </w:r>
                </w:p>
              </w:tc>
              <w:tc>
                <w:tcPr>
                  <w:tcW w:w="600"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≤10</w:t>
                  </w:r>
                </w:p>
              </w:tc>
              <w:tc>
                <w:tcPr>
                  <w:tcW w:w="544" w:type="pct"/>
                  <w:vAlign w:val="center"/>
                </w:tcPr>
                <w:p>
                  <w:pPr>
                    <w:pStyle w:val="110"/>
                    <w:rPr>
                      <w:rFonts w:hint="default" w:ascii="Times New Roman" w:hAnsi="Times New Roman" w:eastAsia="宋体" w:cs="Times New Roman"/>
                      <w:bCs/>
                    </w:rPr>
                  </w:pPr>
                  <w:r>
                    <w:rPr>
                      <w:rFonts w:hint="default" w:ascii="Times New Roman" w:hAnsi="Times New Roman" w:eastAsia="宋体" w:cs="Times New Roman"/>
                      <w:lang w:bidi="ar"/>
                    </w:rPr>
                    <w:t>4.35</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561" w:type="pct"/>
                  <w:vAlign w:val="center"/>
                </w:tcPr>
                <w:p>
                  <w:pPr>
                    <w:pStyle w:val="110"/>
                    <w:rPr>
                      <w:rFonts w:hint="default" w:ascii="Times New Roman" w:hAnsi="Times New Roman" w:eastAsia="宋体" w:cs="Times New Roman"/>
                      <w:bCs/>
                    </w:rPr>
                  </w:pPr>
                  <w:r>
                    <w:rPr>
                      <w:rFonts w:hint="default" w:ascii="Times New Roman" w:hAnsi="Times New Roman" w:eastAsia="宋体" w:cs="Times New Roman"/>
                      <w:lang w:bidi="ar"/>
                    </w:rPr>
                    <w:t>5.62</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544" w:type="pct"/>
                  <w:vAlign w:val="center"/>
                </w:tcPr>
                <w:p>
                  <w:pPr>
                    <w:pStyle w:val="110"/>
                    <w:rPr>
                      <w:rFonts w:hint="default" w:ascii="Times New Roman" w:hAnsi="Times New Roman" w:eastAsia="宋体" w:cs="Times New Roman"/>
                      <w:bCs/>
                    </w:rPr>
                  </w:pPr>
                  <w:r>
                    <w:rPr>
                      <w:rFonts w:hint="default" w:ascii="Times New Roman" w:hAnsi="Times New Roman" w:eastAsia="宋体" w:cs="Times New Roman"/>
                      <w:lang w:bidi="ar"/>
                    </w:rPr>
                    <w:t>4.65</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544" w:type="pct"/>
                  <w:vAlign w:val="center"/>
                </w:tcPr>
                <w:p>
                  <w:pPr>
                    <w:pStyle w:val="110"/>
                    <w:rPr>
                      <w:rFonts w:hint="default" w:ascii="Times New Roman" w:hAnsi="Times New Roman" w:eastAsia="宋体" w:cs="Times New Roman"/>
                      <w:bCs/>
                    </w:rPr>
                  </w:pPr>
                  <w:r>
                    <w:rPr>
                      <w:rFonts w:hint="default" w:ascii="Times New Roman" w:hAnsi="Times New Roman" w:eastAsia="宋体" w:cs="Times New Roman"/>
                      <w:bCs/>
                    </w:rPr>
                    <w:t>5.22</w:t>
                  </w:r>
                  <w:r>
                    <w:rPr>
                      <w:rFonts w:hint="default" w:ascii="Times New Roman" w:hAnsi="Times New Roman" w:eastAsia="宋体" w:cs="Times New Roman"/>
                    </w:rPr>
                    <w:t>×10</w:t>
                  </w:r>
                  <w:r>
                    <w:rPr>
                      <w:rFonts w:hint="default" w:ascii="Times New Roman" w:hAnsi="Times New Roman" w:eastAsia="宋体" w:cs="Times New Roman"/>
                      <w:vertAlign w:val="superscript"/>
                    </w:rPr>
                    <w:t>-2</w:t>
                  </w:r>
                </w:p>
              </w:tc>
              <w:tc>
                <w:tcPr>
                  <w:tcW w:w="350" w:type="pct"/>
                  <w:vAlign w:val="center"/>
                </w:tcPr>
                <w:p>
                  <w:pPr>
                    <w:pStyle w:val="110"/>
                    <w:rPr>
                      <w:rFonts w:hint="default" w:ascii="Times New Roman" w:hAnsi="Times New Roman" w:eastAsia="宋体" w:cs="Times New Roman"/>
                      <w:bCs/>
                    </w:rPr>
                  </w:pPr>
                  <w:r>
                    <w:rPr>
                      <w:rFonts w:hint="default" w:ascii="Times New Roman" w:hAnsi="Times New Roman" w:eastAsia="宋体" w:cs="Times New Roman"/>
                      <w:bCs/>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625" w:type="pct"/>
                  <w:vAlign w:val="center"/>
                </w:tcPr>
                <w:p>
                  <w:pPr>
                    <w:pStyle w:val="110"/>
                    <w:rPr>
                      <w:rFonts w:hint="default" w:ascii="Times New Roman" w:hAnsi="Times New Roman" w:eastAsia="宋体" w:cs="Times New Roman"/>
                    </w:rPr>
                  </w:pPr>
                  <w:r>
                    <w:rPr>
                      <w:rFonts w:hint="default" w:ascii="Times New Roman" w:hAnsi="Times New Roman" w:eastAsia="宋体" w:cs="Times New Roman"/>
                    </w:rPr>
                    <w:t>备注</w:t>
                  </w:r>
                </w:p>
              </w:tc>
              <w:tc>
                <w:tcPr>
                  <w:tcW w:w="4374" w:type="pct"/>
                  <w:gridSpan w:val="9"/>
                  <w:vAlign w:val="center"/>
                </w:tcPr>
                <w:p>
                  <w:pPr>
                    <w:pStyle w:val="110"/>
                    <w:jc w:val="left"/>
                    <w:rPr>
                      <w:rFonts w:hint="default" w:ascii="Times New Roman" w:hAnsi="Times New Roman" w:eastAsia="宋体" w:cs="Times New Roman"/>
                    </w:rPr>
                  </w:pPr>
                  <w:r>
                    <w:rPr>
                      <w:rFonts w:hint="default" w:ascii="Times New Roman" w:hAnsi="Times New Roman" w:eastAsia="宋体" w:cs="Times New Roman"/>
                    </w:rPr>
                    <w:t>1.废气进口不具备采样条件；</w:t>
                  </w:r>
                </w:p>
                <w:p>
                  <w:pPr>
                    <w:pStyle w:val="110"/>
                    <w:jc w:val="left"/>
                    <w:rPr>
                      <w:rFonts w:hint="default" w:ascii="Times New Roman" w:hAnsi="Times New Roman" w:eastAsia="宋体" w:cs="Times New Roman"/>
                    </w:rPr>
                  </w:pPr>
                  <w:r>
                    <w:rPr>
                      <w:rFonts w:hint="default" w:ascii="Times New Roman" w:hAnsi="Times New Roman" w:eastAsia="宋体" w:cs="Times New Roman"/>
                    </w:rPr>
                    <w:t>2.依据环评排放速率参照</w:t>
                  </w:r>
                  <w:r>
                    <w:rPr>
                      <w:rFonts w:hint="default" w:ascii="Times New Roman" w:hAnsi="Times New Roman" w:eastAsia="宋体" w:cs="Times New Roman"/>
                      <w:bCs/>
                    </w:rPr>
                    <w:t>《大气污染物综合排放标准》(GB16297-1996)表2中的二级标准；排放浓度执行《合成树脂工业污染物排放标准》（GB31572-2015）表5标准及环评标准。</w:t>
                  </w:r>
                </w:p>
              </w:tc>
            </w:tr>
          </w:tbl>
          <w:tbl>
            <w:tblPr>
              <w:tblStyle w:val="27"/>
              <w:tblW w:w="9423"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55"/>
              <w:gridCol w:w="776"/>
              <w:gridCol w:w="1613"/>
              <w:gridCol w:w="980"/>
              <w:gridCol w:w="839"/>
              <w:gridCol w:w="839"/>
              <w:gridCol w:w="839"/>
              <w:gridCol w:w="888"/>
              <w:gridCol w:w="6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restart"/>
                  <w:tcBorders>
                    <w:top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检测项目</w:t>
                  </w:r>
                </w:p>
              </w:tc>
              <w:tc>
                <w:tcPr>
                  <w:tcW w:w="613" w:type="pct"/>
                  <w:vMerge w:val="restart"/>
                  <w:tcBorders>
                    <w:top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检测日期</w:t>
                  </w:r>
                </w:p>
              </w:tc>
              <w:tc>
                <w:tcPr>
                  <w:tcW w:w="412" w:type="pct"/>
                  <w:vMerge w:val="restart"/>
                  <w:tcBorders>
                    <w:top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采样位置</w:t>
                  </w:r>
                </w:p>
              </w:tc>
              <w:tc>
                <w:tcPr>
                  <w:tcW w:w="1376" w:type="pct"/>
                  <w:gridSpan w:val="2"/>
                  <w:tcBorders>
                    <w:top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无组织排放监控浓度限值</w:t>
                  </w:r>
                </w:p>
              </w:tc>
              <w:tc>
                <w:tcPr>
                  <w:tcW w:w="1806" w:type="pct"/>
                  <w:gridSpan w:val="4"/>
                  <w:tcBorders>
                    <w:top w:val="single" w:color="auto" w:sz="12" w:space="0"/>
                  </w:tcBorders>
                  <w:vAlign w:val="center"/>
                </w:tcPr>
                <w:p>
                  <w:pPr>
                    <w:spacing w:line="240" w:lineRule="auto"/>
                    <w:jc w:val="center"/>
                    <w:rPr>
                      <w:rFonts w:hint="default"/>
                      <w:sz w:val="21"/>
                      <w:szCs w:val="21"/>
                      <w:vertAlign w:val="baseline"/>
                      <w:lang w:val="en-US" w:eastAsia="zh-CN"/>
                    </w:rPr>
                  </w:pPr>
                  <w:r>
                    <w:rPr>
                      <w:rFonts w:cs="Times New Roman"/>
                      <w:b/>
                      <w:bCs/>
                      <w:sz w:val="21"/>
                      <w:szCs w:val="21"/>
                    </w:rPr>
                    <w:t>检测浓度（mg/m</w:t>
                  </w:r>
                  <w:r>
                    <w:rPr>
                      <w:rFonts w:cs="Times New Roman"/>
                      <w:b/>
                      <w:bCs/>
                      <w:sz w:val="21"/>
                      <w:szCs w:val="21"/>
                      <w:vertAlign w:val="superscript"/>
                    </w:rPr>
                    <w:t>3</w:t>
                  </w:r>
                  <w:r>
                    <w:rPr>
                      <w:rFonts w:cs="Times New Roman"/>
                      <w:b/>
                      <w:bCs/>
                      <w:sz w:val="21"/>
                      <w:szCs w:val="21"/>
                    </w:rPr>
                    <w:t>）</w:t>
                  </w:r>
                </w:p>
              </w:tc>
              <w:tc>
                <w:tcPr>
                  <w:tcW w:w="366" w:type="pct"/>
                  <w:vMerge w:val="restart"/>
                  <w:tcBorders>
                    <w:top w:val="single" w:color="auto" w:sz="12" w:space="0"/>
                    <w:bottom w:val="single" w:color="auto" w:sz="12" w:space="0"/>
                  </w:tcBorders>
                  <w:vAlign w:val="center"/>
                </w:tcPr>
                <w:p>
                  <w:pPr>
                    <w:spacing w:line="240" w:lineRule="auto"/>
                    <w:jc w:val="center"/>
                    <w:rPr>
                      <w:rFonts w:hint="default"/>
                      <w:sz w:val="21"/>
                      <w:szCs w:val="21"/>
                      <w:vertAlign w:val="baseline"/>
                      <w:lang w:val="en-US" w:eastAsia="zh-CN"/>
                    </w:rPr>
                  </w:pPr>
                  <w:r>
                    <w:rPr>
                      <w:rFonts w:cs="Times New Roman"/>
                      <w:b/>
                      <w:bCs/>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tcBorders>
                    <w:bottom w:val="single" w:color="auto" w:sz="12" w:space="0"/>
                  </w:tcBorders>
                  <w:vAlign w:val="center"/>
                </w:tcPr>
                <w:p>
                  <w:pPr>
                    <w:pStyle w:val="110"/>
                    <w:spacing w:line="240" w:lineRule="auto"/>
                    <w:ind w:firstLine="0" w:firstLineChars="0"/>
                    <w:jc w:val="center"/>
                    <w:rPr>
                      <w:rFonts w:cs="Times New Roman"/>
                      <w:b/>
                      <w:bCs/>
                      <w:sz w:val="21"/>
                      <w:szCs w:val="21"/>
                    </w:rPr>
                  </w:pPr>
                </w:p>
              </w:tc>
              <w:tc>
                <w:tcPr>
                  <w:tcW w:w="613" w:type="pct"/>
                  <w:vMerge w:val="continue"/>
                  <w:tcBorders>
                    <w:bottom w:val="single" w:color="auto" w:sz="12" w:space="0"/>
                  </w:tcBorders>
                  <w:vAlign w:val="center"/>
                </w:tcPr>
                <w:p>
                  <w:pPr>
                    <w:pStyle w:val="110"/>
                    <w:spacing w:line="240" w:lineRule="auto"/>
                    <w:ind w:firstLine="0" w:firstLineChars="0"/>
                    <w:jc w:val="center"/>
                    <w:rPr>
                      <w:rFonts w:cs="Times New Roman"/>
                      <w:b/>
                      <w:bCs/>
                      <w:sz w:val="21"/>
                      <w:szCs w:val="21"/>
                    </w:rPr>
                  </w:pPr>
                </w:p>
              </w:tc>
              <w:tc>
                <w:tcPr>
                  <w:tcW w:w="412" w:type="pct"/>
                  <w:vMerge w:val="continue"/>
                  <w:tcBorders>
                    <w:bottom w:val="single" w:color="auto" w:sz="12" w:space="0"/>
                  </w:tcBorders>
                  <w:vAlign w:val="center"/>
                </w:tcPr>
                <w:p>
                  <w:pPr>
                    <w:pStyle w:val="110"/>
                    <w:spacing w:line="240" w:lineRule="auto"/>
                    <w:ind w:firstLine="0" w:firstLineChars="0"/>
                    <w:jc w:val="center"/>
                    <w:rPr>
                      <w:rFonts w:cs="Times New Roman"/>
                      <w:b/>
                      <w:bCs/>
                      <w:sz w:val="21"/>
                      <w:szCs w:val="21"/>
                    </w:rPr>
                  </w:pPr>
                </w:p>
              </w:tc>
              <w:tc>
                <w:tcPr>
                  <w:tcW w:w="856" w:type="pct"/>
                  <w:tcBorders>
                    <w:bottom w:val="single" w:color="auto" w:sz="12" w:space="0"/>
                  </w:tcBorders>
                  <w:vAlign w:val="center"/>
                </w:tcPr>
                <w:p>
                  <w:pPr>
                    <w:pStyle w:val="110"/>
                    <w:spacing w:line="240" w:lineRule="auto"/>
                    <w:ind w:firstLine="0" w:firstLineChars="0"/>
                    <w:jc w:val="center"/>
                    <w:rPr>
                      <w:rFonts w:ascii="Times New Roman" w:hAnsi="Times New Roman" w:eastAsia="宋体" w:cs="Times New Roman"/>
                      <w:b/>
                      <w:bCs/>
                      <w:kern w:val="0"/>
                      <w:sz w:val="21"/>
                      <w:szCs w:val="21"/>
                      <w:lang w:val="en-US" w:eastAsia="zh-CN" w:bidi="ar-SA"/>
                    </w:rPr>
                  </w:pPr>
                  <w:r>
                    <w:rPr>
                      <w:rFonts w:cs="Times New Roman"/>
                      <w:b/>
                      <w:bCs/>
                      <w:sz w:val="21"/>
                      <w:szCs w:val="21"/>
                    </w:rPr>
                    <w:t>监控点</w:t>
                  </w:r>
                </w:p>
              </w:tc>
              <w:tc>
                <w:tcPr>
                  <w:tcW w:w="520" w:type="pct"/>
                  <w:tcBorders>
                    <w:bottom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浓度</w:t>
                  </w:r>
                </w:p>
              </w:tc>
              <w:tc>
                <w:tcPr>
                  <w:tcW w:w="445" w:type="pct"/>
                  <w:tcBorders>
                    <w:bottom w:val="single" w:color="auto" w:sz="12" w:space="0"/>
                  </w:tcBorders>
                  <w:vAlign w:val="center"/>
                </w:tcPr>
                <w:p>
                  <w:pPr>
                    <w:pStyle w:val="110"/>
                    <w:spacing w:line="240" w:lineRule="auto"/>
                    <w:ind w:firstLine="0" w:firstLineChars="0"/>
                    <w:jc w:val="center"/>
                    <w:rPr>
                      <w:rFonts w:ascii="Times New Roman" w:hAnsi="Times New Roman" w:eastAsia="宋体" w:cs="Times New Roman"/>
                      <w:b/>
                      <w:bCs/>
                      <w:kern w:val="0"/>
                      <w:sz w:val="21"/>
                      <w:szCs w:val="21"/>
                      <w:lang w:val="en-US" w:eastAsia="zh-CN" w:bidi="ar-SA"/>
                    </w:rPr>
                  </w:pPr>
                  <w:r>
                    <w:rPr>
                      <w:rFonts w:cs="Times New Roman"/>
                      <w:b/>
                      <w:bCs/>
                      <w:sz w:val="21"/>
                      <w:szCs w:val="21"/>
                    </w:rPr>
                    <w:t>1</w:t>
                  </w:r>
                </w:p>
              </w:tc>
              <w:tc>
                <w:tcPr>
                  <w:tcW w:w="445" w:type="pct"/>
                  <w:tcBorders>
                    <w:bottom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2</w:t>
                  </w:r>
                </w:p>
              </w:tc>
              <w:tc>
                <w:tcPr>
                  <w:tcW w:w="445" w:type="pct"/>
                  <w:tcBorders>
                    <w:bottom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3</w:t>
                  </w:r>
                </w:p>
              </w:tc>
              <w:tc>
                <w:tcPr>
                  <w:tcW w:w="469" w:type="pct"/>
                  <w:tcBorders>
                    <w:bottom w:val="single" w:color="auto" w:sz="12" w:space="0"/>
                  </w:tcBorders>
                  <w:vAlign w:val="center"/>
                </w:tcPr>
                <w:p>
                  <w:pPr>
                    <w:pStyle w:val="110"/>
                    <w:spacing w:line="240" w:lineRule="auto"/>
                    <w:ind w:firstLine="0" w:firstLineChars="0"/>
                    <w:jc w:val="center"/>
                    <w:rPr>
                      <w:rFonts w:hint="default" w:ascii="Times New Roman" w:hAnsi="Times New Roman" w:eastAsia="宋体" w:cs="Times New Roman"/>
                      <w:b/>
                      <w:bCs/>
                      <w:kern w:val="0"/>
                      <w:sz w:val="21"/>
                      <w:szCs w:val="21"/>
                      <w:lang w:val="en-US" w:eastAsia="zh-CN" w:bidi="ar-SA"/>
                    </w:rPr>
                  </w:pPr>
                  <w:r>
                    <w:rPr>
                      <w:rFonts w:cs="Times New Roman"/>
                      <w:b/>
                      <w:bCs/>
                      <w:sz w:val="21"/>
                      <w:szCs w:val="21"/>
                    </w:rPr>
                    <w:t>最大值</w:t>
                  </w:r>
                </w:p>
              </w:tc>
              <w:tc>
                <w:tcPr>
                  <w:tcW w:w="366" w:type="pct"/>
                  <w:vMerge w:val="continue"/>
                  <w:tcBorders>
                    <w:top w:val="single" w:color="auto" w:sz="12" w:space="0"/>
                    <w:bottom w:val="single" w:color="auto" w:sz="12" w:space="0"/>
                  </w:tcBorders>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restart"/>
                  <w:tcBorders>
                    <w:top w:val="single" w:color="auto" w:sz="12" w:space="0"/>
                  </w:tcBorders>
                  <w:vAlign w:val="center"/>
                </w:tcPr>
                <w:p>
                  <w:pPr>
                    <w:pStyle w:val="110"/>
                    <w:spacing w:line="240" w:lineRule="auto"/>
                    <w:ind w:firstLine="0" w:firstLineChars="0"/>
                    <w:jc w:val="center"/>
                    <w:rPr>
                      <w:rFonts w:hint="eastAsia" w:eastAsia="宋体" w:cs="Times New Roman"/>
                      <w:b/>
                      <w:bCs/>
                      <w:sz w:val="21"/>
                      <w:szCs w:val="21"/>
                      <w:lang w:val="en-US" w:eastAsia="zh-CN"/>
                    </w:rPr>
                  </w:pPr>
                  <w:r>
                    <w:rPr>
                      <w:rFonts w:hint="eastAsia" w:cs="Times New Roman"/>
                      <w:b/>
                      <w:bCs/>
                      <w:sz w:val="21"/>
                      <w:szCs w:val="21"/>
                      <w:lang w:val="en-US" w:eastAsia="zh-CN"/>
                    </w:rPr>
                    <w:t>非甲烷总烃</w:t>
                  </w:r>
                </w:p>
              </w:tc>
              <w:tc>
                <w:tcPr>
                  <w:tcW w:w="613" w:type="pct"/>
                  <w:vMerge w:val="restart"/>
                  <w:tcBorders>
                    <w:top w:val="single" w:color="auto" w:sz="12" w:space="0"/>
                  </w:tcBorders>
                  <w:vAlign w:val="center"/>
                </w:tcPr>
                <w:p>
                  <w:pPr>
                    <w:pStyle w:val="110"/>
                    <w:spacing w:line="240" w:lineRule="auto"/>
                    <w:ind w:firstLine="0" w:firstLineChars="0"/>
                    <w:jc w:val="center"/>
                    <w:rPr>
                      <w:rFonts w:cs="Times New Roman"/>
                      <w:b/>
                      <w:bCs/>
                      <w:sz w:val="21"/>
                      <w:szCs w:val="21"/>
                    </w:rPr>
                  </w:pPr>
                  <w:r>
                    <w:rPr>
                      <w:rFonts w:cs="Times New Roman"/>
                      <w:sz w:val="21"/>
                      <w:szCs w:val="21"/>
                    </w:rPr>
                    <w:t>2019.7.01</w:t>
                  </w:r>
                </w:p>
              </w:tc>
              <w:tc>
                <w:tcPr>
                  <w:tcW w:w="412"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w:t>
                  </w:r>
                </w:p>
              </w:tc>
              <w:tc>
                <w:tcPr>
                  <w:tcW w:w="856"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w:t>
                  </w:r>
                </w:p>
              </w:tc>
              <w:tc>
                <w:tcPr>
                  <w:tcW w:w="520"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w:t>
                  </w:r>
                </w:p>
              </w:tc>
              <w:tc>
                <w:tcPr>
                  <w:tcW w:w="445"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2"/>
                      <w:sz w:val="21"/>
                      <w:szCs w:val="21"/>
                      <w:lang w:val="en-US" w:eastAsia="zh-CN" w:bidi="ar-SA"/>
                    </w:rPr>
                  </w:pPr>
                  <w:r>
                    <w:rPr>
                      <w:rFonts w:cs="Times New Roman"/>
                      <w:sz w:val="21"/>
                      <w:szCs w:val="21"/>
                    </w:rPr>
                    <w:t>2.07</w:t>
                  </w:r>
                </w:p>
              </w:tc>
              <w:tc>
                <w:tcPr>
                  <w:tcW w:w="445"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2.48</w:t>
                  </w:r>
                </w:p>
              </w:tc>
              <w:tc>
                <w:tcPr>
                  <w:tcW w:w="445" w:type="pct"/>
                  <w:tcBorders>
                    <w:top w:val="single" w:color="auto" w:sz="12" w:space="0"/>
                  </w:tcBorders>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0.29</w:t>
                  </w:r>
                </w:p>
              </w:tc>
              <w:tc>
                <w:tcPr>
                  <w:tcW w:w="469" w:type="pct"/>
                  <w:vMerge w:val="restart"/>
                  <w:tcBorders>
                    <w:top w:val="single" w:color="auto" w:sz="12" w:space="0"/>
                  </w:tcBorders>
                  <w:vAlign w:val="center"/>
                </w:tcPr>
                <w:p>
                  <w:pPr>
                    <w:pStyle w:val="110"/>
                    <w:spacing w:line="240" w:lineRule="auto"/>
                    <w:ind w:firstLine="0" w:firstLineChars="0"/>
                    <w:jc w:val="center"/>
                    <w:rPr>
                      <w:rFonts w:cs="Times New Roman"/>
                      <w:b/>
                      <w:bCs/>
                      <w:sz w:val="21"/>
                      <w:szCs w:val="21"/>
                    </w:rPr>
                  </w:pPr>
                  <w:r>
                    <w:rPr>
                      <w:rFonts w:cs="Times New Roman"/>
                      <w:sz w:val="21"/>
                      <w:szCs w:val="21"/>
                    </w:rPr>
                    <w:t>3.13</w:t>
                  </w:r>
                </w:p>
              </w:tc>
              <w:tc>
                <w:tcPr>
                  <w:tcW w:w="366" w:type="pct"/>
                  <w:vMerge w:val="restart"/>
                  <w:tcBorders>
                    <w:top w:val="single" w:color="auto" w:sz="12" w:space="0"/>
                  </w:tcBorders>
                  <w:vAlign w:val="center"/>
                </w:tcPr>
                <w:p>
                  <w:pPr>
                    <w:pStyle w:val="110"/>
                    <w:spacing w:line="240" w:lineRule="auto"/>
                    <w:ind w:firstLine="0" w:firstLineChars="0"/>
                    <w:jc w:val="center"/>
                    <w:rPr>
                      <w:rFonts w:cs="Times New Roman"/>
                      <w:b/>
                      <w:bCs/>
                      <w:sz w:val="21"/>
                      <w:szCs w:val="21"/>
                    </w:rPr>
                  </w:pPr>
                  <w:r>
                    <w:rPr>
                      <w:rFonts w:cs="Times New Roman"/>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w:t>
                  </w:r>
                </w:p>
              </w:tc>
              <w:tc>
                <w:tcPr>
                  <w:tcW w:w="856"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周界外浓度最高点</w:t>
                  </w:r>
                </w:p>
              </w:tc>
              <w:tc>
                <w:tcPr>
                  <w:tcW w:w="520"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4.0</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1.08</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2.31</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2.90</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3#</w:t>
                  </w:r>
                </w:p>
              </w:tc>
              <w:tc>
                <w:tcPr>
                  <w:tcW w:w="856" w:type="pct"/>
                  <w:vMerge w:val="continue"/>
                  <w:vAlign w:val="center"/>
                </w:tcPr>
                <w:p>
                  <w:pPr>
                    <w:pStyle w:val="110"/>
                    <w:spacing w:line="240" w:lineRule="auto"/>
                    <w:ind w:firstLine="0" w:firstLineChars="0"/>
                    <w:jc w:val="center"/>
                    <w:rPr>
                      <w:rFonts w:cs="Times New Roman"/>
                      <w:b/>
                      <w:bCs/>
                      <w:sz w:val="21"/>
                      <w:szCs w:val="21"/>
                    </w:rPr>
                  </w:pPr>
                </w:p>
              </w:tc>
              <w:tc>
                <w:tcPr>
                  <w:tcW w:w="520" w:type="pct"/>
                  <w:vMerge w:val="continue"/>
                  <w:vAlign w:val="center"/>
                </w:tcPr>
                <w:p>
                  <w:pPr>
                    <w:pStyle w:val="110"/>
                    <w:spacing w:line="240" w:lineRule="auto"/>
                    <w:ind w:firstLine="0" w:firstLineChars="0"/>
                    <w:jc w:val="center"/>
                    <w:rPr>
                      <w:rFonts w:cs="Times New Roman"/>
                      <w:b/>
                      <w:bCs/>
                      <w:sz w:val="21"/>
                      <w:szCs w:val="21"/>
                    </w:rPr>
                  </w:pP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0.48</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1.58</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0.99</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4#</w:t>
                  </w:r>
                </w:p>
              </w:tc>
              <w:tc>
                <w:tcPr>
                  <w:tcW w:w="856" w:type="pct"/>
                  <w:vMerge w:val="continue"/>
                  <w:vAlign w:val="center"/>
                </w:tcPr>
                <w:p>
                  <w:pPr>
                    <w:pStyle w:val="110"/>
                    <w:spacing w:line="240" w:lineRule="auto"/>
                    <w:ind w:firstLine="0" w:firstLineChars="0"/>
                    <w:jc w:val="center"/>
                    <w:rPr>
                      <w:rFonts w:cs="Times New Roman"/>
                      <w:b/>
                      <w:bCs/>
                      <w:sz w:val="21"/>
                      <w:szCs w:val="21"/>
                    </w:rPr>
                  </w:pPr>
                </w:p>
              </w:tc>
              <w:tc>
                <w:tcPr>
                  <w:tcW w:w="520" w:type="pct"/>
                  <w:vMerge w:val="continue"/>
                  <w:vAlign w:val="center"/>
                </w:tcPr>
                <w:p>
                  <w:pPr>
                    <w:pStyle w:val="110"/>
                    <w:spacing w:line="240" w:lineRule="auto"/>
                    <w:ind w:firstLine="0" w:firstLineChars="0"/>
                    <w:jc w:val="center"/>
                    <w:rPr>
                      <w:rFonts w:cs="Times New Roman"/>
                      <w:b/>
                      <w:bCs/>
                      <w:sz w:val="21"/>
                      <w:szCs w:val="21"/>
                    </w:rPr>
                  </w:pP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0.39</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0.22</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3.13</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restart"/>
                  <w:vAlign w:val="center"/>
                </w:tcPr>
                <w:p>
                  <w:pPr>
                    <w:pStyle w:val="110"/>
                    <w:spacing w:line="240" w:lineRule="auto"/>
                    <w:ind w:firstLine="0" w:firstLineChars="0"/>
                    <w:jc w:val="center"/>
                    <w:rPr>
                      <w:rFonts w:cs="Times New Roman"/>
                      <w:b/>
                      <w:bCs/>
                      <w:sz w:val="21"/>
                      <w:szCs w:val="21"/>
                    </w:rPr>
                  </w:pPr>
                  <w:r>
                    <w:rPr>
                      <w:rFonts w:cs="Times New Roman"/>
                      <w:sz w:val="21"/>
                      <w:szCs w:val="21"/>
                    </w:rPr>
                    <w:t>2019.7.02</w:t>
                  </w: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w:t>
                  </w:r>
                </w:p>
              </w:tc>
              <w:tc>
                <w:tcPr>
                  <w:tcW w:w="856"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w:t>
                  </w:r>
                </w:p>
              </w:tc>
              <w:tc>
                <w:tcPr>
                  <w:tcW w:w="520"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0.96</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1.84</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3.54</w:t>
                  </w:r>
                </w:p>
              </w:tc>
              <w:tc>
                <w:tcPr>
                  <w:tcW w:w="469"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2.81</w:t>
                  </w:r>
                </w:p>
              </w:tc>
              <w:tc>
                <w:tcPr>
                  <w:tcW w:w="366"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w:t>
                  </w:r>
                </w:p>
              </w:tc>
              <w:tc>
                <w:tcPr>
                  <w:tcW w:w="856"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周界外浓度最高点</w:t>
                  </w:r>
                </w:p>
              </w:tc>
              <w:tc>
                <w:tcPr>
                  <w:tcW w:w="520" w:type="pct"/>
                  <w:vMerge w:val="restar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4.0</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0.64</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1.37</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1.37</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3#</w:t>
                  </w:r>
                </w:p>
              </w:tc>
              <w:tc>
                <w:tcPr>
                  <w:tcW w:w="856" w:type="pct"/>
                  <w:vMerge w:val="continue"/>
                  <w:vAlign w:val="center"/>
                </w:tcPr>
                <w:p>
                  <w:pPr>
                    <w:pStyle w:val="110"/>
                    <w:spacing w:line="240" w:lineRule="auto"/>
                    <w:ind w:firstLine="0" w:firstLineChars="0"/>
                    <w:jc w:val="center"/>
                    <w:rPr>
                      <w:rFonts w:cs="Times New Roman"/>
                      <w:b/>
                      <w:bCs/>
                      <w:sz w:val="21"/>
                      <w:szCs w:val="21"/>
                    </w:rPr>
                  </w:pPr>
                </w:p>
              </w:tc>
              <w:tc>
                <w:tcPr>
                  <w:tcW w:w="520" w:type="pct"/>
                  <w:vMerge w:val="continue"/>
                  <w:vAlign w:val="center"/>
                </w:tcPr>
                <w:p>
                  <w:pPr>
                    <w:pStyle w:val="110"/>
                    <w:spacing w:line="240" w:lineRule="auto"/>
                    <w:ind w:firstLine="0" w:firstLineChars="0"/>
                    <w:jc w:val="center"/>
                    <w:rPr>
                      <w:rFonts w:cs="Times New Roman"/>
                      <w:b/>
                      <w:bCs/>
                      <w:sz w:val="21"/>
                      <w:szCs w:val="21"/>
                    </w:rPr>
                  </w:pP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0.78</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0.59</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2.81</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vMerge w:val="continue"/>
                  <w:vAlign w:val="center"/>
                </w:tcPr>
                <w:p>
                  <w:pPr>
                    <w:pStyle w:val="110"/>
                    <w:spacing w:line="240" w:lineRule="auto"/>
                    <w:ind w:firstLine="0" w:firstLineChars="0"/>
                    <w:jc w:val="center"/>
                    <w:rPr>
                      <w:rFonts w:cs="Times New Roman"/>
                      <w:b/>
                      <w:bCs/>
                      <w:sz w:val="21"/>
                      <w:szCs w:val="21"/>
                    </w:rPr>
                  </w:pPr>
                </w:p>
              </w:tc>
              <w:tc>
                <w:tcPr>
                  <w:tcW w:w="613" w:type="pct"/>
                  <w:vMerge w:val="continue"/>
                  <w:vAlign w:val="center"/>
                </w:tcPr>
                <w:p>
                  <w:pPr>
                    <w:pStyle w:val="110"/>
                    <w:spacing w:line="240" w:lineRule="auto"/>
                    <w:ind w:firstLine="0" w:firstLineChars="0"/>
                    <w:jc w:val="center"/>
                    <w:rPr>
                      <w:rFonts w:cs="Times New Roman"/>
                      <w:b/>
                      <w:bCs/>
                      <w:sz w:val="21"/>
                      <w:szCs w:val="21"/>
                    </w:rPr>
                  </w:pPr>
                </w:p>
              </w:tc>
              <w:tc>
                <w:tcPr>
                  <w:tcW w:w="412"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4#</w:t>
                  </w:r>
                </w:p>
              </w:tc>
              <w:tc>
                <w:tcPr>
                  <w:tcW w:w="856" w:type="pct"/>
                  <w:vMerge w:val="continue"/>
                  <w:vAlign w:val="center"/>
                </w:tcPr>
                <w:p>
                  <w:pPr>
                    <w:pStyle w:val="110"/>
                    <w:spacing w:line="240" w:lineRule="auto"/>
                    <w:ind w:firstLine="0" w:firstLineChars="0"/>
                    <w:jc w:val="center"/>
                    <w:rPr>
                      <w:rFonts w:cs="Times New Roman"/>
                      <w:b/>
                      <w:bCs/>
                      <w:sz w:val="21"/>
                      <w:szCs w:val="21"/>
                    </w:rPr>
                  </w:pPr>
                </w:p>
              </w:tc>
              <w:tc>
                <w:tcPr>
                  <w:tcW w:w="520" w:type="pct"/>
                  <w:vMerge w:val="continue"/>
                  <w:vAlign w:val="center"/>
                </w:tcPr>
                <w:p>
                  <w:pPr>
                    <w:pStyle w:val="110"/>
                    <w:spacing w:line="240" w:lineRule="auto"/>
                    <w:ind w:firstLine="0" w:firstLineChars="0"/>
                    <w:jc w:val="center"/>
                    <w:rPr>
                      <w:rFonts w:cs="Times New Roman"/>
                      <w:b/>
                      <w:bCs/>
                      <w:sz w:val="21"/>
                      <w:szCs w:val="21"/>
                    </w:rPr>
                  </w:pP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0.25</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0.56</w:t>
                  </w:r>
                </w:p>
              </w:tc>
              <w:tc>
                <w:tcPr>
                  <w:tcW w:w="445" w:type="pct"/>
                  <w:vAlign w:val="center"/>
                </w:tcPr>
                <w:p>
                  <w:pPr>
                    <w:pStyle w:val="110"/>
                    <w:spacing w:line="240" w:lineRule="auto"/>
                    <w:ind w:firstLine="0" w:firstLineChars="0"/>
                    <w:jc w:val="center"/>
                    <w:rPr>
                      <w:rFonts w:ascii="Times New Roman" w:hAnsi="Times New Roman" w:eastAsia="宋体" w:cs="Times New Roman"/>
                      <w:kern w:val="0"/>
                      <w:sz w:val="21"/>
                      <w:szCs w:val="21"/>
                      <w:lang w:val="en-US" w:eastAsia="zh-CN" w:bidi="ar-SA"/>
                    </w:rPr>
                  </w:pPr>
                  <w:r>
                    <w:rPr>
                      <w:rFonts w:cs="Times New Roman"/>
                      <w:sz w:val="21"/>
                      <w:szCs w:val="21"/>
                    </w:rPr>
                    <w:t>0.48</w:t>
                  </w:r>
                </w:p>
              </w:tc>
              <w:tc>
                <w:tcPr>
                  <w:tcW w:w="469" w:type="pct"/>
                  <w:vMerge w:val="continue"/>
                  <w:vAlign w:val="center"/>
                </w:tcPr>
                <w:p>
                  <w:pPr>
                    <w:pStyle w:val="110"/>
                    <w:spacing w:line="240" w:lineRule="auto"/>
                    <w:ind w:firstLine="0" w:firstLineChars="0"/>
                    <w:jc w:val="center"/>
                    <w:rPr>
                      <w:rFonts w:cs="Times New Roman"/>
                      <w:b/>
                      <w:bCs/>
                      <w:sz w:val="21"/>
                      <w:szCs w:val="21"/>
                    </w:rPr>
                  </w:pPr>
                </w:p>
              </w:tc>
              <w:tc>
                <w:tcPr>
                  <w:tcW w:w="366" w:type="pct"/>
                  <w:vMerge w:val="continue"/>
                  <w:vAlign w:val="center"/>
                </w:tcPr>
                <w:p>
                  <w:pPr>
                    <w:spacing w:line="240" w:lineRule="auto"/>
                    <w:jc w:val="center"/>
                    <w:rPr>
                      <w:rFonts w:cs="Times New Roman"/>
                      <w:b/>
                      <w:b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2" w:type="pct"/>
                  <w:tcBorders>
                    <w:bottom w:val="single" w:color="auto" w:sz="12" w:space="0"/>
                  </w:tcBorders>
                  <w:vAlign w:val="center"/>
                </w:tcPr>
                <w:p>
                  <w:pPr>
                    <w:pStyle w:val="110"/>
                    <w:spacing w:line="240" w:lineRule="auto"/>
                    <w:ind w:firstLine="0" w:firstLineChars="0"/>
                    <w:jc w:val="center"/>
                    <w:rPr>
                      <w:rFonts w:cs="Times New Roman"/>
                      <w:b/>
                      <w:bCs/>
                      <w:sz w:val="21"/>
                      <w:szCs w:val="21"/>
                    </w:rPr>
                  </w:pPr>
                  <w:r>
                    <w:rPr>
                      <w:rFonts w:cs="Times New Roman"/>
                    </w:rPr>
                    <w:t>备注</w:t>
                  </w:r>
                </w:p>
              </w:tc>
              <w:tc>
                <w:tcPr>
                  <w:tcW w:w="4577" w:type="pct"/>
                  <w:gridSpan w:val="9"/>
                  <w:tcBorders>
                    <w:bottom w:val="single" w:color="auto" w:sz="12" w:space="0"/>
                  </w:tcBorders>
                  <w:vAlign w:val="center"/>
                </w:tcPr>
                <w:p>
                  <w:pPr>
                    <w:bidi w:val="0"/>
                    <w:spacing w:line="240" w:lineRule="auto"/>
                    <w:rPr>
                      <w:sz w:val="21"/>
                      <w:szCs w:val="21"/>
                    </w:rPr>
                  </w:pPr>
                  <w:r>
                    <w:rPr>
                      <w:sz w:val="21"/>
                      <w:szCs w:val="21"/>
                    </w:rPr>
                    <w:t>1.“/”表示1#点为上风向点，不做限值要求；</w:t>
                  </w:r>
                </w:p>
                <w:p>
                  <w:pPr>
                    <w:bidi w:val="0"/>
                    <w:spacing w:line="240" w:lineRule="auto"/>
                    <w:rPr>
                      <w:sz w:val="21"/>
                      <w:szCs w:val="21"/>
                    </w:rPr>
                  </w:pPr>
                  <w:r>
                    <w:rPr>
                      <w:sz w:val="21"/>
                      <w:szCs w:val="21"/>
                    </w:rPr>
                    <w:t>2.参照标准《合成树脂工业污染物排放标准》（GB31572-2015）表</w:t>
                  </w:r>
                  <w:r>
                    <w:rPr>
                      <w:rFonts w:hint="eastAsia"/>
                      <w:sz w:val="21"/>
                      <w:szCs w:val="21"/>
                    </w:rPr>
                    <w:t>9</w:t>
                  </w:r>
                  <w:r>
                    <w:rPr>
                      <w:sz w:val="21"/>
                      <w:szCs w:val="21"/>
                    </w:rPr>
                    <w:t xml:space="preserve"> 无组织标准限值要求。</w:t>
                  </w:r>
                </w:p>
                <w:p>
                  <w:pPr>
                    <w:bidi w:val="0"/>
                    <w:spacing w:line="240" w:lineRule="auto"/>
                    <w:rPr>
                      <w:rFonts w:cs="Times New Roman"/>
                      <w:b/>
                      <w:bCs/>
                      <w:szCs w:val="21"/>
                    </w:rPr>
                  </w:pPr>
                  <w:r>
                    <w:rPr>
                      <w:sz w:val="21"/>
                      <w:szCs w:val="21"/>
                    </w:rPr>
                    <w:t>3. 1#监测点为企业无组织监测点的上风向，出现上风向检测数据高于下风向检测数据的情况。原因分析：因项目所在地周围存在其他排污企业，其他公司生产排放废气的时间不确定，检测数据有可能受到干扰。</w:t>
                  </w:r>
                </w:p>
              </w:tc>
            </w:tr>
          </w:tbl>
          <w:p>
            <w:pPr>
              <w:rPr>
                <w:rFonts w:hint="eastAsia"/>
                <w:lang w:eastAsia="zh-CN"/>
              </w:rPr>
            </w:pPr>
            <w:r>
              <w:rPr>
                <w:rFonts w:hint="eastAsia"/>
                <w:lang w:val="en-US" w:eastAsia="zh-CN"/>
              </w:rPr>
              <w:t>2）</w:t>
            </w:r>
            <w:r>
              <w:rPr>
                <w:rFonts w:hint="eastAsia"/>
                <w:lang w:eastAsia="zh-CN"/>
              </w:rPr>
              <w:t>废水</w:t>
            </w:r>
          </w:p>
          <w:p>
            <w:pPr>
              <w:ind w:firstLine="480" w:firstLineChars="200"/>
              <w:rPr>
                <w:rFonts w:hint="eastAsia"/>
                <w:lang w:eastAsia="zh-CN"/>
              </w:rPr>
            </w:pPr>
            <w:r>
              <w:rPr>
                <w:rFonts w:hint="eastAsia"/>
                <w:lang w:eastAsia="zh-CN"/>
              </w:rPr>
              <w:t>项目建成后，职工数12人，生活污水量约为113.6t/a，主要为员工的盥洗用水，无生产废水，间接设备冷却用水循环使用不外排，生活废水经工业区污水管网排入高新区白荡污水处理厂，处理达标后排入京杭运河。</w:t>
            </w:r>
          </w:p>
          <w:p>
            <w:pPr>
              <w:pStyle w:val="2"/>
              <w:spacing w:line="240" w:lineRule="auto"/>
              <w:ind w:left="0" w:leftChars="0" w:firstLine="0" w:firstLineChars="0"/>
              <w:jc w:val="center"/>
              <w:rPr>
                <w:rFonts w:hint="eastAsia"/>
                <w:lang w:eastAsia="zh-CN"/>
              </w:rPr>
            </w:pPr>
            <w:r>
              <w:rPr>
                <w:rFonts w:hint="eastAsia"/>
                <w:b/>
                <w:bCs/>
                <w:sz w:val="21"/>
                <w:szCs w:val="21"/>
                <w:lang w:val="en-US" w:eastAsia="zh-CN"/>
              </w:rPr>
              <w:t>表1-14废水检测结果</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803"/>
              <w:gridCol w:w="858"/>
              <w:gridCol w:w="2002"/>
              <w:gridCol w:w="937"/>
              <w:gridCol w:w="943"/>
              <w:gridCol w:w="943"/>
              <w:gridCol w:w="875"/>
              <w:gridCol w:w="1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88" w:type="pct"/>
                  <w:gridSpan w:val="2"/>
                  <w:vMerge w:val="restart"/>
                  <w:vAlign w:val="center"/>
                </w:tcPr>
                <w:p>
                  <w:pPr>
                    <w:pStyle w:val="110"/>
                    <w:rPr>
                      <w:rFonts w:cs="Times New Roman"/>
                      <w:b/>
                      <w:bCs/>
                    </w:rPr>
                  </w:pPr>
                  <w:r>
                    <w:rPr>
                      <w:rFonts w:cs="Times New Roman"/>
                      <w:b/>
                      <w:bCs/>
                    </w:rPr>
                    <w:t>采样</w:t>
                  </w:r>
                </w:p>
                <w:p>
                  <w:pPr>
                    <w:pStyle w:val="110"/>
                    <w:rPr>
                      <w:rFonts w:cs="Times New Roman"/>
                      <w:b/>
                      <w:bCs/>
                    </w:rPr>
                  </w:pPr>
                  <w:r>
                    <w:rPr>
                      <w:rFonts w:cs="Times New Roman"/>
                      <w:b/>
                      <w:bCs/>
                    </w:rPr>
                    <w:t>地点</w:t>
                  </w:r>
                </w:p>
              </w:tc>
              <w:tc>
                <w:tcPr>
                  <w:tcW w:w="455" w:type="pct"/>
                  <w:vMerge w:val="restart"/>
                  <w:vAlign w:val="center"/>
                </w:tcPr>
                <w:p>
                  <w:pPr>
                    <w:pStyle w:val="110"/>
                    <w:rPr>
                      <w:rFonts w:cs="Times New Roman"/>
                      <w:b/>
                      <w:bCs/>
                    </w:rPr>
                  </w:pPr>
                  <w:r>
                    <w:rPr>
                      <w:rFonts w:cs="Times New Roman"/>
                      <w:b/>
                      <w:bCs/>
                    </w:rPr>
                    <w:t>采样</w:t>
                  </w:r>
                </w:p>
                <w:p>
                  <w:pPr>
                    <w:pStyle w:val="110"/>
                    <w:rPr>
                      <w:rFonts w:cs="Times New Roman"/>
                      <w:b/>
                      <w:bCs/>
                    </w:rPr>
                  </w:pPr>
                  <w:r>
                    <w:rPr>
                      <w:rFonts w:cs="Times New Roman"/>
                      <w:b/>
                      <w:bCs/>
                    </w:rPr>
                    <w:t>时间</w:t>
                  </w:r>
                </w:p>
              </w:tc>
              <w:tc>
                <w:tcPr>
                  <w:tcW w:w="1061" w:type="pct"/>
                  <w:vMerge w:val="restart"/>
                  <w:vAlign w:val="center"/>
                </w:tcPr>
                <w:p>
                  <w:pPr>
                    <w:pStyle w:val="110"/>
                    <w:rPr>
                      <w:rFonts w:cs="Times New Roman"/>
                      <w:b/>
                      <w:bCs/>
                    </w:rPr>
                  </w:pPr>
                  <w:r>
                    <w:rPr>
                      <w:rFonts w:cs="Times New Roman"/>
                      <w:b/>
                      <w:bCs/>
                    </w:rPr>
                    <w:t>样品状态</w:t>
                  </w:r>
                </w:p>
              </w:tc>
              <w:tc>
                <w:tcPr>
                  <w:tcW w:w="2494" w:type="pct"/>
                  <w:gridSpan w:val="5"/>
                  <w:vAlign w:val="center"/>
                </w:tcPr>
                <w:p>
                  <w:pPr>
                    <w:pStyle w:val="110"/>
                    <w:rPr>
                      <w:rFonts w:cs="Times New Roman"/>
                      <w:b/>
                      <w:bCs/>
                    </w:rPr>
                  </w:pPr>
                  <w:r>
                    <w:rPr>
                      <w:rFonts w:cs="Times New Roman"/>
                      <w:b/>
                      <w:bCs/>
                    </w:rPr>
                    <w:t>检测项目（mg/L）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8" w:type="pct"/>
                  <w:gridSpan w:val="2"/>
                  <w:vMerge w:val="continue"/>
                  <w:tcBorders>
                    <w:bottom w:val="single" w:color="auto" w:sz="12" w:space="0"/>
                  </w:tcBorders>
                  <w:vAlign w:val="center"/>
                </w:tcPr>
                <w:p>
                  <w:pPr>
                    <w:pStyle w:val="110"/>
                    <w:rPr>
                      <w:rFonts w:cs="Times New Roman"/>
                      <w:b/>
                      <w:bCs/>
                    </w:rPr>
                  </w:pPr>
                </w:p>
              </w:tc>
              <w:tc>
                <w:tcPr>
                  <w:tcW w:w="455" w:type="pct"/>
                  <w:vMerge w:val="continue"/>
                  <w:tcBorders>
                    <w:bottom w:val="single" w:color="auto" w:sz="12" w:space="0"/>
                  </w:tcBorders>
                  <w:vAlign w:val="center"/>
                </w:tcPr>
                <w:p>
                  <w:pPr>
                    <w:pStyle w:val="110"/>
                    <w:rPr>
                      <w:rFonts w:cs="Times New Roman"/>
                      <w:b/>
                      <w:bCs/>
                    </w:rPr>
                  </w:pPr>
                </w:p>
              </w:tc>
              <w:tc>
                <w:tcPr>
                  <w:tcW w:w="1061" w:type="pct"/>
                  <w:vMerge w:val="continue"/>
                  <w:tcBorders>
                    <w:bottom w:val="single" w:color="auto" w:sz="12" w:space="0"/>
                  </w:tcBorders>
                  <w:vAlign w:val="center"/>
                </w:tcPr>
                <w:p>
                  <w:pPr>
                    <w:pStyle w:val="110"/>
                    <w:rPr>
                      <w:rFonts w:cs="Times New Roman"/>
                      <w:b/>
                      <w:bCs/>
                    </w:rPr>
                  </w:pPr>
                </w:p>
              </w:tc>
              <w:tc>
                <w:tcPr>
                  <w:tcW w:w="497" w:type="pct"/>
                  <w:tcBorders>
                    <w:bottom w:val="single" w:color="auto" w:sz="12" w:space="0"/>
                  </w:tcBorders>
                  <w:vAlign w:val="center"/>
                </w:tcPr>
                <w:p>
                  <w:pPr>
                    <w:pStyle w:val="110"/>
                    <w:rPr>
                      <w:rFonts w:cs="Times New Roman"/>
                      <w:b/>
                      <w:bCs/>
                    </w:rPr>
                  </w:pPr>
                  <w:r>
                    <w:rPr>
                      <w:rFonts w:cs="Times New Roman"/>
                      <w:b/>
                      <w:bCs/>
                    </w:rPr>
                    <w:t>pH值</w:t>
                  </w:r>
                </w:p>
              </w:tc>
              <w:tc>
                <w:tcPr>
                  <w:tcW w:w="500" w:type="pct"/>
                  <w:tcBorders>
                    <w:bottom w:val="single" w:color="auto" w:sz="12" w:space="0"/>
                  </w:tcBorders>
                  <w:vAlign w:val="center"/>
                </w:tcPr>
                <w:p>
                  <w:pPr>
                    <w:pStyle w:val="110"/>
                    <w:rPr>
                      <w:rFonts w:cs="Times New Roman"/>
                      <w:b/>
                      <w:bCs/>
                    </w:rPr>
                  </w:pPr>
                  <w:r>
                    <w:rPr>
                      <w:rFonts w:cs="Times New Roman"/>
                      <w:b/>
                      <w:bCs/>
                    </w:rPr>
                    <w:t>悬浮物</w:t>
                  </w:r>
                </w:p>
              </w:tc>
              <w:tc>
                <w:tcPr>
                  <w:tcW w:w="500" w:type="pct"/>
                  <w:tcBorders>
                    <w:bottom w:val="single" w:color="auto" w:sz="12" w:space="0"/>
                  </w:tcBorders>
                  <w:vAlign w:val="center"/>
                </w:tcPr>
                <w:p>
                  <w:pPr>
                    <w:pStyle w:val="110"/>
                    <w:rPr>
                      <w:rFonts w:cs="Times New Roman"/>
                      <w:b/>
                      <w:bCs/>
                    </w:rPr>
                  </w:pPr>
                  <w:r>
                    <w:rPr>
                      <w:rFonts w:cs="Times New Roman"/>
                      <w:b/>
                      <w:bCs/>
                    </w:rPr>
                    <w:t>氨氮</w:t>
                  </w:r>
                </w:p>
              </w:tc>
              <w:tc>
                <w:tcPr>
                  <w:tcW w:w="464" w:type="pct"/>
                  <w:tcBorders>
                    <w:bottom w:val="single" w:color="auto" w:sz="12" w:space="0"/>
                  </w:tcBorders>
                  <w:vAlign w:val="center"/>
                </w:tcPr>
                <w:p>
                  <w:pPr>
                    <w:pStyle w:val="110"/>
                    <w:rPr>
                      <w:rFonts w:cs="Times New Roman"/>
                      <w:b/>
                      <w:bCs/>
                    </w:rPr>
                  </w:pPr>
                  <w:r>
                    <w:rPr>
                      <w:rFonts w:cs="Times New Roman"/>
                      <w:b/>
                      <w:bCs/>
                    </w:rPr>
                    <w:t>总磷</w:t>
                  </w:r>
                </w:p>
              </w:tc>
              <w:tc>
                <w:tcPr>
                  <w:tcW w:w="531" w:type="pct"/>
                  <w:tcBorders>
                    <w:bottom w:val="single" w:color="auto" w:sz="12" w:space="0"/>
                  </w:tcBorders>
                  <w:vAlign w:val="center"/>
                </w:tcPr>
                <w:p>
                  <w:pPr>
                    <w:pStyle w:val="110"/>
                    <w:rPr>
                      <w:rFonts w:cs="Times New Roman"/>
                      <w:b/>
                      <w:bCs/>
                    </w:rPr>
                  </w:pPr>
                  <w:r>
                    <w:rPr>
                      <w:rFonts w:cs="Times New Roman"/>
                      <w:b/>
                      <w:bCs/>
                    </w:rPr>
                    <w:t>化学需氧量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88" w:type="pct"/>
                  <w:gridSpan w:val="2"/>
                  <w:vMerge w:val="restart"/>
                  <w:tcBorders>
                    <w:top w:val="single" w:color="auto" w:sz="12" w:space="0"/>
                  </w:tcBorders>
                  <w:vAlign w:val="center"/>
                </w:tcPr>
                <w:p>
                  <w:pPr>
                    <w:pStyle w:val="110"/>
                    <w:rPr>
                      <w:rFonts w:cs="Times New Roman"/>
                      <w:highlight w:val="yellow"/>
                    </w:rPr>
                  </w:pPr>
                  <w:r>
                    <w:rPr>
                      <w:rFonts w:cs="Times New Roman"/>
                    </w:rPr>
                    <w:t>污水接管口（2019.07.01）</w:t>
                  </w:r>
                </w:p>
              </w:tc>
              <w:tc>
                <w:tcPr>
                  <w:tcW w:w="455" w:type="pct"/>
                  <w:tcBorders>
                    <w:top w:val="single" w:color="auto" w:sz="12" w:space="0"/>
                  </w:tcBorders>
                  <w:vAlign w:val="center"/>
                </w:tcPr>
                <w:p>
                  <w:pPr>
                    <w:pStyle w:val="110"/>
                    <w:rPr>
                      <w:rFonts w:eastAsia="宋体" w:cs="Times New Roman"/>
                      <w:kern w:val="2"/>
                    </w:rPr>
                  </w:pPr>
                  <w:r>
                    <w:rPr>
                      <w:rFonts w:cs="Times New Roman"/>
                    </w:rPr>
                    <w:t>14:30</w:t>
                  </w:r>
                </w:p>
              </w:tc>
              <w:tc>
                <w:tcPr>
                  <w:tcW w:w="1061" w:type="pct"/>
                  <w:tcBorders>
                    <w:top w:val="single" w:color="auto" w:sz="12" w:space="0"/>
                  </w:tcBorders>
                  <w:vAlign w:val="center"/>
                </w:tcPr>
                <w:p>
                  <w:pPr>
                    <w:pStyle w:val="110"/>
                    <w:rPr>
                      <w:rFonts w:eastAsia="宋体" w:cs="Times New Roman"/>
                      <w:kern w:val="2"/>
                    </w:rPr>
                  </w:pPr>
                  <w:r>
                    <w:rPr>
                      <w:rFonts w:cs="Times New Roman"/>
                    </w:rPr>
                    <w:t>微黄微浊无浮油</w:t>
                  </w:r>
                </w:p>
              </w:tc>
              <w:tc>
                <w:tcPr>
                  <w:tcW w:w="497" w:type="pct"/>
                  <w:tcBorders>
                    <w:top w:val="single" w:color="auto" w:sz="12" w:space="0"/>
                  </w:tcBorders>
                  <w:vAlign w:val="center"/>
                </w:tcPr>
                <w:p>
                  <w:pPr>
                    <w:pStyle w:val="110"/>
                    <w:rPr>
                      <w:rFonts w:eastAsia="宋体" w:cs="Times New Roman"/>
                      <w:kern w:val="2"/>
                    </w:rPr>
                  </w:pPr>
                  <w:r>
                    <w:rPr>
                      <w:rFonts w:cs="Times New Roman"/>
                    </w:rPr>
                    <w:t>8.78</w:t>
                  </w:r>
                </w:p>
              </w:tc>
              <w:tc>
                <w:tcPr>
                  <w:tcW w:w="500" w:type="pct"/>
                  <w:tcBorders>
                    <w:top w:val="single" w:color="auto" w:sz="12" w:space="0"/>
                  </w:tcBorders>
                  <w:vAlign w:val="center"/>
                </w:tcPr>
                <w:p>
                  <w:pPr>
                    <w:pStyle w:val="110"/>
                    <w:rPr>
                      <w:rFonts w:cs="Times New Roman"/>
                    </w:rPr>
                  </w:pPr>
                  <w:r>
                    <w:rPr>
                      <w:rFonts w:cs="Times New Roman"/>
                    </w:rPr>
                    <w:t>44</w:t>
                  </w:r>
                </w:p>
              </w:tc>
              <w:tc>
                <w:tcPr>
                  <w:tcW w:w="500" w:type="pct"/>
                  <w:tcBorders>
                    <w:top w:val="single" w:color="auto" w:sz="12" w:space="0"/>
                  </w:tcBorders>
                  <w:vAlign w:val="center"/>
                </w:tcPr>
                <w:p>
                  <w:pPr>
                    <w:pStyle w:val="110"/>
                    <w:rPr>
                      <w:rFonts w:cs="Times New Roman"/>
                    </w:rPr>
                  </w:pPr>
                  <w:r>
                    <w:rPr>
                      <w:rFonts w:cs="Times New Roman"/>
                    </w:rPr>
                    <w:t>5.30</w:t>
                  </w:r>
                </w:p>
              </w:tc>
              <w:tc>
                <w:tcPr>
                  <w:tcW w:w="464" w:type="pct"/>
                  <w:tcBorders>
                    <w:top w:val="single" w:color="auto" w:sz="12" w:space="0"/>
                  </w:tcBorders>
                  <w:vAlign w:val="center"/>
                </w:tcPr>
                <w:p>
                  <w:pPr>
                    <w:pStyle w:val="110"/>
                    <w:rPr>
                      <w:rFonts w:cs="Times New Roman"/>
                    </w:rPr>
                  </w:pPr>
                  <w:r>
                    <w:rPr>
                      <w:rFonts w:cs="Times New Roman"/>
                    </w:rPr>
                    <w:t>0.88</w:t>
                  </w:r>
                </w:p>
              </w:tc>
              <w:tc>
                <w:tcPr>
                  <w:tcW w:w="531" w:type="pct"/>
                  <w:tcBorders>
                    <w:top w:val="single" w:color="auto" w:sz="12" w:space="0"/>
                  </w:tcBorders>
                  <w:vAlign w:val="center"/>
                </w:tcPr>
                <w:p>
                  <w:pPr>
                    <w:pStyle w:val="110"/>
                    <w:rPr>
                      <w:rFonts w:cs="Times New Roman"/>
                    </w:rPr>
                  </w:pPr>
                  <w:r>
                    <w:rPr>
                      <w:rFonts w:cs="Times New Roman"/>
                    </w:rPr>
                    <w:t>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88" w:type="pct"/>
                  <w:gridSpan w:val="2"/>
                  <w:vMerge w:val="continue"/>
                  <w:vAlign w:val="center"/>
                </w:tcPr>
                <w:p>
                  <w:pPr>
                    <w:pStyle w:val="110"/>
                    <w:rPr>
                      <w:rFonts w:cs="Times New Roman"/>
                      <w:highlight w:val="yellow"/>
                    </w:rPr>
                  </w:pPr>
                </w:p>
              </w:tc>
              <w:tc>
                <w:tcPr>
                  <w:tcW w:w="455" w:type="pct"/>
                  <w:vAlign w:val="center"/>
                </w:tcPr>
                <w:p>
                  <w:pPr>
                    <w:pStyle w:val="110"/>
                    <w:rPr>
                      <w:rFonts w:cs="Times New Roman"/>
                    </w:rPr>
                  </w:pPr>
                  <w:r>
                    <w:rPr>
                      <w:rFonts w:cs="Times New Roman"/>
                    </w:rPr>
                    <w:t>15:32</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8.56</w:t>
                  </w:r>
                </w:p>
              </w:tc>
              <w:tc>
                <w:tcPr>
                  <w:tcW w:w="500" w:type="pct"/>
                  <w:vAlign w:val="center"/>
                </w:tcPr>
                <w:p>
                  <w:pPr>
                    <w:pStyle w:val="110"/>
                    <w:rPr>
                      <w:rFonts w:cs="Times New Roman"/>
                    </w:rPr>
                  </w:pPr>
                  <w:r>
                    <w:rPr>
                      <w:rFonts w:cs="Times New Roman"/>
                    </w:rPr>
                    <w:t>48</w:t>
                  </w:r>
                </w:p>
              </w:tc>
              <w:tc>
                <w:tcPr>
                  <w:tcW w:w="500" w:type="pct"/>
                  <w:vAlign w:val="center"/>
                </w:tcPr>
                <w:p>
                  <w:pPr>
                    <w:pStyle w:val="110"/>
                    <w:rPr>
                      <w:rFonts w:cs="Times New Roman"/>
                    </w:rPr>
                  </w:pPr>
                  <w:r>
                    <w:rPr>
                      <w:rFonts w:cs="Times New Roman"/>
                    </w:rPr>
                    <w:t>10.3</w:t>
                  </w:r>
                </w:p>
              </w:tc>
              <w:tc>
                <w:tcPr>
                  <w:tcW w:w="464" w:type="pct"/>
                  <w:vAlign w:val="center"/>
                </w:tcPr>
                <w:p>
                  <w:pPr>
                    <w:pStyle w:val="110"/>
                    <w:rPr>
                      <w:rFonts w:cs="Times New Roman"/>
                    </w:rPr>
                  </w:pPr>
                  <w:r>
                    <w:rPr>
                      <w:rFonts w:cs="Times New Roman"/>
                    </w:rPr>
                    <w:t>1.32</w:t>
                  </w:r>
                </w:p>
              </w:tc>
              <w:tc>
                <w:tcPr>
                  <w:tcW w:w="531" w:type="pct"/>
                  <w:vAlign w:val="center"/>
                </w:tcPr>
                <w:p>
                  <w:pPr>
                    <w:pStyle w:val="110"/>
                    <w:rPr>
                      <w:rFonts w:cs="Times New Roman"/>
                    </w:rPr>
                  </w:pPr>
                  <w:r>
                    <w:rPr>
                      <w:rFonts w:cs="Times New Roman"/>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88" w:type="pct"/>
                  <w:gridSpan w:val="2"/>
                  <w:vMerge w:val="continue"/>
                  <w:vAlign w:val="center"/>
                </w:tcPr>
                <w:p>
                  <w:pPr>
                    <w:pStyle w:val="110"/>
                    <w:rPr>
                      <w:rFonts w:cs="Times New Roman"/>
                      <w:highlight w:val="yellow"/>
                    </w:rPr>
                  </w:pPr>
                </w:p>
              </w:tc>
              <w:tc>
                <w:tcPr>
                  <w:tcW w:w="455" w:type="pct"/>
                  <w:vAlign w:val="center"/>
                </w:tcPr>
                <w:p>
                  <w:pPr>
                    <w:pStyle w:val="110"/>
                    <w:rPr>
                      <w:rFonts w:cs="Times New Roman"/>
                    </w:rPr>
                  </w:pPr>
                  <w:r>
                    <w:rPr>
                      <w:rFonts w:cs="Times New Roman"/>
                    </w:rPr>
                    <w:t>16:34</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8.35</w:t>
                  </w:r>
                </w:p>
              </w:tc>
              <w:tc>
                <w:tcPr>
                  <w:tcW w:w="500" w:type="pct"/>
                  <w:vAlign w:val="center"/>
                </w:tcPr>
                <w:p>
                  <w:pPr>
                    <w:pStyle w:val="110"/>
                    <w:rPr>
                      <w:rFonts w:cs="Times New Roman"/>
                    </w:rPr>
                  </w:pPr>
                  <w:r>
                    <w:rPr>
                      <w:rFonts w:cs="Times New Roman"/>
                    </w:rPr>
                    <w:t>32</w:t>
                  </w:r>
                </w:p>
              </w:tc>
              <w:tc>
                <w:tcPr>
                  <w:tcW w:w="500" w:type="pct"/>
                  <w:vAlign w:val="center"/>
                </w:tcPr>
                <w:p>
                  <w:pPr>
                    <w:pStyle w:val="110"/>
                    <w:rPr>
                      <w:rFonts w:cs="Times New Roman"/>
                    </w:rPr>
                  </w:pPr>
                  <w:r>
                    <w:rPr>
                      <w:rFonts w:cs="Times New Roman"/>
                    </w:rPr>
                    <w:t>8.42</w:t>
                  </w:r>
                </w:p>
              </w:tc>
              <w:tc>
                <w:tcPr>
                  <w:tcW w:w="464" w:type="pct"/>
                  <w:vAlign w:val="center"/>
                </w:tcPr>
                <w:p>
                  <w:pPr>
                    <w:pStyle w:val="110"/>
                    <w:rPr>
                      <w:rFonts w:cs="Times New Roman"/>
                    </w:rPr>
                  </w:pPr>
                  <w:r>
                    <w:rPr>
                      <w:rFonts w:cs="Times New Roman"/>
                    </w:rPr>
                    <w:t>2.67</w:t>
                  </w:r>
                </w:p>
              </w:tc>
              <w:tc>
                <w:tcPr>
                  <w:tcW w:w="531" w:type="pct"/>
                  <w:vAlign w:val="center"/>
                </w:tcPr>
                <w:p>
                  <w:pPr>
                    <w:pStyle w:val="110"/>
                    <w:rPr>
                      <w:rFonts w:cs="Times New Roman"/>
                    </w:rPr>
                  </w:pPr>
                  <w:r>
                    <w:rPr>
                      <w:rFonts w:cs="Times New Roman"/>
                    </w:rPr>
                    <w:t>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gridSpan w:val="2"/>
                  <w:vMerge w:val="continue"/>
                  <w:vAlign w:val="center"/>
                </w:tcPr>
                <w:p>
                  <w:pPr>
                    <w:pStyle w:val="110"/>
                    <w:rPr>
                      <w:rFonts w:cs="Times New Roman"/>
                      <w:highlight w:val="yellow"/>
                    </w:rPr>
                  </w:pPr>
                </w:p>
              </w:tc>
              <w:tc>
                <w:tcPr>
                  <w:tcW w:w="455" w:type="pct"/>
                  <w:vAlign w:val="center"/>
                </w:tcPr>
                <w:p>
                  <w:pPr>
                    <w:pStyle w:val="110"/>
                    <w:rPr>
                      <w:rFonts w:cs="Times New Roman"/>
                    </w:rPr>
                  </w:pPr>
                  <w:r>
                    <w:rPr>
                      <w:rFonts w:cs="Times New Roman"/>
                    </w:rPr>
                    <w:t>17:36</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8.32</w:t>
                  </w:r>
                </w:p>
              </w:tc>
              <w:tc>
                <w:tcPr>
                  <w:tcW w:w="500" w:type="pct"/>
                  <w:vAlign w:val="center"/>
                </w:tcPr>
                <w:p>
                  <w:pPr>
                    <w:pStyle w:val="110"/>
                    <w:rPr>
                      <w:rFonts w:cs="Times New Roman"/>
                    </w:rPr>
                  </w:pPr>
                  <w:r>
                    <w:rPr>
                      <w:rFonts w:cs="Times New Roman"/>
                    </w:rPr>
                    <w:t>182</w:t>
                  </w:r>
                </w:p>
              </w:tc>
              <w:tc>
                <w:tcPr>
                  <w:tcW w:w="500" w:type="pct"/>
                  <w:vAlign w:val="center"/>
                </w:tcPr>
                <w:p>
                  <w:pPr>
                    <w:pStyle w:val="110"/>
                    <w:rPr>
                      <w:rFonts w:cs="Times New Roman"/>
                    </w:rPr>
                  </w:pPr>
                  <w:r>
                    <w:rPr>
                      <w:rFonts w:cs="Times New Roman"/>
                    </w:rPr>
                    <w:t>4.95</w:t>
                  </w:r>
                </w:p>
              </w:tc>
              <w:tc>
                <w:tcPr>
                  <w:tcW w:w="464" w:type="pct"/>
                  <w:vAlign w:val="center"/>
                </w:tcPr>
                <w:p>
                  <w:pPr>
                    <w:pStyle w:val="110"/>
                    <w:rPr>
                      <w:rFonts w:cs="Times New Roman"/>
                    </w:rPr>
                  </w:pPr>
                  <w:r>
                    <w:rPr>
                      <w:rFonts w:cs="Times New Roman"/>
                    </w:rPr>
                    <w:t>2.40</w:t>
                  </w:r>
                </w:p>
              </w:tc>
              <w:tc>
                <w:tcPr>
                  <w:tcW w:w="531" w:type="pct"/>
                  <w:vAlign w:val="center"/>
                </w:tcPr>
                <w:p>
                  <w:pPr>
                    <w:pStyle w:val="110"/>
                    <w:rPr>
                      <w:rFonts w:cs="Times New Roman"/>
                    </w:rPr>
                  </w:pPr>
                  <w:r>
                    <w:rPr>
                      <w:rFonts w:cs="Times New Roma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vAlign w:val="center"/>
                </w:tcPr>
                <w:p>
                  <w:pPr>
                    <w:pStyle w:val="110"/>
                    <w:rPr>
                      <w:rFonts w:cs="Times New Roman"/>
                    </w:rPr>
                  </w:pPr>
                  <w:r>
                    <w:rPr>
                      <w:rFonts w:cs="Times New Roman"/>
                    </w:rPr>
                    <w:t>平均值</w:t>
                  </w:r>
                </w:p>
              </w:tc>
              <w:tc>
                <w:tcPr>
                  <w:tcW w:w="497" w:type="pct"/>
                  <w:vAlign w:val="center"/>
                </w:tcPr>
                <w:p>
                  <w:pPr>
                    <w:pStyle w:val="110"/>
                    <w:rPr>
                      <w:rFonts w:eastAsia="宋体" w:cs="Times New Roman"/>
                      <w:kern w:val="2"/>
                    </w:rPr>
                  </w:pPr>
                  <w:r>
                    <w:rPr>
                      <w:rFonts w:cs="Times New Roman"/>
                    </w:rPr>
                    <w:t>/</w:t>
                  </w:r>
                </w:p>
              </w:tc>
              <w:tc>
                <w:tcPr>
                  <w:tcW w:w="500" w:type="pct"/>
                  <w:vAlign w:val="center"/>
                </w:tcPr>
                <w:p>
                  <w:pPr>
                    <w:pStyle w:val="110"/>
                    <w:rPr>
                      <w:rFonts w:cs="Times New Roman"/>
                    </w:rPr>
                  </w:pPr>
                  <w:r>
                    <w:rPr>
                      <w:rFonts w:cs="Times New Roman"/>
                    </w:rPr>
                    <w:t>76</w:t>
                  </w:r>
                </w:p>
              </w:tc>
              <w:tc>
                <w:tcPr>
                  <w:tcW w:w="500" w:type="pct"/>
                  <w:vAlign w:val="center"/>
                </w:tcPr>
                <w:p>
                  <w:pPr>
                    <w:pStyle w:val="110"/>
                    <w:rPr>
                      <w:rFonts w:cs="Times New Roman"/>
                    </w:rPr>
                  </w:pPr>
                  <w:r>
                    <w:rPr>
                      <w:rFonts w:cs="Times New Roman"/>
                    </w:rPr>
                    <w:t>7.24</w:t>
                  </w:r>
                </w:p>
              </w:tc>
              <w:tc>
                <w:tcPr>
                  <w:tcW w:w="464" w:type="pct"/>
                  <w:vAlign w:val="center"/>
                </w:tcPr>
                <w:p>
                  <w:pPr>
                    <w:pStyle w:val="110"/>
                    <w:rPr>
                      <w:rFonts w:cs="Times New Roman"/>
                    </w:rPr>
                  </w:pPr>
                  <w:r>
                    <w:rPr>
                      <w:rFonts w:cs="Times New Roman"/>
                    </w:rPr>
                    <w:t>1.82</w:t>
                  </w:r>
                </w:p>
              </w:tc>
              <w:tc>
                <w:tcPr>
                  <w:tcW w:w="531" w:type="pct"/>
                  <w:vAlign w:val="center"/>
                </w:tcPr>
                <w:p>
                  <w:pPr>
                    <w:pStyle w:val="110"/>
                    <w:rPr>
                      <w:rFonts w:cs="Times New Roman"/>
                    </w:rPr>
                  </w:pPr>
                  <w:r>
                    <w:rPr>
                      <w:rFonts w:cs="Times New Roman"/>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tcBorders>
                    <w:bottom w:val="single" w:color="auto" w:sz="12" w:space="0"/>
                  </w:tcBorders>
                  <w:vAlign w:val="center"/>
                </w:tcPr>
                <w:p>
                  <w:pPr>
                    <w:pStyle w:val="110"/>
                    <w:rPr>
                      <w:rFonts w:cs="Times New Roman"/>
                    </w:rPr>
                  </w:pPr>
                  <w:r>
                    <w:rPr>
                      <w:rFonts w:cs="Times New Roman"/>
                    </w:rPr>
                    <w:t>最高允许排放浓度/限值</w:t>
                  </w:r>
                </w:p>
              </w:tc>
              <w:tc>
                <w:tcPr>
                  <w:tcW w:w="497" w:type="pct"/>
                  <w:tcBorders>
                    <w:bottom w:val="single" w:color="auto" w:sz="12" w:space="0"/>
                  </w:tcBorders>
                  <w:vAlign w:val="center"/>
                </w:tcPr>
                <w:p>
                  <w:pPr>
                    <w:pStyle w:val="110"/>
                    <w:rPr>
                      <w:rFonts w:cs="Times New Roman"/>
                      <w:kern w:val="2"/>
                    </w:rPr>
                  </w:pPr>
                  <w:r>
                    <w:rPr>
                      <w:rFonts w:cs="Times New Roman"/>
                    </w:rPr>
                    <w:t>6～9</w:t>
                  </w:r>
                </w:p>
              </w:tc>
              <w:tc>
                <w:tcPr>
                  <w:tcW w:w="500" w:type="pct"/>
                  <w:tcBorders>
                    <w:bottom w:val="single" w:color="auto" w:sz="12" w:space="0"/>
                  </w:tcBorders>
                  <w:vAlign w:val="center"/>
                </w:tcPr>
                <w:p>
                  <w:pPr>
                    <w:pStyle w:val="110"/>
                    <w:rPr>
                      <w:rFonts w:cs="Times New Roman"/>
                    </w:rPr>
                  </w:pPr>
                  <w:r>
                    <w:rPr>
                      <w:rFonts w:cs="Times New Roman"/>
                    </w:rPr>
                    <w:t>400</w:t>
                  </w:r>
                </w:p>
              </w:tc>
              <w:tc>
                <w:tcPr>
                  <w:tcW w:w="500" w:type="pct"/>
                  <w:tcBorders>
                    <w:bottom w:val="single" w:color="auto" w:sz="12" w:space="0"/>
                  </w:tcBorders>
                  <w:vAlign w:val="center"/>
                </w:tcPr>
                <w:p>
                  <w:pPr>
                    <w:pStyle w:val="110"/>
                    <w:rPr>
                      <w:rFonts w:cs="Times New Roman"/>
                    </w:rPr>
                  </w:pPr>
                  <w:r>
                    <w:rPr>
                      <w:rFonts w:cs="Times New Roman"/>
                    </w:rPr>
                    <w:t>45</w:t>
                  </w:r>
                </w:p>
              </w:tc>
              <w:tc>
                <w:tcPr>
                  <w:tcW w:w="464" w:type="pct"/>
                  <w:tcBorders>
                    <w:bottom w:val="single" w:color="auto" w:sz="12" w:space="0"/>
                  </w:tcBorders>
                  <w:vAlign w:val="center"/>
                </w:tcPr>
                <w:p>
                  <w:pPr>
                    <w:pStyle w:val="110"/>
                    <w:rPr>
                      <w:rFonts w:cs="Times New Roman"/>
                    </w:rPr>
                  </w:pPr>
                  <w:r>
                    <w:rPr>
                      <w:rFonts w:cs="Times New Roman"/>
                    </w:rPr>
                    <w:t>8</w:t>
                  </w:r>
                </w:p>
              </w:tc>
              <w:tc>
                <w:tcPr>
                  <w:tcW w:w="531" w:type="pct"/>
                  <w:tcBorders>
                    <w:bottom w:val="single" w:color="auto" w:sz="12" w:space="0"/>
                  </w:tcBorders>
                  <w:vAlign w:val="center"/>
                </w:tcPr>
                <w:p>
                  <w:pPr>
                    <w:pStyle w:val="110"/>
                    <w:rPr>
                      <w:rFonts w:cs="Times New Roman"/>
                    </w:rPr>
                  </w:pPr>
                  <w:r>
                    <w:rPr>
                      <w:rFonts w:cs="Times New Roma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tcBorders>
                    <w:bottom w:val="single" w:color="auto" w:sz="12" w:space="0"/>
                  </w:tcBorders>
                  <w:vAlign w:val="center"/>
                </w:tcPr>
                <w:p>
                  <w:pPr>
                    <w:pStyle w:val="110"/>
                    <w:rPr>
                      <w:rFonts w:cs="Times New Roman"/>
                    </w:rPr>
                  </w:pPr>
                  <w:r>
                    <w:rPr>
                      <w:rFonts w:cs="Times New Roman"/>
                    </w:rPr>
                    <w:t>评价</w:t>
                  </w:r>
                </w:p>
              </w:tc>
              <w:tc>
                <w:tcPr>
                  <w:tcW w:w="497" w:type="pct"/>
                  <w:tcBorders>
                    <w:bottom w:val="single" w:color="auto" w:sz="12" w:space="0"/>
                  </w:tcBorders>
                  <w:vAlign w:val="center"/>
                </w:tcPr>
                <w:p>
                  <w:pPr>
                    <w:pStyle w:val="110"/>
                    <w:rPr>
                      <w:rFonts w:cs="Times New Roman"/>
                    </w:rPr>
                  </w:pPr>
                  <w:r>
                    <w:rPr>
                      <w:rFonts w:cs="Times New Roman"/>
                    </w:rPr>
                    <w:t>达标</w:t>
                  </w:r>
                </w:p>
              </w:tc>
              <w:tc>
                <w:tcPr>
                  <w:tcW w:w="500" w:type="pct"/>
                  <w:tcBorders>
                    <w:bottom w:val="single" w:color="auto" w:sz="12" w:space="0"/>
                  </w:tcBorders>
                  <w:vAlign w:val="center"/>
                </w:tcPr>
                <w:p>
                  <w:pPr>
                    <w:pStyle w:val="110"/>
                    <w:rPr>
                      <w:rFonts w:cs="Times New Roman"/>
                    </w:rPr>
                  </w:pPr>
                  <w:r>
                    <w:rPr>
                      <w:rFonts w:cs="Times New Roman"/>
                    </w:rPr>
                    <w:t>达标</w:t>
                  </w:r>
                </w:p>
              </w:tc>
              <w:tc>
                <w:tcPr>
                  <w:tcW w:w="500" w:type="pct"/>
                  <w:tcBorders>
                    <w:bottom w:val="single" w:color="auto" w:sz="12" w:space="0"/>
                  </w:tcBorders>
                  <w:vAlign w:val="center"/>
                </w:tcPr>
                <w:p>
                  <w:pPr>
                    <w:pStyle w:val="110"/>
                    <w:rPr>
                      <w:rFonts w:cs="Times New Roman"/>
                    </w:rPr>
                  </w:pPr>
                  <w:r>
                    <w:rPr>
                      <w:rFonts w:cs="Times New Roman"/>
                    </w:rPr>
                    <w:t>达标</w:t>
                  </w:r>
                </w:p>
              </w:tc>
              <w:tc>
                <w:tcPr>
                  <w:tcW w:w="464" w:type="pct"/>
                  <w:tcBorders>
                    <w:bottom w:val="single" w:color="auto" w:sz="12" w:space="0"/>
                  </w:tcBorders>
                  <w:vAlign w:val="center"/>
                </w:tcPr>
                <w:p>
                  <w:pPr>
                    <w:pStyle w:val="110"/>
                    <w:rPr>
                      <w:rFonts w:cs="Times New Roman"/>
                    </w:rPr>
                  </w:pPr>
                  <w:r>
                    <w:rPr>
                      <w:rFonts w:cs="Times New Roman"/>
                    </w:rPr>
                    <w:t>达标</w:t>
                  </w:r>
                </w:p>
              </w:tc>
              <w:tc>
                <w:tcPr>
                  <w:tcW w:w="531" w:type="pct"/>
                  <w:tcBorders>
                    <w:bottom w:val="single" w:color="auto" w:sz="12" w:space="0"/>
                  </w:tcBorders>
                  <w:vAlign w:val="center"/>
                </w:tcPr>
                <w:p>
                  <w:pPr>
                    <w:pStyle w:val="110"/>
                    <w:rPr>
                      <w:rFonts w:cs="Times New Roman"/>
                    </w:rPr>
                  </w:pPr>
                  <w:r>
                    <w:rPr>
                      <w:rFonts w:cs="Times New Roma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8" w:type="pct"/>
                  <w:gridSpan w:val="2"/>
                  <w:vMerge w:val="restart"/>
                  <w:tcBorders>
                    <w:top w:val="single" w:color="auto" w:sz="12" w:space="0"/>
                    <w:bottom w:val="single" w:color="auto" w:sz="4" w:space="0"/>
                  </w:tcBorders>
                  <w:vAlign w:val="center"/>
                </w:tcPr>
                <w:p>
                  <w:pPr>
                    <w:pStyle w:val="110"/>
                    <w:rPr>
                      <w:rFonts w:cs="Times New Roman"/>
                      <w:b/>
                      <w:bCs/>
                    </w:rPr>
                  </w:pPr>
                  <w:r>
                    <w:rPr>
                      <w:rFonts w:cs="Times New Roman"/>
                      <w:b/>
                      <w:bCs/>
                    </w:rPr>
                    <w:t>采样</w:t>
                  </w:r>
                </w:p>
                <w:p>
                  <w:pPr>
                    <w:pStyle w:val="110"/>
                    <w:rPr>
                      <w:rFonts w:cs="Times New Roman"/>
                      <w:b/>
                      <w:bCs/>
                    </w:rPr>
                  </w:pPr>
                  <w:r>
                    <w:rPr>
                      <w:rFonts w:cs="Times New Roman"/>
                      <w:b/>
                      <w:bCs/>
                    </w:rPr>
                    <w:t>地点</w:t>
                  </w:r>
                </w:p>
              </w:tc>
              <w:tc>
                <w:tcPr>
                  <w:tcW w:w="455" w:type="pct"/>
                  <w:vMerge w:val="restart"/>
                  <w:tcBorders>
                    <w:top w:val="single" w:color="auto" w:sz="12" w:space="0"/>
                    <w:bottom w:val="single" w:color="auto" w:sz="4" w:space="0"/>
                  </w:tcBorders>
                  <w:vAlign w:val="center"/>
                </w:tcPr>
                <w:p>
                  <w:pPr>
                    <w:pStyle w:val="110"/>
                    <w:rPr>
                      <w:rFonts w:cs="Times New Roman"/>
                      <w:b/>
                      <w:bCs/>
                    </w:rPr>
                  </w:pPr>
                  <w:r>
                    <w:rPr>
                      <w:rFonts w:cs="Times New Roman"/>
                      <w:b/>
                      <w:bCs/>
                    </w:rPr>
                    <w:t>采样</w:t>
                  </w:r>
                </w:p>
                <w:p>
                  <w:pPr>
                    <w:pStyle w:val="110"/>
                    <w:rPr>
                      <w:rFonts w:cs="Times New Roman"/>
                      <w:b/>
                      <w:bCs/>
                    </w:rPr>
                  </w:pPr>
                  <w:r>
                    <w:rPr>
                      <w:rFonts w:cs="Times New Roman"/>
                      <w:b/>
                      <w:bCs/>
                    </w:rPr>
                    <w:t>时间</w:t>
                  </w:r>
                </w:p>
              </w:tc>
              <w:tc>
                <w:tcPr>
                  <w:tcW w:w="1061" w:type="pct"/>
                  <w:vMerge w:val="restart"/>
                  <w:tcBorders>
                    <w:top w:val="single" w:color="auto" w:sz="12" w:space="0"/>
                    <w:bottom w:val="single" w:color="auto" w:sz="4" w:space="0"/>
                  </w:tcBorders>
                  <w:vAlign w:val="center"/>
                </w:tcPr>
                <w:p>
                  <w:pPr>
                    <w:pStyle w:val="110"/>
                    <w:rPr>
                      <w:rFonts w:cs="Times New Roman"/>
                      <w:b/>
                      <w:bCs/>
                    </w:rPr>
                  </w:pPr>
                  <w:r>
                    <w:rPr>
                      <w:rFonts w:cs="Times New Roman"/>
                      <w:b/>
                      <w:bCs/>
                    </w:rPr>
                    <w:t>样品状态</w:t>
                  </w:r>
                </w:p>
              </w:tc>
              <w:tc>
                <w:tcPr>
                  <w:tcW w:w="2494" w:type="pct"/>
                  <w:gridSpan w:val="5"/>
                  <w:tcBorders>
                    <w:top w:val="single" w:color="auto" w:sz="12" w:space="0"/>
                    <w:bottom w:val="single" w:color="auto" w:sz="4" w:space="0"/>
                  </w:tcBorders>
                  <w:vAlign w:val="center"/>
                </w:tcPr>
                <w:p>
                  <w:pPr>
                    <w:pStyle w:val="110"/>
                    <w:rPr>
                      <w:rFonts w:cs="Times New Roman"/>
                      <w:b/>
                      <w:bCs/>
                    </w:rPr>
                  </w:pPr>
                  <w:r>
                    <w:rPr>
                      <w:rFonts w:cs="Times New Roman"/>
                      <w:b/>
                      <w:bCs/>
                    </w:rPr>
                    <w:t>检测项目（mg/L）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88" w:type="pct"/>
                  <w:gridSpan w:val="2"/>
                  <w:vMerge w:val="continue"/>
                  <w:tcBorders>
                    <w:top w:val="single" w:color="auto" w:sz="4" w:space="0"/>
                    <w:bottom w:val="single" w:color="auto" w:sz="12" w:space="0"/>
                  </w:tcBorders>
                  <w:vAlign w:val="center"/>
                </w:tcPr>
                <w:p>
                  <w:pPr>
                    <w:pStyle w:val="110"/>
                    <w:rPr>
                      <w:rFonts w:cs="Times New Roman"/>
                      <w:b/>
                      <w:bCs/>
                    </w:rPr>
                  </w:pPr>
                </w:p>
              </w:tc>
              <w:tc>
                <w:tcPr>
                  <w:tcW w:w="455" w:type="pct"/>
                  <w:vMerge w:val="continue"/>
                  <w:tcBorders>
                    <w:top w:val="single" w:color="auto" w:sz="4" w:space="0"/>
                    <w:bottom w:val="single" w:color="auto" w:sz="12" w:space="0"/>
                  </w:tcBorders>
                  <w:vAlign w:val="center"/>
                </w:tcPr>
                <w:p>
                  <w:pPr>
                    <w:pStyle w:val="110"/>
                    <w:rPr>
                      <w:rFonts w:cs="Times New Roman"/>
                      <w:b/>
                      <w:bCs/>
                    </w:rPr>
                  </w:pPr>
                </w:p>
              </w:tc>
              <w:tc>
                <w:tcPr>
                  <w:tcW w:w="1061" w:type="pct"/>
                  <w:vMerge w:val="continue"/>
                  <w:tcBorders>
                    <w:top w:val="single" w:color="auto" w:sz="4" w:space="0"/>
                    <w:bottom w:val="single" w:color="auto" w:sz="12" w:space="0"/>
                  </w:tcBorders>
                  <w:vAlign w:val="center"/>
                </w:tcPr>
                <w:p>
                  <w:pPr>
                    <w:pStyle w:val="110"/>
                    <w:rPr>
                      <w:rFonts w:cs="Times New Roman"/>
                      <w:b/>
                      <w:bCs/>
                    </w:rPr>
                  </w:pPr>
                </w:p>
              </w:tc>
              <w:tc>
                <w:tcPr>
                  <w:tcW w:w="497" w:type="pct"/>
                  <w:tcBorders>
                    <w:top w:val="single" w:color="auto" w:sz="4" w:space="0"/>
                    <w:bottom w:val="single" w:color="auto" w:sz="12" w:space="0"/>
                  </w:tcBorders>
                  <w:vAlign w:val="center"/>
                </w:tcPr>
                <w:p>
                  <w:pPr>
                    <w:pStyle w:val="110"/>
                    <w:rPr>
                      <w:rFonts w:cs="Times New Roman"/>
                      <w:b/>
                      <w:bCs/>
                    </w:rPr>
                  </w:pPr>
                  <w:r>
                    <w:rPr>
                      <w:rFonts w:cs="Times New Roman"/>
                      <w:b/>
                      <w:bCs/>
                    </w:rPr>
                    <w:t>pH值</w:t>
                  </w:r>
                </w:p>
              </w:tc>
              <w:tc>
                <w:tcPr>
                  <w:tcW w:w="500" w:type="pct"/>
                  <w:tcBorders>
                    <w:top w:val="single" w:color="auto" w:sz="4" w:space="0"/>
                    <w:bottom w:val="single" w:color="auto" w:sz="12" w:space="0"/>
                  </w:tcBorders>
                  <w:vAlign w:val="center"/>
                </w:tcPr>
                <w:p>
                  <w:pPr>
                    <w:pStyle w:val="110"/>
                    <w:rPr>
                      <w:rFonts w:cs="Times New Roman"/>
                      <w:b/>
                      <w:bCs/>
                    </w:rPr>
                  </w:pPr>
                  <w:r>
                    <w:rPr>
                      <w:rFonts w:cs="Times New Roman"/>
                      <w:b/>
                      <w:bCs/>
                    </w:rPr>
                    <w:t>悬浮物</w:t>
                  </w:r>
                </w:p>
              </w:tc>
              <w:tc>
                <w:tcPr>
                  <w:tcW w:w="500" w:type="pct"/>
                  <w:tcBorders>
                    <w:top w:val="single" w:color="auto" w:sz="4" w:space="0"/>
                    <w:bottom w:val="single" w:color="auto" w:sz="12" w:space="0"/>
                  </w:tcBorders>
                  <w:vAlign w:val="center"/>
                </w:tcPr>
                <w:p>
                  <w:pPr>
                    <w:pStyle w:val="110"/>
                    <w:rPr>
                      <w:rFonts w:cs="Times New Roman"/>
                      <w:b/>
                      <w:bCs/>
                    </w:rPr>
                  </w:pPr>
                  <w:r>
                    <w:rPr>
                      <w:rFonts w:cs="Times New Roman"/>
                      <w:b/>
                      <w:bCs/>
                    </w:rPr>
                    <w:t>氨氮</w:t>
                  </w:r>
                </w:p>
              </w:tc>
              <w:tc>
                <w:tcPr>
                  <w:tcW w:w="464" w:type="pct"/>
                  <w:tcBorders>
                    <w:top w:val="single" w:color="auto" w:sz="4" w:space="0"/>
                    <w:bottom w:val="single" w:color="auto" w:sz="12" w:space="0"/>
                  </w:tcBorders>
                  <w:vAlign w:val="center"/>
                </w:tcPr>
                <w:p>
                  <w:pPr>
                    <w:pStyle w:val="110"/>
                    <w:rPr>
                      <w:rFonts w:cs="Times New Roman"/>
                      <w:b/>
                      <w:bCs/>
                    </w:rPr>
                  </w:pPr>
                  <w:r>
                    <w:rPr>
                      <w:rFonts w:cs="Times New Roman"/>
                      <w:b/>
                      <w:bCs/>
                    </w:rPr>
                    <w:t>总磷</w:t>
                  </w:r>
                </w:p>
              </w:tc>
              <w:tc>
                <w:tcPr>
                  <w:tcW w:w="531" w:type="pct"/>
                  <w:tcBorders>
                    <w:top w:val="single" w:color="auto" w:sz="4" w:space="0"/>
                    <w:bottom w:val="single" w:color="auto" w:sz="12" w:space="0"/>
                  </w:tcBorders>
                  <w:vAlign w:val="center"/>
                </w:tcPr>
                <w:p>
                  <w:pPr>
                    <w:pStyle w:val="110"/>
                    <w:rPr>
                      <w:rFonts w:cs="Times New Roman"/>
                      <w:b/>
                      <w:bCs/>
                    </w:rPr>
                  </w:pPr>
                  <w:r>
                    <w:rPr>
                      <w:rFonts w:cs="Times New Roman"/>
                      <w:b/>
                      <w:bCs/>
                    </w:rPr>
                    <w:t>化学需氧量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gridSpan w:val="2"/>
                  <w:vMerge w:val="restart"/>
                  <w:tcBorders>
                    <w:top w:val="single" w:color="auto" w:sz="12" w:space="0"/>
                  </w:tcBorders>
                  <w:vAlign w:val="center"/>
                </w:tcPr>
                <w:p>
                  <w:pPr>
                    <w:pStyle w:val="110"/>
                    <w:rPr>
                      <w:rFonts w:eastAsia="宋体" w:cs="Times New Roman"/>
                      <w:sz w:val="24"/>
                      <w:szCs w:val="24"/>
                    </w:rPr>
                  </w:pPr>
                  <w:r>
                    <w:rPr>
                      <w:rFonts w:cs="Times New Roman"/>
                    </w:rPr>
                    <w:t>污水接管口（2019.07.02）</w:t>
                  </w:r>
                </w:p>
              </w:tc>
              <w:tc>
                <w:tcPr>
                  <w:tcW w:w="455" w:type="pct"/>
                  <w:tcBorders>
                    <w:top w:val="single" w:color="auto" w:sz="12" w:space="0"/>
                  </w:tcBorders>
                  <w:vAlign w:val="center"/>
                </w:tcPr>
                <w:p>
                  <w:pPr>
                    <w:pStyle w:val="110"/>
                    <w:rPr>
                      <w:rFonts w:eastAsia="宋体" w:cs="Times New Roman"/>
                      <w:kern w:val="2"/>
                    </w:rPr>
                  </w:pPr>
                  <w:r>
                    <w:rPr>
                      <w:rFonts w:cs="Times New Roman"/>
                    </w:rPr>
                    <w:t>08:00</w:t>
                  </w:r>
                </w:p>
              </w:tc>
              <w:tc>
                <w:tcPr>
                  <w:tcW w:w="1061" w:type="pct"/>
                  <w:tcBorders>
                    <w:top w:val="single" w:color="auto" w:sz="12" w:space="0"/>
                  </w:tcBorders>
                  <w:vAlign w:val="center"/>
                </w:tcPr>
                <w:p>
                  <w:pPr>
                    <w:pStyle w:val="110"/>
                    <w:rPr>
                      <w:rFonts w:eastAsia="宋体" w:cs="Times New Roman"/>
                      <w:kern w:val="2"/>
                      <w:szCs w:val="24"/>
                    </w:rPr>
                  </w:pPr>
                  <w:r>
                    <w:rPr>
                      <w:rFonts w:cs="Times New Roman"/>
                    </w:rPr>
                    <w:t>微黄微浊无浮油</w:t>
                  </w:r>
                </w:p>
              </w:tc>
              <w:tc>
                <w:tcPr>
                  <w:tcW w:w="497" w:type="pct"/>
                  <w:tcBorders>
                    <w:top w:val="single" w:color="auto" w:sz="12" w:space="0"/>
                  </w:tcBorders>
                  <w:vAlign w:val="center"/>
                </w:tcPr>
                <w:p>
                  <w:pPr>
                    <w:pStyle w:val="110"/>
                    <w:rPr>
                      <w:rFonts w:eastAsia="宋体" w:cs="Times New Roman"/>
                      <w:kern w:val="2"/>
                    </w:rPr>
                  </w:pPr>
                  <w:r>
                    <w:rPr>
                      <w:rFonts w:cs="Times New Roman"/>
                    </w:rPr>
                    <w:t>8.43</w:t>
                  </w:r>
                </w:p>
              </w:tc>
              <w:tc>
                <w:tcPr>
                  <w:tcW w:w="500" w:type="pct"/>
                  <w:tcBorders>
                    <w:top w:val="single" w:color="auto" w:sz="12" w:space="0"/>
                  </w:tcBorders>
                  <w:vAlign w:val="center"/>
                </w:tcPr>
                <w:p>
                  <w:pPr>
                    <w:pStyle w:val="110"/>
                    <w:rPr>
                      <w:rFonts w:cs="Times New Roman"/>
                    </w:rPr>
                  </w:pPr>
                  <w:r>
                    <w:rPr>
                      <w:rFonts w:cs="Times New Roman"/>
                    </w:rPr>
                    <w:t>42</w:t>
                  </w:r>
                </w:p>
              </w:tc>
              <w:tc>
                <w:tcPr>
                  <w:tcW w:w="500" w:type="pct"/>
                  <w:tcBorders>
                    <w:top w:val="single" w:color="auto" w:sz="12" w:space="0"/>
                  </w:tcBorders>
                  <w:vAlign w:val="center"/>
                </w:tcPr>
                <w:p>
                  <w:pPr>
                    <w:pStyle w:val="110"/>
                    <w:rPr>
                      <w:rFonts w:cs="Times New Roman"/>
                    </w:rPr>
                  </w:pPr>
                  <w:r>
                    <w:rPr>
                      <w:rFonts w:cs="Times New Roman"/>
                    </w:rPr>
                    <w:t>5.48</w:t>
                  </w:r>
                </w:p>
              </w:tc>
              <w:tc>
                <w:tcPr>
                  <w:tcW w:w="464" w:type="pct"/>
                  <w:tcBorders>
                    <w:top w:val="single" w:color="auto" w:sz="12" w:space="0"/>
                  </w:tcBorders>
                  <w:vAlign w:val="center"/>
                </w:tcPr>
                <w:p>
                  <w:pPr>
                    <w:pStyle w:val="110"/>
                    <w:rPr>
                      <w:rFonts w:cs="Times New Roman"/>
                    </w:rPr>
                  </w:pPr>
                  <w:r>
                    <w:rPr>
                      <w:rFonts w:cs="Times New Roman"/>
                    </w:rPr>
                    <w:t>0.96</w:t>
                  </w:r>
                </w:p>
              </w:tc>
              <w:tc>
                <w:tcPr>
                  <w:tcW w:w="531" w:type="pct"/>
                  <w:tcBorders>
                    <w:top w:val="single" w:color="auto" w:sz="12" w:space="0"/>
                  </w:tcBorders>
                  <w:vAlign w:val="center"/>
                </w:tcPr>
                <w:p>
                  <w:pPr>
                    <w:pStyle w:val="110"/>
                    <w:rPr>
                      <w:rFonts w:cs="Times New Roman"/>
                    </w:rPr>
                  </w:pPr>
                  <w:r>
                    <w:rPr>
                      <w:rFonts w:cs="Times New Roman"/>
                    </w:rPr>
                    <w:t>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gridSpan w:val="2"/>
                  <w:vMerge w:val="continue"/>
                  <w:vAlign w:val="center"/>
                </w:tcPr>
                <w:p>
                  <w:pPr>
                    <w:pStyle w:val="110"/>
                    <w:rPr>
                      <w:rFonts w:cs="Times New Roman"/>
                      <w:highlight w:val="yellow"/>
                    </w:rPr>
                  </w:pPr>
                </w:p>
              </w:tc>
              <w:tc>
                <w:tcPr>
                  <w:tcW w:w="455" w:type="pct"/>
                  <w:vAlign w:val="center"/>
                </w:tcPr>
                <w:p>
                  <w:pPr>
                    <w:pStyle w:val="110"/>
                    <w:rPr>
                      <w:rFonts w:cs="Times New Roman"/>
                    </w:rPr>
                  </w:pPr>
                  <w:r>
                    <w:rPr>
                      <w:rFonts w:cs="Times New Roman"/>
                    </w:rPr>
                    <w:t>09:02</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8.37</w:t>
                  </w:r>
                </w:p>
              </w:tc>
              <w:tc>
                <w:tcPr>
                  <w:tcW w:w="500" w:type="pct"/>
                  <w:vAlign w:val="center"/>
                </w:tcPr>
                <w:p>
                  <w:pPr>
                    <w:pStyle w:val="110"/>
                    <w:rPr>
                      <w:rFonts w:cs="Times New Roman"/>
                    </w:rPr>
                  </w:pPr>
                  <w:r>
                    <w:rPr>
                      <w:rFonts w:cs="Times New Roman"/>
                    </w:rPr>
                    <w:t>44</w:t>
                  </w:r>
                </w:p>
              </w:tc>
              <w:tc>
                <w:tcPr>
                  <w:tcW w:w="500" w:type="pct"/>
                  <w:vAlign w:val="center"/>
                </w:tcPr>
                <w:p>
                  <w:pPr>
                    <w:pStyle w:val="110"/>
                    <w:rPr>
                      <w:rFonts w:cs="Times New Roman"/>
                    </w:rPr>
                  </w:pPr>
                  <w:r>
                    <w:rPr>
                      <w:rFonts w:cs="Times New Roman"/>
                    </w:rPr>
                    <w:t>9.61</w:t>
                  </w:r>
                </w:p>
              </w:tc>
              <w:tc>
                <w:tcPr>
                  <w:tcW w:w="464" w:type="pct"/>
                  <w:vAlign w:val="center"/>
                </w:tcPr>
                <w:p>
                  <w:pPr>
                    <w:pStyle w:val="110"/>
                    <w:rPr>
                      <w:rFonts w:cs="Times New Roman"/>
                    </w:rPr>
                  </w:pPr>
                  <w:r>
                    <w:rPr>
                      <w:rFonts w:cs="Times New Roman"/>
                    </w:rPr>
                    <w:t>1.28</w:t>
                  </w:r>
                </w:p>
              </w:tc>
              <w:tc>
                <w:tcPr>
                  <w:tcW w:w="531" w:type="pct"/>
                  <w:vAlign w:val="center"/>
                </w:tcPr>
                <w:p>
                  <w:pPr>
                    <w:pStyle w:val="110"/>
                    <w:rPr>
                      <w:rFonts w:cs="Times New Roman"/>
                    </w:rPr>
                  </w:pPr>
                  <w:r>
                    <w:rPr>
                      <w:rFonts w:cs="Times New Roman"/>
                    </w:rPr>
                    <w:t>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gridSpan w:val="2"/>
                  <w:vMerge w:val="continue"/>
                  <w:vAlign w:val="center"/>
                </w:tcPr>
                <w:p>
                  <w:pPr>
                    <w:pStyle w:val="110"/>
                    <w:rPr>
                      <w:rFonts w:cs="Times New Roman"/>
                      <w:highlight w:val="yellow"/>
                    </w:rPr>
                  </w:pPr>
                </w:p>
              </w:tc>
              <w:tc>
                <w:tcPr>
                  <w:tcW w:w="455" w:type="pct"/>
                  <w:vAlign w:val="center"/>
                </w:tcPr>
                <w:p>
                  <w:pPr>
                    <w:pStyle w:val="110"/>
                    <w:rPr>
                      <w:rFonts w:cs="Times New Roman"/>
                    </w:rPr>
                  </w:pPr>
                  <w:r>
                    <w:rPr>
                      <w:rFonts w:cs="Times New Roman"/>
                    </w:rPr>
                    <w:t>10:04</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8.29</w:t>
                  </w:r>
                </w:p>
              </w:tc>
              <w:tc>
                <w:tcPr>
                  <w:tcW w:w="500" w:type="pct"/>
                  <w:vAlign w:val="center"/>
                </w:tcPr>
                <w:p>
                  <w:pPr>
                    <w:pStyle w:val="110"/>
                    <w:rPr>
                      <w:rFonts w:cs="Times New Roman"/>
                    </w:rPr>
                  </w:pPr>
                  <w:r>
                    <w:rPr>
                      <w:rFonts w:cs="Times New Roman"/>
                    </w:rPr>
                    <w:t>34</w:t>
                  </w:r>
                </w:p>
              </w:tc>
              <w:tc>
                <w:tcPr>
                  <w:tcW w:w="500" w:type="pct"/>
                  <w:vAlign w:val="center"/>
                </w:tcPr>
                <w:p>
                  <w:pPr>
                    <w:pStyle w:val="110"/>
                    <w:rPr>
                      <w:rFonts w:cs="Times New Roman"/>
                    </w:rPr>
                  </w:pPr>
                  <w:r>
                    <w:rPr>
                      <w:rFonts w:cs="Times New Roman"/>
                    </w:rPr>
                    <w:t>8.32</w:t>
                  </w:r>
                </w:p>
              </w:tc>
              <w:tc>
                <w:tcPr>
                  <w:tcW w:w="464" w:type="pct"/>
                  <w:vAlign w:val="center"/>
                </w:tcPr>
                <w:p>
                  <w:pPr>
                    <w:pStyle w:val="110"/>
                    <w:rPr>
                      <w:rFonts w:cs="Times New Roman"/>
                    </w:rPr>
                  </w:pPr>
                  <w:r>
                    <w:rPr>
                      <w:rFonts w:cs="Times New Roman"/>
                    </w:rPr>
                    <w:t>2.51</w:t>
                  </w:r>
                </w:p>
              </w:tc>
              <w:tc>
                <w:tcPr>
                  <w:tcW w:w="531" w:type="pct"/>
                  <w:vAlign w:val="center"/>
                </w:tcPr>
                <w:p>
                  <w:pPr>
                    <w:pStyle w:val="110"/>
                    <w:rPr>
                      <w:rFonts w:cs="Times New Roman"/>
                    </w:rPr>
                  </w:pPr>
                  <w:r>
                    <w:rPr>
                      <w:rFonts w:cs="Times New Roma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gridSpan w:val="2"/>
                  <w:vMerge w:val="continue"/>
                  <w:vAlign w:val="center"/>
                </w:tcPr>
                <w:p>
                  <w:pPr>
                    <w:widowControl/>
                    <w:autoSpaceDE w:val="0"/>
                    <w:autoSpaceDN w:val="0"/>
                    <w:adjustRightInd w:val="0"/>
                    <w:snapToGrid w:val="0"/>
                    <w:ind w:firstLine="560"/>
                    <w:jc w:val="center"/>
                    <w:rPr>
                      <w:rFonts w:cs="Times New Roman"/>
                      <w:szCs w:val="21"/>
                      <w:highlight w:val="yellow"/>
                    </w:rPr>
                  </w:pPr>
                </w:p>
              </w:tc>
              <w:tc>
                <w:tcPr>
                  <w:tcW w:w="455" w:type="pct"/>
                  <w:vAlign w:val="center"/>
                </w:tcPr>
                <w:p>
                  <w:pPr>
                    <w:pStyle w:val="110"/>
                    <w:rPr>
                      <w:rFonts w:cs="Times New Roman"/>
                    </w:rPr>
                  </w:pPr>
                  <w:r>
                    <w:rPr>
                      <w:rFonts w:cs="Times New Roman"/>
                    </w:rPr>
                    <w:t>11:06</w:t>
                  </w:r>
                </w:p>
              </w:tc>
              <w:tc>
                <w:tcPr>
                  <w:tcW w:w="1061" w:type="pct"/>
                  <w:vAlign w:val="center"/>
                </w:tcPr>
                <w:p>
                  <w:pPr>
                    <w:pStyle w:val="110"/>
                    <w:rPr>
                      <w:rFonts w:cs="Times New Roman"/>
                    </w:rPr>
                  </w:pPr>
                  <w:r>
                    <w:rPr>
                      <w:rFonts w:cs="Times New Roman"/>
                    </w:rPr>
                    <w:t>微黄微浊无浮油</w:t>
                  </w:r>
                </w:p>
              </w:tc>
              <w:tc>
                <w:tcPr>
                  <w:tcW w:w="497" w:type="pct"/>
                  <w:vAlign w:val="center"/>
                </w:tcPr>
                <w:p>
                  <w:pPr>
                    <w:pStyle w:val="110"/>
                    <w:rPr>
                      <w:rFonts w:cs="Times New Roman"/>
                    </w:rPr>
                  </w:pPr>
                  <w:r>
                    <w:rPr>
                      <w:rFonts w:cs="Times New Roman"/>
                    </w:rPr>
                    <w:t>8.22</w:t>
                  </w:r>
                </w:p>
              </w:tc>
              <w:tc>
                <w:tcPr>
                  <w:tcW w:w="500" w:type="pct"/>
                  <w:vAlign w:val="center"/>
                </w:tcPr>
                <w:p>
                  <w:pPr>
                    <w:pStyle w:val="110"/>
                    <w:rPr>
                      <w:rFonts w:cs="Times New Roman"/>
                    </w:rPr>
                  </w:pPr>
                  <w:r>
                    <w:rPr>
                      <w:rFonts w:cs="Times New Roman"/>
                    </w:rPr>
                    <w:t>169</w:t>
                  </w:r>
                </w:p>
              </w:tc>
              <w:tc>
                <w:tcPr>
                  <w:tcW w:w="500" w:type="pct"/>
                  <w:vAlign w:val="center"/>
                </w:tcPr>
                <w:p>
                  <w:pPr>
                    <w:pStyle w:val="110"/>
                    <w:rPr>
                      <w:rFonts w:cs="Times New Roman"/>
                    </w:rPr>
                  </w:pPr>
                  <w:r>
                    <w:rPr>
                      <w:rFonts w:cs="Times New Roman"/>
                    </w:rPr>
                    <w:t>4.79</w:t>
                  </w:r>
                </w:p>
              </w:tc>
              <w:tc>
                <w:tcPr>
                  <w:tcW w:w="464" w:type="pct"/>
                  <w:vAlign w:val="center"/>
                </w:tcPr>
                <w:p>
                  <w:pPr>
                    <w:pStyle w:val="110"/>
                    <w:rPr>
                      <w:rFonts w:cs="Times New Roman"/>
                    </w:rPr>
                  </w:pPr>
                  <w:r>
                    <w:rPr>
                      <w:rFonts w:cs="Times New Roman"/>
                    </w:rPr>
                    <w:t>2.52</w:t>
                  </w:r>
                </w:p>
              </w:tc>
              <w:tc>
                <w:tcPr>
                  <w:tcW w:w="531" w:type="pct"/>
                  <w:vAlign w:val="center"/>
                </w:tcPr>
                <w:p>
                  <w:pPr>
                    <w:pStyle w:val="110"/>
                    <w:rPr>
                      <w:rFonts w:cs="Times New Roman"/>
                    </w:rPr>
                  </w:pPr>
                  <w:r>
                    <w:rPr>
                      <w:rFonts w:cs="Times New Roman"/>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vAlign w:val="center"/>
                </w:tcPr>
                <w:p>
                  <w:pPr>
                    <w:pStyle w:val="110"/>
                    <w:rPr>
                      <w:rFonts w:cs="Times New Roman"/>
                    </w:rPr>
                  </w:pPr>
                  <w:r>
                    <w:rPr>
                      <w:rFonts w:cs="Times New Roman"/>
                    </w:rPr>
                    <w:t>平均值</w:t>
                  </w:r>
                </w:p>
              </w:tc>
              <w:tc>
                <w:tcPr>
                  <w:tcW w:w="497" w:type="pct"/>
                  <w:vAlign w:val="center"/>
                </w:tcPr>
                <w:p>
                  <w:pPr>
                    <w:pStyle w:val="110"/>
                    <w:rPr>
                      <w:rFonts w:eastAsia="宋体" w:cs="Times New Roman"/>
                      <w:kern w:val="2"/>
                    </w:rPr>
                  </w:pPr>
                  <w:r>
                    <w:rPr>
                      <w:rFonts w:cs="Times New Roman"/>
                    </w:rPr>
                    <w:t>/</w:t>
                  </w:r>
                </w:p>
              </w:tc>
              <w:tc>
                <w:tcPr>
                  <w:tcW w:w="500" w:type="pct"/>
                  <w:vAlign w:val="center"/>
                </w:tcPr>
                <w:p>
                  <w:pPr>
                    <w:pStyle w:val="110"/>
                    <w:rPr>
                      <w:rFonts w:cs="Times New Roman"/>
                    </w:rPr>
                  </w:pPr>
                  <w:r>
                    <w:rPr>
                      <w:rFonts w:cs="Times New Roman"/>
                    </w:rPr>
                    <w:t>72</w:t>
                  </w:r>
                </w:p>
              </w:tc>
              <w:tc>
                <w:tcPr>
                  <w:tcW w:w="500" w:type="pct"/>
                  <w:vAlign w:val="center"/>
                </w:tcPr>
                <w:p>
                  <w:pPr>
                    <w:pStyle w:val="110"/>
                    <w:rPr>
                      <w:rFonts w:cs="Times New Roman"/>
                    </w:rPr>
                  </w:pPr>
                  <w:r>
                    <w:rPr>
                      <w:rFonts w:cs="Times New Roman"/>
                    </w:rPr>
                    <w:t>7.05</w:t>
                  </w:r>
                </w:p>
              </w:tc>
              <w:tc>
                <w:tcPr>
                  <w:tcW w:w="464" w:type="pct"/>
                  <w:vAlign w:val="center"/>
                </w:tcPr>
                <w:p>
                  <w:pPr>
                    <w:pStyle w:val="110"/>
                    <w:rPr>
                      <w:rFonts w:cs="Times New Roman"/>
                    </w:rPr>
                  </w:pPr>
                  <w:r>
                    <w:rPr>
                      <w:rFonts w:cs="Times New Roman"/>
                    </w:rPr>
                    <w:t>1.82</w:t>
                  </w:r>
                </w:p>
              </w:tc>
              <w:tc>
                <w:tcPr>
                  <w:tcW w:w="531" w:type="pct"/>
                  <w:vAlign w:val="center"/>
                </w:tcPr>
                <w:p>
                  <w:pPr>
                    <w:pStyle w:val="110"/>
                    <w:rPr>
                      <w:rFonts w:cs="Times New Roman"/>
                    </w:rPr>
                  </w:pPr>
                  <w:r>
                    <w:rPr>
                      <w:rFonts w:cs="Times New Roman"/>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vAlign w:val="center"/>
                </w:tcPr>
                <w:p>
                  <w:pPr>
                    <w:pStyle w:val="110"/>
                    <w:rPr>
                      <w:rFonts w:cs="Times New Roman"/>
                    </w:rPr>
                  </w:pPr>
                  <w:r>
                    <w:rPr>
                      <w:rFonts w:cs="Times New Roman"/>
                    </w:rPr>
                    <w:t>最高允许排放浓度/限值</w:t>
                  </w:r>
                </w:p>
              </w:tc>
              <w:tc>
                <w:tcPr>
                  <w:tcW w:w="497" w:type="pct"/>
                  <w:vAlign w:val="center"/>
                </w:tcPr>
                <w:p>
                  <w:pPr>
                    <w:pStyle w:val="110"/>
                    <w:rPr>
                      <w:rFonts w:cs="Times New Roman"/>
                    </w:rPr>
                  </w:pPr>
                  <w:r>
                    <w:rPr>
                      <w:rFonts w:cs="Times New Roman"/>
                    </w:rPr>
                    <w:t>6～9</w:t>
                  </w:r>
                </w:p>
              </w:tc>
              <w:tc>
                <w:tcPr>
                  <w:tcW w:w="500" w:type="pct"/>
                  <w:vAlign w:val="center"/>
                </w:tcPr>
                <w:p>
                  <w:pPr>
                    <w:pStyle w:val="110"/>
                    <w:rPr>
                      <w:rFonts w:cs="Times New Roman"/>
                    </w:rPr>
                  </w:pPr>
                  <w:r>
                    <w:rPr>
                      <w:rFonts w:cs="Times New Roman"/>
                    </w:rPr>
                    <w:t>400</w:t>
                  </w:r>
                </w:p>
              </w:tc>
              <w:tc>
                <w:tcPr>
                  <w:tcW w:w="500" w:type="pct"/>
                  <w:vAlign w:val="center"/>
                </w:tcPr>
                <w:p>
                  <w:pPr>
                    <w:pStyle w:val="110"/>
                    <w:rPr>
                      <w:rFonts w:cs="Times New Roman"/>
                    </w:rPr>
                  </w:pPr>
                  <w:r>
                    <w:rPr>
                      <w:rFonts w:cs="Times New Roman"/>
                    </w:rPr>
                    <w:t>45</w:t>
                  </w:r>
                </w:p>
              </w:tc>
              <w:tc>
                <w:tcPr>
                  <w:tcW w:w="464" w:type="pct"/>
                  <w:vAlign w:val="center"/>
                </w:tcPr>
                <w:p>
                  <w:pPr>
                    <w:pStyle w:val="110"/>
                    <w:rPr>
                      <w:rFonts w:cs="Times New Roman"/>
                    </w:rPr>
                  </w:pPr>
                  <w:r>
                    <w:rPr>
                      <w:rFonts w:cs="Times New Roman"/>
                    </w:rPr>
                    <w:t>8</w:t>
                  </w:r>
                </w:p>
              </w:tc>
              <w:tc>
                <w:tcPr>
                  <w:tcW w:w="531" w:type="pct"/>
                  <w:vAlign w:val="center"/>
                </w:tcPr>
                <w:p>
                  <w:pPr>
                    <w:pStyle w:val="110"/>
                    <w:rPr>
                      <w:rFonts w:cs="Times New Roman"/>
                    </w:rPr>
                  </w:pPr>
                  <w:r>
                    <w:rPr>
                      <w:rFonts w:cs="Times New Roma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5" w:type="pct"/>
                  <w:gridSpan w:val="4"/>
                  <w:vAlign w:val="center"/>
                </w:tcPr>
                <w:p>
                  <w:pPr>
                    <w:pStyle w:val="110"/>
                    <w:rPr>
                      <w:rFonts w:cs="Times New Roman"/>
                    </w:rPr>
                  </w:pPr>
                  <w:r>
                    <w:rPr>
                      <w:rFonts w:cs="Times New Roman"/>
                    </w:rPr>
                    <w:t>评价</w:t>
                  </w:r>
                </w:p>
              </w:tc>
              <w:tc>
                <w:tcPr>
                  <w:tcW w:w="497" w:type="pct"/>
                  <w:vAlign w:val="center"/>
                </w:tcPr>
                <w:p>
                  <w:pPr>
                    <w:pStyle w:val="110"/>
                    <w:rPr>
                      <w:rFonts w:cs="Times New Roman"/>
                    </w:rPr>
                  </w:pPr>
                  <w:r>
                    <w:rPr>
                      <w:rFonts w:cs="Times New Roman"/>
                    </w:rPr>
                    <w:t>达标</w:t>
                  </w:r>
                </w:p>
              </w:tc>
              <w:tc>
                <w:tcPr>
                  <w:tcW w:w="500" w:type="pct"/>
                  <w:vAlign w:val="center"/>
                </w:tcPr>
                <w:p>
                  <w:pPr>
                    <w:pStyle w:val="110"/>
                    <w:rPr>
                      <w:rFonts w:cs="Times New Roman"/>
                    </w:rPr>
                  </w:pPr>
                  <w:r>
                    <w:rPr>
                      <w:rFonts w:cs="Times New Roman"/>
                    </w:rPr>
                    <w:t>达标</w:t>
                  </w:r>
                </w:p>
              </w:tc>
              <w:tc>
                <w:tcPr>
                  <w:tcW w:w="500" w:type="pct"/>
                  <w:vAlign w:val="center"/>
                </w:tcPr>
                <w:p>
                  <w:pPr>
                    <w:pStyle w:val="110"/>
                    <w:rPr>
                      <w:rFonts w:cs="Times New Roman"/>
                    </w:rPr>
                  </w:pPr>
                  <w:r>
                    <w:rPr>
                      <w:rFonts w:cs="Times New Roman"/>
                    </w:rPr>
                    <w:t>达标</w:t>
                  </w:r>
                </w:p>
              </w:tc>
              <w:tc>
                <w:tcPr>
                  <w:tcW w:w="464" w:type="pct"/>
                  <w:vAlign w:val="center"/>
                </w:tcPr>
                <w:p>
                  <w:pPr>
                    <w:pStyle w:val="110"/>
                    <w:rPr>
                      <w:rFonts w:cs="Times New Roman"/>
                    </w:rPr>
                  </w:pPr>
                  <w:r>
                    <w:rPr>
                      <w:rFonts w:cs="Times New Roman"/>
                    </w:rPr>
                    <w:t>达标</w:t>
                  </w:r>
                </w:p>
              </w:tc>
              <w:tc>
                <w:tcPr>
                  <w:tcW w:w="531" w:type="pct"/>
                  <w:vAlign w:val="center"/>
                </w:tcPr>
                <w:p>
                  <w:pPr>
                    <w:pStyle w:val="110"/>
                    <w:rPr>
                      <w:rFonts w:cs="Times New Roman"/>
                    </w:rPr>
                  </w:pPr>
                  <w:r>
                    <w:rPr>
                      <w:rFonts w:cs="Times New Roma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62" w:type="pct"/>
                  <w:vAlign w:val="center"/>
                </w:tcPr>
                <w:p>
                  <w:pPr>
                    <w:pStyle w:val="110"/>
                    <w:rPr>
                      <w:rFonts w:cs="Times New Roman"/>
                    </w:rPr>
                  </w:pPr>
                  <w:r>
                    <w:rPr>
                      <w:rFonts w:cs="Times New Roman"/>
                    </w:rPr>
                    <w:t>备 注</w:t>
                  </w:r>
                </w:p>
              </w:tc>
              <w:tc>
                <w:tcPr>
                  <w:tcW w:w="4437" w:type="pct"/>
                  <w:gridSpan w:val="8"/>
                  <w:vAlign w:val="center"/>
                </w:tcPr>
                <w:p>
                  <w:pPr>
                    <w:pStyle w:val="110"/>
                    <w:jc w:val="left"/>
                    <w:rPr>
                      <w:rFonts w:cs="Times New Roman"/>
                    </w:rPr>
                  </w:pPr>
                  <w:r>
                    <w:rPr>
                      <w:rFonts w:cs="Times New Roman"/>
                    </w:rPr>
                    <w:t>1.pH值为无量纲；</w:t>
                  </w:r>
                </w:p>
                <w:p>
                  <w:pPr>
                    <w:pStyle w:val="110"/>
                    <w:jc w:val="left"/>
                    <w:rPr>
                      <w:rFonts w:cs="Times New Roman"/>
                    </w:rPr>
                  </w:pPr>
                  <w:r>
                    <w:rPr>
                      <w:rFonts w:cs="Times New Roman"/>
                    </w:rPr>
                    <w:t>2.pH值、悬浮物、化学需氧量参照标准《污水综合排放标准》（GB8978-1996）表4三级标准；氨氮、总磷参照标准《污水排入城镇下水道水质标准》GB/T 31962-2015表1 B级标准限值要求。</w:t>
                  </w:r>
                </w:p>
              </w:tc>
            </w:tr>
          </w:tbl>
          <w:p>
            <w:pPr>
              <w:rPr>
                <w:rFonts w:hint="eastAsia"/>
                <w:lang w:eastAsia="zh-CN"/>
              </w:rPr>
            </w:pPr>
            <w:r>
              <w:rPr>
                <w:rFonts w:hint="eastAsia"/>
                <w:lang w:val="en-US" w:eastAsia="zh-CN"/>
              </w:rPr>
              <w:t>3）</w:t>
            </w:r>
            <w:r>
              <w:rPr>
                <w:rFonts w:hint="eastAsia"/>
                <w:lang w:eastAsia="zh-CN"/>
              </w:rPr>
              <w:t>噪声</w:t>
            </w:r>
          </w:p>
          <w:p>
            <w:pPr>
              <w:ind w:firstLine="480" w:firstLineChars="200"/>
              <w:rPr>
                <w:rFonts w:hint="eastAsia"/>
                <w:lang w:eastAsia="zh-CN"/>
              </w:rPr>
            </w:pPr>
            <w:r>
              <w:rPr>
                <w:rFonts w:hint="eastAsia"/>
                <w:lang w:eastAsia="zh-CN"/>
              </w:rPr>
              <w:t>项目生产环节主要为挤出成型机和空压机及冷却塔、风机在连续过程中产生噪声，源强约为60~85dB（A），冷却塔设置隔声板进行隔声，空压机设置专门房间进行隔声和消声处理，最终经设备减振、厂房隔声、距离衰减等，厂界噪声可以达到《工业企业厂界环境噪声排放标准》（GB12348-2008）表1中的3类标准。</w:t>
            </w:r>
          </w:p>
          <w:p>
            <w:pPr>
              <w:rPr>
                <w:rFonts w:hint="eastAsia"/>
                <w:lang w:eastAsia="zh-CN"/>
              </w:rPr>
            </w:pPr>
            <w:r>
              <w:rPr>
                <w:rFonts w:hint="eastAsia"/>
                <w:lang w:val="en-US" w:eastAsia="zh-CN"/>
              </w:rPr>
              <w:t>4）</w:t>
            </w:r>
            <w:r>
              <w:rPr>
                <w:rFonts w:hint="eastAsia"/>
                <w:lang w:eastAsia="zh-CN"/>
              </w:rPr>
              <w:t>固废</w:t>
            </w:r>
          </w:p>
          <w:p>
            <w:pPr>
              <w:pStyle w:val="2"/>
              <w:ind w:firstLine="480" w:firstLineChars="200"/>
              <w:rPr>
                <w:rFonts w:hint="eastAsia"/>
                <w:lang w:eastAsia="zh-CN"/>
              </w:rPr>
            </w:pPr>
            <w:r>
              <w:rPr>
                <w:rFonts w:hint="eastAsia"/>
                <w:lang w:eastAsia="zh-CN"/>
              </w:rPr>
              <w:t>本项目产生的固废有不合格产品、废包装物、饱和失效活性炭、生活垃圾。其中成型后检验环节产生不合格产品、废包装物，回收或外卖；饱和失效活性炭收集后委托给有资质单位处理；生活垃圾均由新区环卫部门统一收集处理。</w:t>
            </w:r>
          </w:p>
          <w:p>
            <w:pPr>
              <w:pStyle w:val="2"/>
              <w:numPr>
                <w:ilvl w:val="0"/>
                <w:numId w:val="0"/>
              </w:numPr>
              <w:rPr>
                <w:rFonts w:hint="eastAsia" w:ascii="Times New Roman" w:hAnsi="Times New Roman" w:cs="Times New Roman"/>
                <w:b/>
                <w:bCs/>
                <w:color w:val="000000"/>
                <w:lang w:val="en-US" w:eastAsia="zh-CN"/>
              </w:rPr>
            </w:pPr>
            <w:r>
              <w:rPr>
                <w:rFonts w:hint="eastAsia" w:cs="Times New Roman"/>
                <w:b/>
                <w:bCs/>
                <w:color w:val="000000"/>
                <w:lang w:val="en-US" w:eastAsia="zh-CN"/>
              </w:rPr>
              <w:t>4、</w:t>
            </w:r>
            <w:r>
              <w:rPr>
                <w:rFonts w:hint="eastAsia" w:ascii="Times New Roman" w:hAnsi="Times New Roman" w:cs="Times New Roman"/>
                <w:b/>
                <w:bCs/>
                <w:color w:val="000000"/>
                <w:lang w:val="en-US" w:eastAsia="zh-CN"/>
              </w:rPr>
              <w:t>现有项目污染物排放一览表</w:t>
            </w:r>
          </w:p>
          <w:p>
            <w:pPr>
              <w:ind w:right="120" w:rightChars="50"/>
              <w:jc w:val="center"/>
              <w:rPr>
                <w:b/>
                <w:szCs w:val="21"/>
              </w:rPr>
            </w:pPr>
            <w:r>
              <w:rPr>
                <w:rFonts w:hAnsi="宋体"/>
                <w:b/>
                <w:sz w:val="22"/>
                <w:szCs w:val="20"/>
              </w:rPr>
              <w:t>表</w:t>
            </w:r>
            <w:r>
              <w:rPr>
                <w:b/>
                <w:szCs w:val="21"/>
              </w:rPr>
              <w:t>1-</w:t>
            </w:r>
            <w:r>
              <w:rPr>
                <w:rFonts w:hint="eastAsia"/>
                <w:b/>
                <w:szCs w:val="21"/>
                <w:lang w:val="en-US" w:eastAsia="zh-CN"/>
              </w:rPr>
              <w:t>15</w:t>
            </w:r>
            <w:r>
              <w:rPr>
                <w:rFonts w:hAnsi="宋体"/>
                <w:b/>
                <w:szCs w:val="21"/>
              </w:rPr>
              <w:t>现有项目污染物</w:t>
            </w:r>
            <w:r>
              <w:rPr>
                <w:b/>
                <w:szCs w:val="21"/>
              </w:rPr>
              <w:t>“</w:t>
            </w:r>
            <w:r>
              <w:rPr>
                <w:rFonts w:hAnsi="宋体"/>
                <w:b/>
                <w:szCs w:val="21"/>
              </w:rPr>
              <w:t>三本帐</w:t>
            </w:r>
            <w:r>
              <w:rPr>
                <w:b/>
                <w:szCs w:val="21"/>
              </w:rPr>
              <w:t>”t/a</w:t>
            </w:r>
          </w:p>
          <w:tbl>
            <w:tblPr>
              <w:tblStyle w:val="26"/>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05"/>
              <w:gridCol w:w="1080"/>
              <w:gridCol w:w="1380"/>
              <w:gridCol w:w="2049"/>
              <w:gridCol w:w="2049"/>
              <w:gridCol w:w="2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tcBorders>
                    <w:bottom w:val="single" w:color="auto" w:sz="12" w:space="0"/>
                  </w:tcBorders>
                  <w:noWrap w:val="0"/>
                  <w:vAlign w:val="center"/>
                </w:tcPr>
                <w:p>
                  <w:pPr>
                    <w:adjustRightInd w:val="0"/>
                    <w:snapToGrid w:val="0"/>
                    <w:spacing w:line="240" w:lineRule="auto"/>
                    <w:jc w:val="center"/>
                    <w:rPr>
                      <w:b/>
                      <w:bCs/>
                      <w:color w:val="000000"/>
                      <w:sz w:val="21"/>
                      <w:szCs w:val="21"/>
                    </w:rPr>
                  </w:pPr>
                  <w:r>
                    <w:rPr>
                      <w:rFonts w:hAnsi="宋体"/>
                      <w:b/>
                      <w:color w:val="000000"/>
                      <w:sz w:val="21"/>
                      <w:szCs w:val="21"/>
                    </w:rPr>
                    <w:t>种类</w:t>
                  </w:r>
                </w:p>
              </w:tc>
              <w:tc>
                <w:tcPr>
                  <w:tcW w:w="1305" w:type="pct"/>
                  <w:gridSpan w:val="2"/>
                  <w:tcBorders>
                    <w:bottom w:val="single" w:color="auto" w:sz="12" w:space="0"/>
                  </w:tcBorders>
                  <w:noWrap w:val="0"/>
                  <w:vAlign w:val="center"/>
                </w:tcPr>
                <w:p>
                  <w:pPr>
                    <w:adjustRightInd w:val="0"/>
                    <w:snapToGrid w:val="0"/>
                    <w:spacing w:line="240" w:lineRule="auto"/>
                    <w:jc w:val="center"/>
                    <w:rPr>
                      <w:b/>
                      <w:bCs/>
                      <w:color w:val="000000"/>
                      <w:sz w:val="21"/>
                      <w:szCs w:val="21"/>
                    </w:rPr>
                  </w:pPr>
                  <w:r>
                    <w:rPr>
                      <w:b/>
                      <w:bCs/>
                      <w:color w:val="000000"/>
                      <w:sz w:val="21"/>
                      <w:szCs w:val="21"/>
                    </w:rPr>
                    <w:t>污染物</w:t>
                  </w:r>
                </w:p>
              </w:tc>
              <w:tc>
                <w:tcPr>
                  <w:tcW w:w="1087" w:type="pct"/>
                  <w:tcBorders>
                    <w:bottom w:val="single" w:color="auto" w:sz="12" w:space="0"/>
                  </w:tcBorders>
                  <w:noWrap w:val="0"/>
                  <w:vAlign w:val="center"/>
                </w:tcPr>
                <w:p>
                  <w:pPr>
                    <w:adjustRightInd w:val="0"/>
                    <w:snapToGrid w:val="0"/>
                    <w:spacing w:line="240" w:lineRule="auto"/>
                    <w:jc w:val="center"/>
                    <w:rPr>
                      <w:b/>
                      <w:color w:val="000000"/>
                      <w:sz w:val="21"/>
                      <w:szCs w:val="21"/>
                    </w:rPr>
                  </w:pPr>
                  <w:r>
                    <w:rPr>
                      <w:rFonts w:hint="eastAsia"/>
                      <w:b/>
                      <w:color w:val="000000"/>
                      <w:sz w:val="21"/>
                      <w:szCs w:val="21"/>
                    </w:rPr>
                    <w:t>产生量</w:t>
                  </w:r>
                </w:p>
              </w:tc>
              <w:tc>
                <w:tcPr>
                  <w:tcW w:w="1087" w:type="pct"/>
                  <w:tcBorders>
                    <w:bottom w:val="single" w:color="auto" w:sz="12" w:space="0"/>
                  </w:tcBorders>
                  <w:noWrap w:val="0"/>
                  <w:vAlign w:val="center"/>
                </w:tcPr>
                <w:p>
                  <w:pPr>
                    <w:adjustRightInd w:val="0"/>
                    <w:snapToGrid w:val="0"/>
                    <w:spacing w:line="240" w:lineRule="auto"/>
                    <w:jc w:val="center"/>
                    <w:rPr>
                      <w:b/>
                      <w:color w:val="000000"/>
                      <w:sz w:val="21"/>
                      <w:szCs w:val="21"/>
                    </w:rPr>
                  </w:pPr>
                  <w:r>
                    <w:rPr>
                      <w:rFonts w:hint="eastAsia"/>
                      <w:b/>
                      <w:color w:val="000000"/>
                      <w:sz w:val="21"/>
                      <w:szCs w:val="21"/>
                    </w:rPr>
                    <w:t>削减量</w:t>
                  </w:r>
                </w:p>
              </w:tc>
              <w:tc>
                <w:tcPr>
                  <w:tcW w:w="1090" w:type="pct"/>
                  <w:tcBorders>
                    <w:bottom w:val="single" w:color="auto" w:sz="12" w:space="0"/>
                  </w:tcBorders>
                  <w:noWrap w:val="0"/>
                  <w:vAlign w:val="center"/>
                </w:tcPr>
                <w:p>
                  <w:pPr>
                    <w:adjustRightInd w:val="0"/>
                    <w:snapToGrid w:val="0"/>
                    <w:spacing w:line="240" w:lineRule="auto"/>
                    <w:jc w:val="center"/>
                    <w:rPr>
                      <w:b/>
                      <w:color w:val="000000"/>
                      <w:sz w:val="21"/>
                      <w:szCs w:val="21"/>
                    </w:rPr>
                  </w:pPr>
                  <w:r>
                    <w:rPr>
                      <w:rFonts w:hint="eastAsia" w:hAnsi="宋体"/>
                      <w:b/>
                      <w:color w:val="000000"/>
                      <w:sz w:val="21"/>
                      <w:szCs w:val="21"/>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restart"/>
                  <w:tcBorders>
                    <w:top w:val="single" w:color="auto" w:sz="12" w:space="0"/>
                  </w:tcBorders>
                  <w:noWrap w:val="0"/>
                  <w:vAlign w:val="center"/>
                </w:tcPr>
                <w:p>
                  <w:pPr>
                    <w:adjustRightInd w:val="0"/>
                    <w:snapToGrid w:val="0"/>
                    <w:spacing w:line="240" w:lineRule="auto"/>
                    <w:jc w:val="center"/>
                    <w:rPr>
                      <w:rFonts w:hAnsi="宋体"/>
                      <w:color w:val="000000"/>
                      <w:sz w:val="21"/>
                      <w:szCs w:val="21"/>
                    </w:rPr>
                  </w:pPr>
                  <w:r>
                    <w:rPr>
                      <w:rFonts w:hint="eastAsia"/>
                      <w:sz w:val="21"/>
                      <w:szCs w:val="21"/>
                    </w:rPr>
                    <w:t>废水（食堂废水、生活污水</w:t>
                  </w:r>
                </w:p>
              </w:tc>
              <w:tc>
                <w:tcPr>
                  <w:tcW w:w="1305" w:type="pct"/>
                  <w:gridSpan w:val="2"/>
                  <w:tcBorders>
                    <w:top w:val="single" w:color="auto" w:sz="12" w:space="0"/>
                  </w:tcBorders>
                  <w:noWrap w:val="0"/>
                  <w:vAlign w:val="center"/>
                </w:tcPr>
                <w:p>
                  <w:pPr>
                    <w:spacing w:line="240" w:lineRule="auto"/>
                    <w:ind w:left="-120" w:leftChars="-50" w:right="-120" w:rightChars="-50"/>
                    <w:jc w:val="center"/>
                    <w:rPr>
                      <w:rFonts w:hint="eastAsia" w:hAnsi="宋体"/>
                      <w:sz w:val="21"/>
                      <w:szCs w:val="21"/>
                    </w:rPr>
                  </w:pPr>
                  <w:r>
                    <w:rPr>
                      <w:rFonts w:hint="eastAsia" w:hAnsi="宋体"/>
                      <w:sz w:val="21"/>
                      <w:szCs w:val="21"/>
                    </w:rPr>
                    <w:t>水量</w:t>
                  </w:r>
                </w:p>
              </w:tc>
              <w:tc>
                <w:tcPr>
                  <w:tcW w:w="1087" w:type="pct"/>
                  <w:tcBorders>
                    <w:top w:val="single" w:color="auto" w:sz="12" w:space="0"/>
                  </w:tcBorders>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260</w:t>
                  </w:r>
                </w:p>
              </w:tc>
              <w:tc>
                <w:tcPr>
                  <w:tcW w:w="1087" w:type="pct"/>
                  <w:tcBorders>
                    <w:top w:val="single" w:color="auto" w:sz="12" w:space="0"/>
                  </w:tcBorders>
                  <w:noWrap w:val="0"/>
                  <w:vAlign w:val="center"/>
                </w:tcPr>
                <w:p>
                  <w:pPr>
                    <w:spacing w:line="240" w:lineRule="auto"/>
                    <w:ind w:left="-120" w:leftChars="-50" w:right="-120" w:rightChars="-50"/>
                    <w:jc w:val="center"/>
                    <w:rPr>
                      <w:rFonts w:hint="eastAsia" w:eastAsia="宋体"/>
                      <w:sz w:val="21"/>
                      <w:szCs w:val="21"/>
                      <w:lang w:val="en-US" w:eastAsia="zh-CN"/>
                    </w:rPr>
                  </w:pPr>
                  <w:r>
                    <w:rPr>
                      <w:rFonts w:hint="eastAsia"/>
                      <w:sz w:val="21"/>
                      <w:szCs w:val="21"/>
                      <w:lang w:val="en-US" w:eastAsia="zh-CN"/>
                    </w:rPr>
                    <w:t>0</w:t>
                  </w:r>
                </w:p>
              </w:tc>
              <w:tc>
                <w:tcPr>
                  <w:tcW w:w="1090" w:type="pct"/>
                  <w:tcBorders>
                    <w:top w:val="single" w:color="auto" w:sz="12" w:space="0"/>
                  </w:tcBorders>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line="240" w:lineRule="auto"/>
                    <w:jc w:val="center"/>
                    <w:rPr>
                      <w:rFonts w:hint="eastAsia" w:hAnsi="宋体"/>
                      <w:color w:val="000000"/>
                      <w:sz w:val="21"/>
                      <w:szCs w:val="21"/>
                    </w:rPr>
                  </w:pPr>
                </w:p>
              </w:tc>
              <w:tc>
                <w:tcPr>
                  <w:tcW w:w="1305" w:type="pct"/>
                  <w:gridSpan w:val="2"/>
                  <w:noWrap w:val="0"/>
                  <w:vAlign w:val="center"/>
                </w:tcPr>
                <w:p>
                  <w:pPr>
                    <w:spacing w:line="240" w:lineRule="auto"/>
                    <w:ind w:left="-120" w:leftChars="-50" w:right="-120" w:rightChars="-50"/>
                    <w:jc w:val="center"/>
                    <w:rPr>
                      <w:rFonts w:hint="eastAsia" w:hAnsi="宋体"/>
                      <w:sz w:val="21"/>
                      <w:szCs w:val="21"/>
                    </w:rPr>
                  </w:pPr>
                  <w:r>
                    <w:rPr>
                      <w:rFonts w:hAnsi="宋体"/>
                      <w:sz w:val="21"/>
                      <w:szCs w:val="21"/>
                    </w:rPr>
                    <w:t>COD</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0.098</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1090"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line="240" w:lineRule="auto"/>
                    <w:jc w:val="center"/>
                    <w:rPr>
                      <w:rFonts w:hint="eastAsia" w:hAnsi="宋体"/>
                      <w:color w:val="000000"/>
                      <w:sz w:val="21"/>
                      <w:szCs w:val="21"/>
                    </w:rPr>
                  </w:pPr>
                </w:p>
              </w:tc>
              <w:tc>
                <w:tcPr>
                  <w:tcW w:w="1305" w:type="pct"/>
                  <w:gridSpan w:val="2"/>
                  <w:noWrap w:val="0"/>
                  <w:vAlign w:val="center"/>
                </w:tcPr>
                <w:p>
                  <w:pPr>
                    <w:spacing w:line="240" w:lineRule="auto"/>
                    <w:ind w:left="-120" w:leftChars="-50" w:right="-120" w:rightChars="-50"/>
                    <w:jc w:val="center"/>
                    <w:rPr>
                      <w:rFonts w:hint="eastAsia" w:hAnsi="宋体"/>
                      <w:sz w:val="21"/>
                      <w:szCs w:val="21"/>
                    </w:rPr>
                  </w:pPr>
                  <w:r>
                    <w:rPr>
                      <w:rFonts w:hint="eastAsia" w:hAnsi="宋体"/>
                      <w:sz w:val="21"/>
                      <w:szCs w:val="21"/>
                    </w:rPr>
                    <w:t>SS</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0.05</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1090"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line="240" w:lineRule="auto"/>
                    <w:jc w:val="center"/>
                    <w:rPr>
                      <w:rFonts w:hint="eastAsia" w:hAnsi="宋体"/>
                      <w:color w:val="000000"/>
                      <w:sz w:val="21"/>
                      <w:szCs w:val="21"/>
                    </w:rPr>
                  </w:pPr>
                </w:p>
              </w:tc>
              <w:tc>
                <w:tcPr>
                  <w:tcW w:w="1305" w:type="pct"/>
                  <w:gridSpan w:val="2"/>
                  <w:noWrap w:val="0"/>
                  <w:vAlign w:val="center"/>
                </w:tcPr>
                <w:p>
                  <w:pPr>
                    <w:spacing w:line="240" w:lineRule="auto"/>
                    <w:ind w:left="-120" w:leftChars="-50" w:right="-120" w:rightChars="-50"/>
                    <w:jc w:val="center"/>
                    <w:rPr>
                      <w:rFonts w:hint="eastAsia" w:hAnsi="宋体"/>
                      <w:sz w:val="21"/>
                      <w:szCs w:val="21"/>
                    </w:rPr>
                  </w:pPr>
                  <w:r>
                    <w:rPr>
                      <w:rFonts w:hint="eastAsia" w:hAnsi="宋体"/>
                      <w:sz w:val="21"/>
                      <w:szCs w:val="21"/>
                    </w:rPr>
                    <w:t>氨氮</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0.0072</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1090"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line="240" w:lineRule="auto"/>
                    <w:jc w:val="center"/>
                    <w:rPr>
                      <w:rFonts w:hint="eastAsia" w:hAnsi="宋体"/>
                      <w:color w:val="000000"/>
                      <w:sz w:val="21"/>
                      <w:szCs w:val="21"/>
                    </w:rPr>
                  </w:pPr>
                </w:p>
              </w:tc>
              <w:tc>
                <w:tcPr>
                  <w:tcW w:w="1305" w:type="pct"/>
                  <w:gridSpan w:val="2"/>
                  <w:noWrap w:val="0"/>
                  <w:vAlign w:val="center"/>
                </w:tcPr>
                <w:p>
                  <w:pPr>
                    <w:spacing w:line="240" w:lineRule="auto"/>
                    <w:ind w:left="-120" w:leftChars="-50" w:right="-120" w:rightChars="-50"/>
                    <w:jc w:val="center"/>
                    <w:rPr>
                      <w:rFonts w:hint="eastAsia" w:hAnsi="宋体"/>
                      <w:sz w:val="21"/>
                      <w:szCs w:val="21"/>
                    </w:rPr>
                  </w:pPr>
                  <w:r>
                    <w:rPr>
                      <w:rFonts w:hint="eastAsia" w:hAnsi="宋体"/>
                      <w:sz w:val="21"/>
                      <w:szCs w:val="21"/>
                    </w:rPr>
                    <w:t>总磷</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0.00096</w:t>
                  </w:r>
                </w:p>
              </w:tc>
              <w:tc>
                <w:tcPr>
                  <w:tcW w:w="1087" w:type="pct"/>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0</w:t>
                  </w:r>
                </w:p>
              </w:tc>
              <w:tc>
                <w:tcPr>
                  <w:tcW w:w="1090"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0.00096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restart"/>
                  <w:noWrap w:val="0"/>
                  <w:vAlign w:val="center"/>
                </w:tcPr>
                <w:p>
                  <w:pPr>
                    <w:adjustRightInd w:val="0"/>
                    <w:snapToGrid w:val="0"/>
                    <w:spacing w:before="60" w:after="60" w:line="240" w:lineRule="auto"/>
                    <w:jc w:val="center"/>
                    <w:rPr>
                      <w:sz w:val="21"/>
                      <w:szCs w:val="21"/>
                    </w:rPr>
                  </w:pPr>
                  <w:r>
                    <w:rPr>
                      <w:rFonts w:hint="eastAsia"/>
                      <w:sz w:val="21"/>
                      <w:szCs w:val="21"/>
                    </w:rPr>
                    <w:t>废气</w:t>
                  </w:r>
                </w:p>
              </w:tc>
              <w:tc>
                <w:tcPr>
                  <w:tcW w:w="1305" w:type="pct"/>
                  <w:gridSpan w:val="2"/>
                  <w:noWrap w:val="0"/>
                  <w:vAlign w:val="center"/>
                </w:tcPr>
                <w:p>
                  <w:pPr>
                    <w:spacing w:line="240" w:lineRule="auto"/>
                    <w:jc w:val="center"/>
                    <w:rPr>
                      <w:rFonts w:hint="eastAsia" w:eastAsia="宋体"/>
                      <w:sz w:val="21"/>
                      <w:szCs w:val="21"/>
                      <w:lang w:eastAsia="zh-CN"/>
                    </w:rPr>
                  </w:pPr>
                  <w:r>
                    <w:rPr>
                      <w:rFonts w:hint="eastAsia"/>
                      <w:sz w:val="21"/>
                      <w:szCs w:val="21"/>
                      <w:lang w:eastAsia="zh-CN"/>
                    </w:rPr>
                    <w:t>废气量</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960万m</w:t>
                  </w:r>
                  <w:r>
                    <w:rPr>
                      <w:rFonts w:hint="eastAsia"/>
                      <w:color w:val="000000"/>
                      <w:sz w:val="21"/>
                      <w:szCs w:val="21"/>
                      <w:vertAlign w:val="superscript"/>
                      <w:lang w:val="en-US" w:eastAsia="zh-CN"/>
                    </w:rPr>
                    <w:t>3</w:t>
                  </w:r>
                  <w:r>
                    <w:rPr>
                      <w:rFonts w:hint="eastAsia"/>
                      <w:color w:val="000000"/>
                      <w:sz w:val="21"/>
                      <w:szCs w:val="21"/>
                      <w:lang w:val="en-US" w:eastAsia="zh-CN"/>
                    </w:rPr>
                    <w:t>/a</w:t>
                  </w:r>
                </w:p>
              </w:tc>
              <w:tc>
                <w:tcPr>
                  <w:tcW w:w="1087" w:type="pct"/>
                  <w:noWrap w:val="0"/>
                  <w:vAlign w:val="top"/>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1090" w:type="pct"/>
                  <w:noWrap w:val="0"/>
                  <w:vAlign w:val="center"/>
                </w:tcPr>
                <w:p>
                  <w:pPr>
                    <w:widowControl/>
                    <w:spacing w:line="240" w:lineRule="auto"/>
                    <w:jc w:val="center"/>
                    <w:textAlignment w:val="center"/>
                    <w:rPr>
                      <w:color w:val="000000"/>
                      <w:sz w:val="21"/>
                      <w:szCs w:val="21"/>
                    </w:rPr>
                  </w:pPr>
                  <w:r>
                    <w:rPr>
                      <w:rFonts w:hint="eastAsia"/>
                      <w:color w:val="000000"/>
                      <w:sz w:val="21"/>
                      <w:szCs w:val="21"/>
                      <w:lang w:val="en-US" w:eastAsia="zh-CN"/>
                    </w:rPr>
                    <w:t>960万m</w:t>
                  </w:r>
                  <w:r>
                    <w:rPr>
                      <w:rFonts w:hint="eastAsia"/>
                      <w:color w:val="000000"/>
                      <w:sz w:val="21"/>
                      <w:szCs w:val="21"/>
                      <w:vertAlign w:val="superscript"/>
                      <w:lang w:val="en-US" w:eastAsia="zh-CN"/>
                    </w:rPr>
                    <w:t>3</w:t>
                  </w:r>
                  <w:r>
                    <w:rPr>
                      <w:rFonts w:hint="eastAsia"/>
                      <w:color w:val="000000"/>
                      <w:sz w:val="21"/>
                      <w:szCs w:val="21"/>
                      <w:lang w:val="en-US" w:eastAsia="zh-CN"/>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before="60" w:after="60" w:line="240" w:lineRule="auto"/>
                    <w:jc w:val="center"/>
                    <w:rPr>
                      <w:rFonts w:hint="eastAsia"/>
                      <w:sz w:val="21"/>
                      <w:szCs w:val="21"/>
                    </w:rPr>
                  </w:pPr>
                </w:p>
              </w:tc>
              <w:tc>
                <w:tcPr>
                  <w:tcW w:w="1305" w:type="pct"/>
                  <w:gridSpan w:val="2"/>
                  <w:noWrap w:val="0"/>
                  <w:vAlign w:val="center"/>
                </w:tcPr>
                <w:p>
                  <w:pPr>
                    <w:spacing w:line="240" w:lineRule="auto"/>
                    <w:jc w:val="center"/>
                    <w:rPr>
                      <w:rFonts w:hint="eastAsia"/>
                      <w:sz w:val="21"/>
                      <w:szCs w:val="21"/>
                    </w:rPr>
                  </w:pPr>
                  <w:r>
                    <w:rPr>
                      <w:rFonts w:hint="eastAsia"/>
                      <w:sz w:val="21"/>
                      <w:szCs w:val="21"/>
                    </w:rPr>
                    <w:t>非甲烷总烃</w:t>
                  </w:r>
                </w:p>
              </w:tc>
              <w:tc>
                <w:tcPr>
                  <w:tcW w:w="1087"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1.35</w:t>
                  </w:r>
                </w:p>
              </w:tc>
              <w:tc>
                <w:tcPr>
                  <w:tcW w:w="1087" w:type="pct"/>
                  <w:noWrap w:val="0"/>
                  <w:vAlign w:val="top"/>
                </w:tcPr>
                <w:p>
                  <w:pPr>
                    <w:spacing w:line="240" w:lineRule="auto"/>
                    <w:jc w:val="center"/>
                    <w:rPr>
                      <w:rFonts w:hint="default" w:eastAsia="宋体"/>
                      <w:sz w:val="21"/>
                      <w:szCs w:val="21"/>
                      <w:lang w:val="en-US" w:eastAsia="zh-CN"/>
                    </w:rPr>
                  </w:pPr>
                  <w:r>
                    <w:rPr>
                      <w:rFonts w:hint="eastAsia"/>
                      <w:sz w:val="21"/>
                      <w:szCs w:val="21"/>
                      <w:lang w:val="en-US" w:eastAsia="zh-CN"/>
                    </w:rPr>
                    <w:t>0.94</w:t>
                  </w:r>
                </w:p>
              </w:tc>
              <w:tc>
                <w:tcPr>
                  <w:tcW w:w="1090" w:type="pct"/>
                  <w:noWrap w:val="0"/>
                  <w:vAlign w:val="center"/>
                </w:tcPr>
                <w:p>
                  <w:pPr>
                    <w:widowControl/>
                    <w:spacing w:line="240" w:lineRule="auto"/>
                    <w:jc w:val="center"/>
                    <w:textAlignment w:val="center"/>
                    <w:rPr>
                      <w:rFonts w:hint="default" w:eastAsia="宋体"/>
                      <w:color w:val="000000"/>
                      <w:sz w:val="21"/>
                      <w:szCs w:val="21"/>
                      <w:lang w:val="en-US" w:eastAsia="zh-CN"/>
                    </w:rPr>
                  </w:pPr>
                  <w:r>
                    <w:rPr>
                      <w:rFonts w:hint="eastAsia"/>
                      <w:color w:val="000000"/>
                      <w:sz w:val="21"/>
                      <w:szCs w:val="21"/>
                      <w:lang w:val="en-US" w:eastAsia="zh-CN"/>
                    </w:rPr>
                    <w:t>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restart"/>
                  <w:noWrap w:val="0"/>
                  <w:vAlign w:val="center"/>
                </w:tcPr>
                <w:p>
                  <w:pPr>
                    <w:adjustRightInd w:val="0"/>
                    <w:snapToGrid w:val="0"/>
                    <w:spacing w:line="240" w:lineRule="auto"/>
                    <w:jc w:val="center"/>
                    <w:rPr>
                      <w:rFonts w:hint="eastAsia" w:hAnsi="宋体" w:eastAsia="宋体"/>
                      <w:sz w:val="21"/>
                      <w:szCs w:val="21"/>
                      <w:lang w:eastAsia="zh-CN"/>
                    </w:rPr>
                  </w:pPr>
                  <w:r>
                    <w:rPr>
                      <w:rFonts w:hint="eastAsia" w:hAnsi="宋体"/>
                      <w:sz w:val="21"/>
                      <w:szCs w:val="21"/>
                      <w:lang w:eastAsia="zh-CN"/>
                    </w:rPr>
                    <w:t>固废</w:t>
                  </w:r>
                </w:p>
              </w:tc>
              <w:tc>
                <w:tcPr>
                  <w:tcW w:w="1305" w:type="pct"/>
                  <w:gridSpan w:val="2"/>
                  <w:noWrap w:val="0"/>
                  <w:vAlign w:val="center"/>
                </w:tcPr>
                <w:p>
                  <w:pPr>
                    <w:adjustRightInd w:val="0"/>
                    <w:snapToGrid w:val="0"/>
                    <w:spacing w:line="240" w:lineRule="auto"/>
                    <w:jc w:val="center"/>
                    <w:rPr>
                      <w:rFonts w:hint="eastAsia" w:hAnsi="宋体"/>
                      <w:sz w:val="21"/>
                      <w:szCs w:val="21"/>
                    </w:rPr>
                  </w:pPr>
                  <w:r>
                    <w:rPr>
                      <w:rFonts w:hint="eastAsia"/>
                      <w:sz w:val="21"/>
                      <w:szCs w:val="21"/>
                    </w:rPr>
                    <w:t>生活垃圾</w:t>
                  </w:r>
                </w:p>
              </w:tc>
              <w:tc>
                <w:tcPr>
                  <w:tcW w:w="1087"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3</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3</w:t>
                  </w:r>
                </w:p>
              </w:tc>
              <w:tc>
                <w:tcPr>
                  <w:tcW w:w="1090"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65" w:hRule="atLeast"/>
                <w:jc w:val="center"/>
              </w:trPr>
              <w:tc>
                <w:tcPr>
                  <w:tcW w:w="427" w:type="pct"/>
                  <w:vMerge w:val="continue"/>
                  <w:noWrap w:val="0"/>
                  <w:vAlign w:val="top"/>
                </w:tcPr>
                <w:p>
                  <w:pPr>
                    <w:spacing w:line="240" w:lineRule="auto"/>
                    <w:jc w:val="center"/>
                    <w:rPr>
                      <w:rFonts w:hAnsi="宋体"/>
                      <w:sz w:val="21"/>
                      <w:szCs w:val="21"/>
                    </w:rPr>
                  </w:pPr>
                </w:p>
              </w:tc>
              <w:tc>
                <w:tcPr>
                  <w:tcW w:w="573" w:type="pct"/>
                  <w:vMerge w:val="restart"/>
                  <w:noWrap w:val="0"/>
                  <w:vAlign w:val="center"/>
                </w:tcPr>
                <w:p>
                  <w:pPr>
                    <w:adjustRightInd w:val="0"/>
                    <w:snapToGrid w:val="0"/>
                    <w:spacing w:line="240" w:lineRule="auto"/>
                    <w:jc w:val="center"/>
                    <w:rPr>
                      <w:rFonts w:hint="eastAsia" w:ascii="Times New Roman" w:hAnsi="宋体" w:eastAsia="宋体" w:cs="Times New Roman"/>
                      <w:kern w:val="2"/>
                      <w:sz w:val="21"/>
                      <w:szCs w:val="21"/>
                      <w:lang w:val="en-US" w:eastAsia="zh-CN" w:bidi="ar-SA"/>
                    </w:rPr>
                  </w:pPr>
                  <w:r>
                    <w:rPr>
                      <w:rFonts w:hint="eastAsia" w:hAnsi="宋体"/>
                      <w:sz w:val="21"/>
                      <w:szCs w:val="21"/>
                    </w:rPr>
                    <w:t>一般固废</w:t>
                  </w:r>
                </w:p>
              </w:tc>
              <w:tc>
                <w:tcPr>
                  <w:tcW w:w="732" w:type="pct"/>
                  <w:noWrap w:val="0"/>
                  <w:vAlign w:val="center"/>
                </w:tcPr>
                <w:p>
                  <w:pPr>
                    <w:adjustRightInd w:val="0"/>
                    <w:snapToGrid w:val="0"/>
                    <w:spacing w:line="240" w:lineRule="auto"/>
                    <w:jc w:val="center"/>
                    <w:rPr>
                      <w:rFonts w:hint="eastAsia" w:hAnsi="宋体" w:eastAsia="宋体"/>
                      <w:sz w:val="21"/>
                      <w:szCs w:val="21"/>
                      <w:lang w:eastAsia="zh-CN"/>
                    </w:rPr>
                  </w:pPr>
                  <w:r>
                    <w:rPr>
                      <w:rFonts w:hint="eastAsia" w:hAnsi="宋体"/>
                      <w:sz w:val="21"/>
                      <w:szCs w:val="21"/>
                      <w:lang w:eastAsia="zh-CN"/>
                    </w:rPr>
                    <w:t>废包装材料</w:t>
                  </w:r>
                </w:p>
              </w:tc>
              <w:tc>
                <w:tcPr>
                  <w:tcW w:w="1087"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3</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3</w:t>
                  </w:r>
                </w:p>
              </w:tc>
              <w:tc>
                <w:tcPr>
                  <w:tcW w:w="1090"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65" w:hRule="atLeast"/>
                <w:jc w:val="center"/>
              </w:trPr>
              <w:tc>
                <w:tcPr>
                  <w:tcW w:w="427" w:type="pct"/>
                  <w:vMerge w:val="continue"/>
                  <w:noWrap w:val="0"/>
                  <w:vAlign w:val="top"/>
                </w:tcPr>
                <w:p>
                  <w:pPr>
                    <w:adjustRightInd w:val="0"/>
                    <w:snapToGrid w:val="0"/>
                    <w:spacing w:line="240" w:lineRule="auto"/>
                    <w:jc w:val="center"/>
                  </w:pPr>
                </w:p>
              </w:tc>
              <w:tc>
                <w:tcPr>
                  <w:tcW w:w="573" w:type="pct"/>
                  <w:vMerge w:val="continue"/>
                  <w:noWrap w:val="0"/>
                  <w:vAlign w:val="center"/>
                </w:tcPr>
                <w:p>
                  <w:pPr>
                    <w:adjustRightInd w:val="0"/>
                    <w:snapToGrid w:val="0"/>
                    <w:spacing w:line="240" w:lineRule="auto"/>
                    <w:jc w:val="center"/>
                  </w:pPr>
                </w:p>
              </w:tc>
              <w:tc>
                <w:tcPr>
                  <w:tcW w:w="732" w:type="pct"/>
                  <w:noWrap w:val="0"/>
                  <w:vAlign w:val="center"/>
                </w:tcPr>
                <w:p>
                  <w:pPr>
                    <w:adjustRightInd w:val="0"/>
                    <w:snapToGrid w:val="0"/>
                    <w:spacing w:line="240" w:lineRule="auto"/>
                    <w:jc w:val="center"/>
                    <w:rPr>
                      <w:rFonts w:hint="eastAsia" w:hAnsi="宋体" w:eastAsia="宋体"/>
                      <w:sz w:val="21"/>
                      <w:szCs w:val="21"/>
                      <w:lang w:eastAsia="zh-CN"/>
                    </w:rPr>
                  </w:pPr>
                  <w:r>
                    <w:rPr>
                      <w:rFonts w:hint="eastAsia" w:hAnsi="宋体"/>
                      <w:sz w:val="21"/>
                      <w:szCs w:val="21"/>
                      <w:lang w:eastAsia="zh-CN"/>
                    </w:rPr>
                    <w:t>不合格品</w:t>
                  </w:r>
                </w:p>
              </w:tc>
              <w:tc>
                <w:tcPr>
                  <w:tcW w:w="1087" w:type="pct"/>
                  <w:noWrap w:val="0"/>
                  <w:vAlign w:val="center"/>
                </w:tcPr>
                <w:p>
                  <w:pPr>
                    <w:adjustRightInd w:val="0"/>
                    <w:snapToGrid w:val="0"/>
                    <w:spacing w:line="240" w:lineRule="auto"/>
                    <w:jc w:val="center"/>
                    <w:rPr>
                      <w:rFonts w:hint="default" w:hAnsi="宋体" w:eastAsia="宋体"/>
                      <w:sz w:val="21"/>
                      <w:szCs w:val="21"/>
                      <w:lang w:val="en-US" w:eastAsia="zh-CN"/>
                    </w:rPr>
                  </w:pPr>
                  <w:r>
                    <w:rPr>
                      <w:rFonts w:hint="eastAsia" w:hAnsi="宋体"/>
                      <w:sz w:val="21"/>
                      <w:szCs w:val="21"/>
                      <w:lang w:val="en-US" w:eastAsia="zh-CN"/>
                    </w:rPr>
                    <w:t>0.3</w:t>
                  </w:r>
                </w:p>
              </w:tc>
              <w:tc>
                <w:tcPr>
                  <w:tcW w:w="1087" w:type="pct"/>
                  <w:noWrap w:val="0"/>
                  <w:vAlign w:val="center"/>
                </w:tcPr>
                <w:p>
                  <w:pPr>
                    <w:adjustRightInd w:val="0"/>
                    <w:snapToGrid w:val="0"/>
                    <w:spacing w:line="240" w:lineRule="auto"/>
                    <w:jc w:val="center"/>
                    <w:rPr>
                      <w:rFonts w:hint="default" w:hAnsi="宋体" w:eastAsia="宋体"/>
                      <w:sz w:val="21"/>
                      <w:szCs w:val="21"/>
                      <w:lang w:val="en-US" w:eastAsia="zh-CN"/>
                    </w:rPr>
                  </w:pPr>
                  <w:r>
                    <w:rPr>
                      <w:rFonts w:hint="eastAsia" w:hAnsi="宋体"/>
                      <w:sz w:val="21"/>
                      <w:szCs w:val="21"/>
                      <w:lang w:val="en-US" w:eastAsia="zh-CN"/>
                    </w:rPr>
                    <w:t>0.3</w:t>
                  </w:r>
                </w:p>
              </w:tc>
              <w:tc>
                <w:tcPr>
                  <w:tcW w:w="1090" w:type="pct"/>
                  <w:noWrap w:val="0"/>
                  <w:vAlign w:val="center"/>
                </w:tcPr>
                <w:p>
                  <w:pPr>
                    <w:adjustRightInd w:val="0"/>
                    <w:snapToGrid w:val="0"/>
                    <w:spacing w:line="240" w:lineRule="auto"/>
                    <w:jc w:val="center"/>
                    <w:rPr>
                      <w:rFonts w:hint="default" w:hAnsi="宋体" w:eastAsia="宋体"/>
                      <w:sz w:val="21"/>
                      <w:szCs w:val="21"/>
                      <w:lang w:val="en-US" w:eastAsia="zh-CN"/>
                    </w:rPr>
                  </w:pPr>
                  <w:r>
                    <w:rPr>
                      <w:rFonts w:hint="eastAsia" w:hAnsi="宋体"/>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427" w:type="pct"/>
                  <w:vMerge w:val="continue"/>
                  <w:noWrap w:val="0"/>
                  <w:vAlign w:val="center"/>
                </w:tcPr>
                <w:p>
                  <w:pPr>
                    <w:adjustRightInd w:val="0"/>
                    <w:snapToGrid w:val="0"/>
                    <w:spacing w:line="240" w:lineRule="auto"/>
                    <w:jc w:val="center"/>
                    <w:rPr>
                      <w:rFonts w:hint="eastAsia"/>
                      <w:sz w:val="21"/>
                      <w:szCs w:val="21"/>
                    </w:rPr>
                  </w:pPr>
                </w:p>
              </w:tc>
              <w:tc>
                <w:tcPr>
                  <w:tcW w:w="573" w:type="pct"/>
                  <w:noWrap w:val="0"/>
                  <w:vAlign w:val="top"/>
                </w:tcPr>
                <w:p>
                  <w:pPr>
                    <w:spacing w:line="240" w:lineRule="auto"/>
                    <w:jc w:val="center"/>
                    <w:rPr>
                      <w:rFonts w:hint="eastAsia" w:ascii="Times New Roman" w:hAnsi="宋体" w:eastAsia="宋体" w:cs="Times New Roman"/>
                      <w:kern w:val="2"/>
                      <w:sz w:val="21"/>
                      <w:szCs w:val="21"/>
                      <w:lang w:val="en-US" w:eastAsia="zh-CN" w:bidi="ar-SA"/>
                    </w:rPr>
                  </w:pPr>
                  <w:r>
                    <w:rPr>
                      <w:rFonts w:hint="eastAsia"/>
                      <w:sz w:val="21"/>
                      <w:szCs w:val="21"/>
                    </w:rPr>
                    <w:t>危险废物</w:t>
                  </w:r>
                </w:p>
              </w:tc>
              <w:tc>
                <w:tcPr>
                  <w:tcW w:w="732" w:type="pct"/>
                  <w:noWrap w:val="0"/>
                  <w:vAlign w:val="top"/>
                </w:tcPr>
                <w:p>
                  <w:pPr>
                    <w:spacing w:line="240" w:lineRule="auto"/>
                    <w:jc w:val="center"/>
                    <w:rPr>
                      <w:rFonts w:hint="eastAsia"/>
                      <w:sz w:val="21"/>
                      <w:szCs w:val="21"/>
                    </w:rPr>
                  </w:pPr>
                  <w:r>
                    <w:rPr>
                      <w:rFonts w:hint="eastAsia" w:hAnsi="宋体"/>
                      <w:sz w:val="21"/>
                      <w:szCs w:val="21"/>
                      <w:lang w:eastAsia="zh-CN"/>
                    </w:rPr>
                    <w:t>失效活性炭</w:t>
                  </w:r>
                </w:p>
              </w:tc>
              <w:tc>
                <w:tcPr>
                  <w:tcW w:w="1087"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4</w:t>
                  </w:r>
                </w:p>
              </w:tc>
              <w:tc>
                <w:tcPr>
                  <w:tcW w:w="1087" w:type="pct"/>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4</w:t>
                  </w:r>
                </w:p>
              </w:tc>
              <w:tc>
                <w:tcPr>
                  <w:tcW w:w="1090" w:type="pct"/>
                  <w:noWrap w:val="0"/>
                  <w:vAlign w:val="center"/>
                </w:tcPr>
                <w:p>
                  <w:pPr>
                    <w:widowControl/>
                    <w:spacing w:line="240" w:lineRule="auto"/>
                    <w:jc w:val="center"/>
                    <w:textAlignment w:val="center"/>
                    <w:rPr>
                      <w:rFonts w:hint="eastAsia" w:eastAsia="宋体"/>
                      <w:color w:val="000000"/>
                      <w:sz w:val="21"/>
                      <w:szCs w:val="21"/>
                      <w:lang w:val="en-US" w:eastAsia="zh-CN"/>
                    </w:rPr>
                  </w:pPr>
                  <w:r>
                    <w:rPr>
                      <w:rFonts w:hint="eastAsia"/>
                      <w:color w:val="000000"/>
                      <w:sz w:val="21"/>
                      <w:szCs w:val="21"/>
                      <w:lang w:val="en-US" w:eastAsia="zh-CN"/>
                    </w:rPr>
                    <w:t>0</w:t>
                  </w:r>
                </w:p>
              </w:tc>
            </w:tr>
          </w:tbl>
          <w:p>
            <w:pPr>
              <w:pStyle w:val="2"/>
              <w:numPr>
                <w:ilvl w:val="0"/>
                <w:numId w:val="0"/>
              </w:numPr>
              <w:ind w:leftChars="0"/>
              <w:rPr>
                <w:rFonts w:hint="default" w:ascii="Times New Roman" w:hAnsi="Times New Roman" w:cs="Times New Roman"/>
                <w:b/>
                <w:bCs/>
                <w:sz w:val="24"/>
                <w:lang w:val="en-US" w:eastAsia="zh-CN"/>
              </w:rPr>
            </w:pPr>
            <w:r>
              <w:rPr>
                <w:rFonts w:hint="eastAsia" w:cs="Times New Roman"/>
                <w:b/>
                <w:bCs/>
                <w:sz w:val="24"/>
                <w:lang w:val="en-US" w:eastAsia="zh-CN"/>
              </w:rPr>
              <w:t>5、</w:t>
            </w:r>
            <w:r>
              <w:rPr>
                <w:rFonts w:hint="default" w:ascii="Times New Roman" w:hAnsi="Times New Roman" w:cs="Times New Roman"/>
                <w:b/>
                <w:bCs/>
                <w:sz w:val="24"/>
                <w:lang w:val="en-US" w:eastAsia="zh-CN"/>
              </w:rPr>
              <w:t>现有项目存在的环境问题及“以新代老”解决措施</w:t>
            </w:r>
          </w:p>
          <w:p>
            <w:pPr>
              <w:bidi w:val="0"/>
              <w:ind w:firstLine="480" w:firstLineChars="200"/>
              <w:rPr>
                <w:rFonts w:hint="default"/>
                <w:lang w:val="en-US" w:eastAsia="zh-CN"/>
              </w:rPr>
            </w:pPr>
            <w:r>
              <w:rPr>
                <w:rFonts w:hint="default"/>
                <w:lang w:val="en-US" w:eastAsia="zh-CN"/>
              </w:rPr>
              <w:t>现有项目环评手续齐全，污染防治措施均按环评批复执行。现有项目废水、废气、噪声均可实现污染物达标排放，固体废物均得到安全处置。现有项目无环境污染事故、环境风险事故，与周边居民及企业无环保纠纷。</w:t>
            </w:r>
          </w:p>
          <w:p>
            <w:pPr>
              <w:bidi w:val="0"/>
              <w:ind w:firstLine="480" w:firstLineChars="200"/>
              <w:rPr>
                <w:rFonts w:hint="default"/>
                <w:lang w:val="en-US" w:eastAsia="zh-CN"/>
              </w:rPr>
            </w:pPr>
            <w:r>
              <w:rPr>
                <w:rFonts w:hint="eastAsia"/>
                <w:lang w:val="en-US" w:eastAsia="zh-CN"/>
              </w:rPr>
              <w:t>由于项目审批时间较早，现有对于非甲烷总烃的处理方式为一级活性炭吸附处理，现为提标改造，修改为低温等离子+活性炭吸附二级处理，项目的废气收集措施为90%，处置效率由70%提升至90%。增加4000m</w:t>
            </w:r>
            <w:r>
              <w:rPr>
                <w:rFonts w:hint="eastAsia"/>
                <w:vertAlign w:val="superscript"/>
                <w:lang w:val="en-US" w:eastAsia="zh-CN"/>
              </w:rPr>
              <w:t>3</w:t>
            </w:r>
            <w:r>
              <w:rPr>
                <w:rFonts w:hint="eastAsia"/>
                <w:lang w:val="en-US" w:eastAsia="zh-CN"/>
              </w:rPr>
              <w:t>/h的排风量。</w:t>
            </w:r>
          </w:p>
        </w:tc>
      </w:tr>
    </w:tbl>
    <w:p>
      <w:r>
        <w:br w:type="page"/>
      </w:r>
    </w:p>
    <w:p>
      <w:pPr>
        <w:pStyle w:val="3"/>
        <w:rPr>
          <w:rFonts w:hint="default"/>
        </w:rPr>
      </w:pPr>
      <w:bookmarkStart w:id="3" w:name="_Toc24640"/>
      <w:r>
        <w:rPr>
          <w:rStyle w:val="106"/>
          <w:rFonts w:hint="default"/>
          <w:b/>
        </w:rPr>
        <w:t>二、建设项目所在地自然环境社会环境简况</w:t>
      </w:r>
      <w:bookmarkEnd w:id="3"/>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noWrap w:val="0"/>
            <w:vAlign w:val="top"/>
          </w:tcPr>
          <w:p>
            <w:pPr>
              <w:rPr>
                <w:rFonts w:hint="default" w:ascii="Times New Roman" w:hAnsi="Times New Roman" w:cs="Times New Roman"/>
                <w:b/>
                <w:bCs/>
                <w:spacing w:val="-12"/>
              </w:rPr>
            </w:pPr>
            <w:r>
              <w:rPr>
                <w:rFonts w:hint="default" w:ascii="Times New Roman" w:hAnsi="Times New Roman" w:cs="Times New Roman"/>
                <w:b/>
                <w:bCs/>
                <w:spacing w:val="-12"/>
              </w:rPr>
              <w:t>自然环境简况（地形、地貌、地质、气候、气象、水文、植被、生物多样性等）：</w:t>
            </w:r>
          </w:p>
          <w:p>
            <w:pPr>
              <w:pStyle w:val="21"/>
              <w:tabs>
                <w:tab w:val="left" w:pos="5046"/>
              </w:tabs>
              <w:spacing w:before="0" w:beforeAutospacing="0" w:after="0" w:afterAutospacing="0"/>
              <w:ind w:firstLine="482"/>
              <w:rPr>
                <w:rFonts w:hint="default" w:ascii="Times New Roman" w:hAnsi="Times New Roman" w:cs="Times New Roman"/>
                <w:b/>
                <w:bCs/>
              </w:rPr>
            </w:pPr>
            <w:r>
              <w:rPr>
                <w:rFonts w:hint="default" w:ascii="Times New Roman" w:hAnsi="Times New Roman" w:cs="Times New Roman"/>
                <w:b/>
                <w:bCs/>
              </w:rPr>
              <w:t>1、地理位置</w:t>
            </w:r>
          </w:p>
          <w:p>
            <w:pPr>
              <w:pStyle w:val="21"/>
              <w:tabs>
                <w:tab w:val="left" w:pos="5046"/>
              </w:tabs>
              <w:spacing w:before="0" w:beforeAutospacing="0" w:after="0" w:afterAutospacing="0"/>
              <w:ind w:firstLine="482"/>
              <w:rPr>
                <w:rFonts w:hint="default" w:ascii="Times New Roman" w:hAnsi="Times New Roman" w:cs="Times New Roman"/>
              </w:rPr>
            </w:pPr>
            <w:r>
              <w:rPr>
                <w:rFonts w:hint="default" w:ascii="Times New Roman" w:hAnsi="Times New Roman" w:cs="Times New Roman"/>
              </w:rPr>
              <w:t>苏州高新区西临烟波浩渺的万顷太湖，东依2500年历史的苏州古城，素有</w:t>
            </w:r>
            <w:r>
              <w:rPr>
                <w:rFonts w:hint="default" w:ascii="Times New Roman" w:hAnsi="Times New Roman" w:cs="Times New Roman"/>
                <w:lang w:eastAsia="zh-CN"/>
              </w:rPr>
              <w:t>“</w:t>
            </w:r>
            <w:r>
              <w:rPr>
                <w:rFonts w:hint="default" w:ascii="Times New Roman" w:hAnsi="Times New Roman" w:cs="Times New Roman"/>
              </w:rPr>
              <w:t>真山真水园中城、科技人文新天堂</w:t>
            </w:r>
            <w:r>
              <w:rPr>
                <w:rFonts w:hint="default" w:ascii="Times New Roman" w:hAnsi="Times New Roman" w:cs="Times New Roman"/>
                <w:lang w:eastAsia="zh-CN"/>
              </w:rPr>
              <w:t>”</w:t>
            </w:r>
            <w:r>
              <w:rPr>
                <w:rFonts w:hint="default" w:ascii="Times New Roman" w:hAnsi="Times New Roman" w:cs="Times New Roman"/>
              </w:rPr>
              <w:t>美誉，是全国首批国家级高新区。区域行政区域面积332平方公里，其中太湖水域109平方公里。2017年底，全区总人口80万人，其中户籍人口39万人；下辖浒墅关、通安2个镇，狮山、枫桥、横塘、镇湖、东渚5个街道和浒墅关国家经济技术开发区、苏州科技城、苏州西部生态旅游度假区、苏州高新区综合保税区。</w:t>
            </w:r>
          </w:p>
          <w:p>
            <w:pPr>
              <w:pStyle w:val="21"/>
              <w:tabs>
                <w:tab w:val="left" w:pos="5046"/>
              </w:tabs>
              <w:spacing w:before="0" w:beforeAutospacing="0" w:after="0" w:afterAutospacing="0"/>
              <w:ind w:firstLine="482"/>
              <w:rPr>
                <w:rFonts w:hint="default" w:ascii="Times New Roman" w:hAnsi="Times New Roman" w:cs="Times New Roman"/>
              </w:rPr>
            </w:pPr>
            <w:r>
              <w:rPr>
                <w:rFonts w:hint="default" w:ascii="Times New Roman" w:hAnsi="Times New Roman" w:cs="Times New Roman"/>
              </w:rPr>
              <w:t>苏州源顺祥新材料有限公司位于苏州高新区浒关分区东金芝路56号（具体位置见附图1项目地理位置图）。</w:t>
            </w:r>
          </w:p>
          <w:p>
            <w:pPr>
              <w:ind w:firstLine="482" w:firstLineChars="200"/>
              <w:rPr>
                <w:rFonts w:hint="default" w:ascii="Times New Roman" w:hAnsi="Times New Roman" w:cs="Times New Roman"/>
                <w:b/>
                <w:bCs/>
              </w:rPr>
            </w:pPr>
            <w:r>
              <w:rPr>
                <w:rFonts w:hint="default" w:ascii="Times New Roman" w:hAnsi="Times New Roman" w:cs="Times New Roman"/>
                <w:b/>
                <w:bCs/>
              </w:rPr>
              <w:t>2、地形、地貌、地质</w:t>
            </w:r>
          </w:p>
          <w:p>
            <w:pPr>
              <w:ind w:firstLine="480" w:firstLineChars="200"/>
              <w:rPr>
                <w:rFonts w:hint="default" w:ascii="Times New Roman" w:hAnsi="Times New Roman" w:cs="Times New Roman"/>
              </w:rPr>
            </w:pPr>
            <w:r>
              <w:rPr>
                <w:rFonts w:hint="default" w:ascii="Times New Roman" w:hAnsi="Times New Roman" w:cs="Times New Roman"/>
              </w:rPr>
              <w:t>苏州在地貌上属于长江下游三角洲冲积平原，地势平坦，高程在3.5～5m，苏州西部地势较高，并有低山丘陵，如天平山、七子山等，东部地势相对低洼，且多湖泊，如阳澄湖、金鸡湖等。</w:t>
            </w:r>
          </w:p>
          <w:p>
            <w:pPr>
              <w:ind w:firstLine="480" w:firstLineChars="200"/>
              <w:rPr>
                <w:rFonts w:hint="default" w:ascii="Times New Roman" w:hAnsi="Times New Roman" w:cs="Times New Roman"/>
              </w:rPr>
            </w:pPr>
            <w:r>
              <w:rPr>
                <w:rFonts w:hint="default" w:ascii="Times New Roman" w:hAnsi="Times New Roman" w:cs="Times New Roman"/>
              </w:rPr>
              <w:t>项目所处的苏州高新区地势西高东低，吴淞标高4.88m-5.38m，土质粘性，地耐力强，地质稳定。属亚热带季风海洋性气候，春秋短，冬夏长，四季分明，全年气候温和湿润。</w:t>
            </w:r>
          </w:p>
          <w:p>
            <w:pPr>
              <w:ind w:firstLine="480" w:firstLineChars="200"/>
              <w:rPr>
                <w:rFonts w:hint="default" w:ascii="Times New Roman" w:hAnsi="Times New Roman" w:cs="Times New Roman"/>
              </w:rPr>
            </w:pPr>
            <w:r>
              <w:rPr>
                <w:rFonts w:hint="default" w:ascii="Times New Roman" w:hAnsi="Times New Roman" w:cs="Times New Roman"/>
              </w:rPr>
              <w:t>苏州高新区为冲积平原地质区及基岩山丘工程地质区，除表层土层经人类活动而堆积外，其余均为第四纪沉积层，坡度平缓，一般呈水平成层、互交层或夹层，较有规律。地质特点表现为：地势平整，地质较硬，地耐力较强。根据</w:t>
            </w:r>
            <w:r>
              <w:rPr>
                <w:rFonts w:hint="default" w:ascii="Times New Roman" w:hAnsi="Times New Roman" w:cs="Times New Roman"/>
                <w:lang w:eastAsia="zh-CN"/>
              </w:rPr>
              <w:t>“</w:t>
            </w:r>
            <w:r>
              <w:rPr>
                <w:rFonts w:hint="default" w:ascii="Times New Roman" w:hAnsi="Times New Roman" w:cs="Times New Roman"/>
              </w:rPr>
              <w:t>中国地震裂度区划图（1990）</w:t>
            </w:r>
            <w:r>
              <w:rPr>
                <w:rFonts w:hint="default" w:ascii="Times New Roman" w:hAnsi="Times New Roman" w:cs="Times New Roman"/>
                <w:lang w:eastAsia="zh-CN"/>
              </w:rPr>
              <w:t>”</w:t>
            </w:r>
            <w:r>
              <w:rPr>
                <w:rFonts w:hint="default" w:ascii="Times New Roman" w:hAnsi="Times New Roman" w:cs="Times New Roman"/>
              </w:rPr>
              <w:t>及国家地震局、建设部地震办[1992]160号文，苏州市50年超过概率10%的烈度值为Ⅵ度。</w:t>
            </w:r>
          </w:p>
          <w:p>
            <w:pPr>
              <w:ind w:firstLine="482" w:firstLineChars="200"/>
              <w:rPr>
                <w:rFonts w:hint="default" w:ascii="Times New Roman" w:hAnsi="Times New Roman" w:cs="Times New Roman"/>
                <w:b/>
                <w:bCs/>
              </w:rPr>
            </w:pPr>
            <w:r>
              <w:rPr>
                <w:rFonts w:hint="default" w:ascii="Times New Roman" w:hAnsi="Times New Roman" w:cs="Times New Roman"/>
                <w:b/>
                <w:bCs/>
              </w:rPr>
              <w:t>3、气候气象</w:t>
            </w:r>
          </w:p>
          <w:p>
            <w:pPr>
              <w:pStyle w:val="2"/>
              <w:ind w:firstLine="480"/>
              <w:rPr>
                <w:rFonts w:hint="default" w:ascii="Times New Roman" w:hAnsi="Times New Roman" w:cs="Times New Roman"/>
              </w:rPr>
            </w:pPr>
            <w:r>
              <w:rPr>
                <w:rFonts w:hint="default" w:ascii="Times New Roman" w:hAnsi="Times New Roman" w:cs="Times New Roman"/>
              </w:rPr>
              <w:t>苏州高新区属北亚热带湿润性季风气候，受太湖水体的调节影响，雨水丰沛，日照充足，无霜期长，具有明显的季风气候，气候温和润温，干温冷暖，四季分明。春季冷暖多变，夏季炎热多雨，秋天天高气爽，冬季寒冷干燥。夏季昼长夜短，盛行东南风，冬季日短夜长，常刮西北风。通常，春季为3～5月，夏季6～8月，秋季9～11月，冬季为12～次年2月，冬夏季较长，而春季秋季较短。年平均气温15.7℃，历史极端最高气温39.3℃，极端最低气温-9.8℃。年平均降水量1094mm，历史最大年降水量1783mm，最小年降水量604mm，年平均降雨日130天，降雨期一般集中在6至9月，6月份降水量占全年降水量的15％。年平均有雾日25天，年平均日照数1996h，年平均蒸发量1291mm，年平均相对湿度80％。近5年平均风速2.6m/s，三十年一遇最大风速28m/s，常年最多风向为SE风，次主导风向为NNE；冬季以西北风为主，夏季多半为东南风。</w:t>
            </w:r>
          </w:p>
          <w:p>
            <w:pPr>
              <w:ind w:firstLine="482" w:firstLineChars="200"/>
              <w:rPr>
                <w:rFonts w:hint="default" w:ascii="Times New Roman" w:hAnsi="Times New Roman" w:cs="Times New Roman"/>
                <w:b/>
                <w:bCs/>
              </w:rPr>
            </w:pPr>
            <w:r>
              <w:rPr>
                <w:rFonts w:hint="default" w:ascii="Times New Roman" w:hAnsi="Times New Roman" w:cs="Times New Roman"/>
                <w:b/>
                <w:bCs/>
              </w:rPr>
              <w:t>4、水文</w:t>
            </w:r>
          </w:p>
          <w:p>
            <w:pPr>
              <w:pStyle w:val="2"/>
              <w:ind w:firstLine="480"/>
              <w:rPr>
                <w:rFonts w:hint="default" w:ascii="Times New Roman" w:hAnsi="Times New Roman" w:cs="Times New Roman"/>
              </w:rPr>
            </w:pPr>
            <w:r>
              <w:rPr>
                <w:rFonts w:hint="default" w:ascii="Times New Roman" w:hAnsi="Times New Roman" w:cs="Times New Roman"/>
              </w:rPr>
              <w:t>苏州高新区属太湖水系，区内河网交织。一般河道间距在500-800米，最大不超过1200米。新区内河道走向一般呈东西和南北向，南北向的河流主要有：京杭运河、大轮浜、石城河和金枫运河；东西向的河流主要有：马运河、金山浜、枫津河、双石港等。其中马运河、金山浜、金枫运河为六级航道，京杭运河为四级航道，其它为不通航河道。</w:t>
            </w:r>
          </w:p>
          <w:p>
            <w:pPr>
              <w:pStyle w:val="2"/>
              <w:ind w:firstLine="480"/>
              <w:rPr>
                <w:rFonts w:hint="default" w:ascii="Times New Roman" w:hAnsi="Times New Roman" w:cs="Times New Roman"/>
              </w:rPr>
            </w:pPr>
            <w:r>
              <w:rPr>
                <w:rFonts w:hint="default" w:ascii="Times New Roman" w:hAnsi="Times New Roman" w:cs="Times New Roman"/>
              </w:rPr>
              <w:t>京杭运河苏州段平均水位2.82米，水面宽约70米，平均水深3.8米，枯水期流量为10-20米3/秒，水流为西北-东南流向。</w:t>
            </w:r>
          </w:p>
          <w:p>
            <w:pPr>
              <w:pStyle w:val="2"/>
              <w:ind w:firstLine="480"/>
              <w:rPr>
                <w:rFonts w:hint="default" w:ascii="Times New Roman" w:hAnsi="Times New Roman" w:cs="Times New Roman"/>
              </w:rPr>
            </w:pPr>
            <w:r>
              <w:rPr>
                <w:rFonts w:hint="default" w:ascii="Times New Roman" w:hAnsi="Times New Roman" w:cs="Times New Roman"/>
              </w:rPr>
              <w:t>本地区地下水水位平均为-3.6米至-3.0米。渗水层一般见于0.00米—-1.00米之间，即粘性土与轻亚粘土粉砂交界处，其次分布于细砂和砾砂层。深承压水一般有三层：Ⅰ层在-80米左右，厚5-6米；Ⅱ层在-100米左右，厚6-20米；Ⅲ层在-130米左右，厚2-6米。</w:t>
            </w:r>
          </w:p>
          <w:p>
            <w:pPr>
              <w:ind w:firstLine="482" w:firstLineChars="200"/>
              <w:rPr>
                <w:rFonts w:hint="default" w:ascii="Times New Roman" w:hAnsi="Times New Roman" w:cs="Times New Roman"/>
                <w:b/>
                <w:bCs/>
              </w:rPr>
            </w:pPr>
            <w:r>
              <w:rPr>
                <w:rFonts w:hint="default" w:ascii="Times New Roman" w:hAnsi="Times New Roman" w:cs="Times New Roman"/>
                <w:b/>
                <w:bCs/>
              </w:rPr>
              <w:t>5、植被与生物多样性</w:t>
            </w:r>
          </w:p>
          <w:p>
            <w:pPr>
              <w:pStyle w:val="21"/>
              <w:tabs>
                <w:tab w:val="left" w:pos="5046"/>
              </w:tabs>
              <w:spacing w:before="0" w:beforeAutospacing="0" w:after="0" w:afterAutospacing="0"/>
              <w:ind w:firstLine="482"/>
              <w:rPr>
                <w:rFonts w:hint="default" w:ascii="Times New Roman" w:hAnsi="Times New Roman" w:cs="Times New Roman"/>
              </w:rPr>
            </w:pPr>
            <w:r>
              <w:rPr>
                <w:rFonts w:hint="default" w:ascii="Times New Roman" w:hAnsi="Times New Roman" w:cs="Times New Roman"/>
              </w:rPr>
              <w:t>本项目所在地区气候温暖湿润，土壤肥沃，植物生长迅速，种类繁多，但人类开发较早，因此，该区域的自然陆生生态已为城市生态所取代，由于土地利用率高，自然植被已基本消失。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noWrap w:val="0"/>
            <w:vAlign w:val="top"/>
          </w:tcPr>
          <w:p>
            <w:pPr>
              <w:rPr>
                <w:rFonts w:hint="default" w:ascii="Times New Roman" w:hAnsi="Times New Roman" w:cs="Times New Roman"/>
                <w:b/>
                <w:bCs/>
              </w:rPr>
            </w:pPr>
            <w:r>
              <w:rPr>
                <w:rFonts w:hint="default" w:ascii="Times New Roman" w:hAnsi="Times New Roman" w:cs="Times New Roman"/>
                <w:b/>
                <w:bCs/>
              </w:rPr>
              <w:t>社会环境简况（社会经济结构、教育、文化、文物保护等）：</w:t>
            </w:r>
          </w:p>
          <w:p>
            <w:pPr>
              <w:tabs>
                <w:tab w:val="left" w:pos="2160"/>
              </w:tabs>
              <w:ind w:firstLine="482" w:firstLineChars="200"/>
              <w:rPr>
                <w:rFonts w:hint="default" w:ascii="Times New Roman" w:hAnsi="Times New Roman" w:cs="Times New Roman"/>
                <w:b/>
                <w:bCs/>
              </w:rPr>
            </w:pPr>
            <w:r>
              <w:rPr>
                <w:rFonts w:hint="default" w:ascii="Times New Roman" w:hAnsi="Times New Roman" w:cs="Times New Roman"/>
                <w:b/>
                <w:bCs/>
              </w:rPr>
              <w:t>1、社会经济概况</w:t>
            </w:r>
          </w:p>
          <w:p>
            <w:pPr>
              <w:snapToGrid w:val="0"/>
              <w:ind w:firstLine="480" w:firstLineChars="200"/>
              <w:rPr>
                <w:rFonts w:hint="default" w:ascii="Times New Roman" w:hAnsi="Times New Roman" w:cs="Times New Roman"/>
              </w:rPr>
            </w:pPr>
            <w:r>
              <w:rPr>
                <w:rFonts w:hint="default" w:ascii="Times New Roman" w:hAnsi="Times New Roman" w:cs="Times New Roman"/>
              </w:rPr>
              <w:t>苏州高新区是市委、市政府按照国务院</w:t>
            </w:r>
            <w:r>
              <w:rPr>
                <w:rFonts w:hint="default" w:ascii="Times New Roman" w:hAnsi="Times New Roman" w:cs="Times New Roman"/>
                <w:lang w:eastAsia="zh-CN"/>
              </w:rPr>
              <w:t>“</w:t>
            </w:r>
            <w:r>
              <w:rPr>
                <w:rFonts w:hint="default" w:ascii="Times New Roman" w:hAnsi="Times New Roman" w:cs="Times New Roman"/>
              </w:rPr>
              <w:t>保护古城风貌，加快新区建设</w:t>
            </w:r>
            <w:r>
              <w:rPr>
                <w:rFonts w:hint="default" w:ascii="Times New Roman" w:hAnsi="Times New Roman" w:cs="Times New Roman"/>
                <w:lang w:eastAsia="zh-CN"/>
              </w:rPr>
              <w:t>”</w:t>
            </w:r>
            <w:r>
              <w:rPr>
                <w:rFonts w:hint="default" w:ascii="Times New Roman" w:hAnsi="Times New Roman" w:cs="Times New Roman"/>
              </w:rPr>
              <w:t>的批复精神于1990年11月开发建设的，1992年11月被国务院批准为国家高新技术产业开发区，1997年被确定为首批向APEC成员开放的亚太科技工业园，1999年被国家环保总局认定为国内首家</w:t>
            </w:r>
            <w:r>
              <w:rPr>
                <w:rFonts w:hint="default" w:ascii="Times New Roman" w:hAnsi="Times New Roman" w:cs="Times New Roman"/>
                <w:lang w:eastAsia="zh-CN"/>
              </w:rPr>
              <w:t>“</w:t>
            </w:r>
            <w:r>
              <w:rPr>
                <w:rFonts w:hint="default" w:ascii="Times New Roman" w:hAnsi="Times New Roman" w:cs="Times New Roman"/>
              </w:rPr>
              <w:t>ISO14000环境管理体系国家示范区</w:t>
            </w:r>
            <w:r>
              <w:rPr>
                <w:rFonts w:hint="default" w:ascii="Times New Roman" w:hAnsi="Times New Roman" w:cs="Times New Roman"/>
                <w:lang w:eastAsia="zh-CN"/>
              </w:rPr>
              <w:t>”</w:t>
            </w:r>
            <w:r>
              <w:rPr>
                <w:rFonts w:hint="default" w:ascii="Times New Roman" w:hAnsi="Times New Roman" w:cs="Times New Roman"/>
              </w:rPr>
              <w:t>，2000年被外经贸部、科技部批准为国家高新技术产业开发区高新技术产品出口基地，2001年被批准建设国内首家国家级环保高新技术产业园，2003年4月被国务院批准成立出口加工区。行政面积223.36平方公里，下辖浒墅关、通安、东渚3个镇和狮山、枫桥、横塘、镇湖4个街道。下设江苏省苏州浒墅关经济开发区、苏州科技城、苏州高新区综合保税区、苏州西部生态城。高新区管委会、虎丘区人民政府驻地在科普路。</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苏州高新区经济基础雄厚，产业特色鲜明。目前，区内已形成了电子信息、精密机械、生物医药、新型材料、汽车零部件等新兴主导产业。建设和完善了苏州科技城、苏州高新技术创业服务中心、留学人员创业园、苏高新创业园、江苏新药创制中心、苏南工业技术研究院等一批具有国际化标准的科技创新载体和平台，总孵化面积10多万m</w:t>
            </w:r>
            <w:r>
              <w:rPr>
                <w:rFonts w:hint="default" w:ascii="Times New Roman" w:hAnsi="Times New Roman" w:cs="Times New Roman"/>
                <w:vertAlign w:val="superscript"/>
              </w:rPr>
              <w:t>2</w:t>
            </w:r>
            <w:r>
              <w:rPr>
                <w:rFonts w:hint="default" w:ascii="Times New Roman" w:hAnsi="Times New Roman" w:cs="Times New Roman"/>
              </w:rPr>
              <w:t>。在国内首家创建国家环保高新技术产业园。</w:t>
            </w:r>
          </w:p>
          <w:p>
            <w:pPr>
              <w:tabs>
                <w:tab w:val="left" w:pos="2160"/>
              </w:tabs>
              <w:ind w:firstLine="482" w:firstLineChars="200"/>
              <w:rPr>
                <w:rFonts w:hint="default" w:ascii="Times New Roman" w:hAnsi="Times New Roman" w:cs="Times New Roman"/>
                <w:b/>
                <w:bCs/>
              </w:rPr>
            </w:pPr>
            <w:r>
              <w:rPr>
                <w:rFonts w:hint="default" w:ascii="Times New Roman" w:hAnsi="Times New Roman" w:cs="Times New Roman"/>
                <w:b/>
                <w:bCs/>
              </w:rPr>
              <w:t>2、苏州高新区总体规划</w:t>
            </w:r>
          </w:p>
          <w:p>
            <w:pPr>
              <w:ind w:firstLine="480" w:firstLineChars="200"/>
              <w:rPr>
                <w:rFonts w:hint="default" w:ascii="Times New Roman" w:hAnsi="Times New Roman" w:cs="Times New Roman"/>
              </w:rPr>
            </w:pPr>
            <w:r>
              <w:rPr>
                <w:rFonts w:hint="default" w:ascii="Times New Roman" w:hAnsi="Times New Roman" w:cs="Times New Roman"/>
              </w:rPr>
              <w:t>苏州高新区规划范围为：北至相城区交界处，南至与吴中区交界处，西至太湖大堤，东至京杭运河，规划范围内用地面积约为223平方公里。</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规划年限：2015-2030年，规划近期至2020年，远期至2030年。</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苏州高新区产业发展方向：以高新技术产业、旅游业、高等级服务业为主导，以科技研发为基础，适度发展高品质房地产业，发展成为科技型、环保型、生态型产业区。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工业区基本为七大主导产业，即：电子信息产业，机电一体化产业，汽车零配件产业，生物医药产业，新材料产业，高新技术改造传统丝绸产业，机械制造业。</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功能分区：规划依托中心城区片区、浒通片区、湖滨片区三大片区与阳山</w:t>
            </w:r>
            <w:r>
              <w:rPr>
                <w:rFonts w:hint="default" w:ascii="Times New Roman" w:hAnsi="Times New Roman" w:cs="Times New Roman"/>
                <w:lang w:eastAsia="zh-CN"/>
              </w:rPr>
              <w:t>“</w:t>
            </w:r>
            <w:r>
              <w:rPr>
                <w:rFonts w:hint="default" w:ascii="Times New Roman" w:hAnsi="Times New Roman" w:cs="Times New Roman"/>
              </w:rPr>
              <w:t>绿心</w:t>
            </w:r>
            <w:r>
              <w:rPr>
                <w:rFonts w:hint="default" w:ascii="Times New Roman" w:hAnsi="Times New Roman" w:cs="Times New Roman"/>
                <w:lang w:eastAsia="zh-CN"/>
              </w:rPr>
              <w:t>”</w:t>
            </w:r>
            <w:r>
              <w:rPr>
                <w:rFonts w:hint="default" w:ascii="Times New Roman" w:hAnsi="Times New Roman" w:cs="Times New Roman"/>
              </w:rPr>
              <w:t>划分出狮山片区、浒通片区、横塘片区、科技城片区、生态城片区和阳山片区，形成六个独立组团空间，并对各组团的形态构建与功能组织进行引导。</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（1）狮山片区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以狮山城市中心为核心，是与古城紧密联系的集金融商贸、文化休闲和高品质居住于一体的综合性功能区域。</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（2）浒通片区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依托国家级出口加工区和保税物流园区，形成集生产、生活和生态相配套的现代化产业区和综合性城市功能区。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（3）横塘片区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横塘街道增强社区服务功能，提升现有建材市场服务水平和环境质量，形成苏州市建材装饰市场服务区，将苏州国际教育园打造为以高等职业教育为主，高素质、应用型人才培养基地和融现代教育与山水人文为一体的文化旅游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（4）科技城片区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形成融</w:t>
            </w:r>
            <w:r>
              <w:rPr>
                <w:rFonts w:hint="default" w:ascii="Times New Roman" w:hAnsi="Times New Roman" w:cs="Times New Roman"/>
                <w:lang w:eastAsia="zh-CN"/>
              </w:rPr>
              <w:t>“</w:t>
            </w:r>
            <w:r>
              <w:rPr>
                <w:rFonts w:hint="default" w:ascii="Times New Roman" w:hAnsi="Times New Roman" w:cs="Times New Roman"/>
              </w:rPr>
              <w:t>科技、山水、人文和创新</w:t>
            </w:r>
            <w:r>
              <w:rPr>
                <w:rFonts w:hint="default" w:ascii="Times New Roman" w:hAnsi="Times New Roman" w:cs="Times New Roman"/>
                <w:lang w:eastAsia="zh-CN"/>
              </w:rPr>
              <w:t>”</w:t>
            </w:r>
            <w:r>
              <w:rPr>
                <w:rFonts w:hint="default" w:ascii="Times New Roman" w:hAnsi="Times New Roman" w:cs="Times New Roman"/>
              </w:rPr>
              <w:t>特色于一体的一流研发创新高地和科技山水新城，构筑长江三角洲地区重要的现代科技服务中心。</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（5）生态城片区</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塑造集旅游休闲、度假会务、文化展示、高品质居住办公于一体的可感受、可测控、可持续的生态山水城。</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（6）阳山片区</w:t>
            </w:r>
          </w:p>
          <w:p>
            <w:pPr>
              <w:rPr>
                <w:rFonts w:hint="default" w:ascii="Times New Roman" w:hAnsi="Times New Roman" w:cs="Times New Roman"/>
              </w:rPr>
            </w:pPr>
            <w:r>
              <w:rPr>
                <w:rFonts w:hint="default" w:ascii="Times New Roman" w:hAnsi="Times New Roman" w:cs="Times New Roman"/>
              </w:rPr>
              <w:t>充分发挥阳山、白马涧生态生态环境优势、民俗宗教文化资源优势，在阳山周边形成以历史、民俗、宗教文化活动为特色的生态型居住、度假、休闲基地。</w:t>
            </w:r>
          </w:p>
          <w:p>
            <w:pPr>
              <w:tabs>
                <w:tab w:val="left" w:pos="2160"/>
              </w:tabs>
              <w:ind w:firstLine="482" w:firstLineChars="200"/>
              <w:rPr>
                <w:rFonts w:hint="default" w:ascii="Times New Roman" w:hAnsi="Times New Roman" w:cs="Times New Roman"/>
                <w:b/>
              </w:rPr>
            </w:pPr>
            <w:r>
              <w:rPr>
                <w:rFonts w:hint="default" w:ascii="Times New Roman" w:hAnsi="Times New Roman" w:cs="Times New Roman"/>
                <w:b/>
              </w:rPr>
              <w:t>3、区域基础设施规划及现状</w:t>
            </w:r>
          </w:p>
          <w:p>
            <w:pPr>
              <w:pStyle w:val="2"/>
              <w:ind w:firstLine="480"/>
              <w:rPr>
                <w:rFonts w:hint="default" w:ascii="Times New Roman" w:hAnsi="Times New Roman" w:cs="Times New Roman"/>
                <w:snapToGrid w:val="0"/>
                <w:kern w:val="0"/>
              </w:rPr>
            </w:pPr>
            <w:r>
              <w:rPr>
                <w:rFonts w:hint="default" w:ascii="Times New Roman" w:hAnsi="Times New Roman" w:cs="Times New Roman"/>
              </w:rPr>
              <w:t>（1）</w:t>
            </w:r>
            <w:r>
              <w:rPr>
                <w:rFonts w:hint="default" w:ascii="Times New Roman" w:hAnsi="Times New Roman" w:cs="Times New Roman"/>
                <w:snapToGrid w:val="0"/>
                <w:kern w:val="0"/>
              </w:rPr>
              <w:t>给水：</w:t>
            </w:r>
            <w:r>
              <w:rPr>
                <w:rFonts w:hint="eastAsia"/>
              </w:rPr>
              <w:t>供应高新区饮用水的水厂主要有 2 座，即</w:t>
            </w:r>
            <w:r>
              <w:rPr>
                <w:rFonts w:hint="eastAsia"/>
                <w:lang w:val="en-US" w:eastAsia="zh-CN"/>
              </w:rPr>
              <w:t>镇湖</w:t>
            </w:r>
            <w:r>
              <w:rPr>
                <w:rFonts w:hint="eastAsia"/>
              </w:rPr>
              <w:t>水厂</w:t>
            </w:r>
            <w:r>
              <w:rPr>
                <w:rFonts w:hint="eastAsia"/>
                <w:lang w:val="en-US" w:eastAsia="zh-CN"/>
              </w:rPr>
              <w:t>和竹园路</w:t>
            </w:r>
            <w:r>
              <w:rPr>
                <w:rFonts w:hint="eastAsia"/>
              </w:rPr>
              <w:t>水厂，区域内保持现状规模 45.0 万立方米/日，管网水压满足直接向多层住宅供水要求，给水管网压力不小于 0.28 兆帕。</w:t>
            </w:r>
          </w:p>
          <w:p>
            <w:pPr>
              <w:ind w:firstLine="480" w:firstLineChars="200"/>
              <w:rPr>
                <w:rFonts w:hint="default" w:ascii="Times New Roman" w:hAnsi="Times New Roman" w:cs="Times New Roman"/>
              </w:rPr>
            </w:pPr>
            <w:r>
              <w:rPr>
                <w:rFonts w:hint="default" w:ascii="Times New Roman" w:hAnsi="Times New Roman" w:cs="Times New Roman"/>
              </w:rPr>
              <w:t>（2）排水：高新区大部分地区雨水以自排为主；局部地区地势较低，汛期以抽排为主，有条件的可进行洼地改造，提高自排能力。</w:t>
            </w:r>
          </w:p>
          <w:p>
            <w:pPr>
              <w:ind w:firstLine="480" w:firstLineChars="200"/>
              <w:rPr>
                <w:rFonts w:hint="default" w:ascii="Times New Roman" w:hAnsi="Times New Roman" w:cs="Times New Roman"/>
              </w:rPr>
            </w:pPr>
            <w:r>
              <w:rPr>
                <w:rFonts w:hint="default" w:ascii="Times New Roman" w:hAnsi="Times New Roman" w:cs="Times New Roman"/>
              </w:rPr>
              <w:t>高新区污水格局分为5片，各片污水分别由</w:t>
            </w:r>
            <w:r>
              <w:rPr>
                <w:rFonts w:hint="eastAsia" w:cs="Times New Roman"/>
                <w:lang w:val="en-US" w:eastAsia="zh-CN"/>
              </w:rPr>
              <w:t>狮山净水厂</w:t>
            </w:r>
            <w:r>
              <w:rPr>
                <w:rFonts w:hint="default" w:ascii="Times New Roman" w:hAnsi="Times New Roman" w:cs="Times New Roman"/>
              </w:rPr>
              <w:t>、</w:t>
            </w:r>
            <w:r>
              <w:rPr>
                <w:rFonts w:hint="eastAsia" w:cs="Times New Roman"/>
                <w:lang w:val="en-US" w:eastAsia="zh-CN"/>
              </w:rPr>
              <w:t>枫桥净水厂</w:t>
            </w:r>
            <w:r>
              <w:rPr>
                <w:rFonts w:hint="default" w:ascii="Times New Roman" w:hAnsi="Times New Roman" w:cs="Times New Roman"/>
              </w:rPr>
              <w:t>、</w:t>
            </w:r>
            <w:r>
              <w:rPr>
                <w:rFonts w:hint="eastAsia" w:cs="Times New Roman"/>
                <w:lang w:eastAsia="zh-CN"/>
              </w:rPr>
              <w:t>白荡净水厂</w:t>
            </w:r>
            <w:r>
              <w:rPr>
                <w:rFonts w:hint="default" w:ascii="Times New Roman" w:hAnsi="Times New Roman" w:cs="Times New Roman"/>
              </w:rPr>
              <w:t>、浒东</w:t>
            </w:r>
            <w:r>
              <w:rPr>
                <w:rFonts w:hint="eastAsia" w:cs="Times New Roman"/>
                <w:lang w:val="en-US" w:eastAsia="zh-CN"/>
              </w:rPr>
              <w:t>净水厂</w:t>
            </w:r>
            <w:r>
              <w:rPr>
                <w:rFonts w:hint="default" w:ascii="Times New Roman" w:hAnsi="Times New Roman" w:cs="Times New Roman"/>
              </w:rPr>
              <w:t>、</w:t>
            </w:r>
            <w:r>
              <w:rPr>
                <w:rFonts w:hint="eastAsia" w:cs="Times New Roman"/>
                <w:lang w:val="en-US" w:eastAsia="zh-CN"/>
              </w:rPr>
              <w:t>科技城净水厂</w:t>
            </w:r>
            <w:r>
              <w:rPr>
                <w:rFonts w:hint="default" w:ascii="Times New Roman" w:hAnsi="Times New Roman" w:cs="Times New Roman"/>
              </w:rPr>
              <w:t>集中处理。本项目位于</w:t>
            </w:r>
            <w:r>
              <w:rPr>
                <w:rFonts w:hint="eastAsia" w:cs="Times New Roman"/>
                <w:lang w:val="en-US" w:eastAsia="zh-CN"/>
              </w:rPr>
              <w:t>白荡净水厂</w:t>
            </w:r>
            <w:r>
              <w:rPr>
                <w:rFonts w:hint="default" w:ascii="Times New Roman" w:hAnsi="Times New Roman" w:cs="Times New Roman"/>
              </w:rPr>
              <w:t>收水范围内。</w:t>
            </w:r>
          </w:p>
          <w:p>
            <w:pPr>
              <w:ind w:firstLine="480" w:firstLineChars="200"/>
              <w:rPr>
                <w:rFonts w:hint="default" w:ascii="Times New Roman" w:hAnsi="Times New Roman" w:cs="Times New Roman"/>
              </w:rPr>
            </w:pPr>
            <w:r>
              <w:rPr>
                <w:rFonts w:hint="default" w:ascii="Times New Roman" w:hAnsi="Times New Roman" w:cs="Times New Roman"/>
              </w:rPr>
              <w:t>项目纳污的</w:t>
            </w:r>
            <w:r>
              <w:rPr>
                <w:rFonts w:hint="eastAsia" w:cs="Times New Roman"/>
                <w:lang w:eastAsia="zh-CN"/>
              </w:rPr>
              <w:t>白荡水质净化厂</w:t>
            </w:r>
            <w:r>
              <w:rPr>
                <w:rFonts w:hint="default" w:ascii="Times New Roman" w:hAnsi="Times New Roman" w:cs="Times New Roman"/>
              </w:rPr>
              <w:t>位于出口加工区南白荡河边，服务于包括出口加工区等浒通片区运河以西地区，污水处理工艺采用循环式活性污泥法，远期总规模 12 万吨/日。本项目属于</w:t>
            </w:r>
            <w:r>
              <w:rPr>
                <w:rFonts w:hint="eastAsia" w:cs="Times New Roman"/>
                <w:lang w:val="en-US" w:eastAsia="zh-CN"/>
              </w:rPr>
              <w:t>白荡水质净化厂</w:t>
            </w:r>
            <w:r>
              <w:rPr>
                <w:rFonts w:hint="default" w:ascii="Times New Roman" w:hAnsi="Times New Roman" w:cs="Times New Roman"/>
              </w:rPr>
              <w:t>收水范围。</w:t>
            </w:r>
          </w:p>
          <w:p>
            <w:pPr>
              <w:ind w:firstLine="480" w:firstLineChars="200"/>
              <w:rPr>
                <w:rFonts w:hint="default" w:ascii="Times New Roman" w:hAnsi="Times New Roman" w:cs="Times New Roman"/>
              </w:rPr>
            </w:pPr>
            <w:r>
              <w:rPr>
                <w:rFonts w:hint="default" w:ascii="Times New Roman" w:hAnsi="Times New Roman" w:cs="Times New Roman"/>
              </w:rPr>
              <w:t>苏州高新区污水管网由新区市政服务公司养护管理，目前原苏州高新区52</w:t>
            </w:r>
            <w:r>
              <w:rPr>
                <w:rFonts w:hint="default" w:ascii="Times New Roman" w:hAnsi="Times New Roman" w:cs="Times New Roman"/>
                <w:snapToGrid w:val="0"/>
                <w:kern w:val="0"/>
              </w:rPr>
              <w:t>km</w:t>
            </w:r>
            <w:r>
              <w:rPr>
                <w:rFonts w:hint="default" w:ascii="Times New Roman" w:hAnsi="Times New Roman" w:cs="Times New Roman"/>
                <w:snapToGrid w:val="0"/>
                <w:kern w:val="0"/>
                <w:vertAlign w:val="superscript"/>
              </w:rPr>
              <w:t>2</w:t>
            </w:r>
            <w:r>
              <w:rPr>
                <w:rFonts w:hint="default" w:ascii="Times New Roman" w:hAnsi="Times New Roman" w:cs="Times New Roman"/>
              </w:rPr>
              <w:t>内污水接管率达80%，本项目所在地属于高新区管网辐射范围之内，目前已经具备完善的污水管网。</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（3）燃气：高新区以</w:t>
            </w:r>
            <w:r>
              <w:rPr>
                <w:rFonts w:hint="default" w:ascii="Times New Roman" w:hAnsi="Times New Roman" w:cs="Times New Roman"/>
                <w:lang w:eastAsia="zh-CN"/>
              </w:rPr>
              <w:t>“</w:t>
            </w:r>
            <w:r>
              <w:rPr>
                <w:rFonts w:hint="default" w:ascii="Times New Roman" w:hAnsi="Times New Roman" w:cs="Times New Roman"/>
              </w:rPr>
              <w:t>西气东输</w:t>
            </w:r>
            <w:r>
              <w:rPr>
                <w:rFonts w:hint="default" w:ascii="Times New Roman" w:hAnsi="Times New Roman" w:cs="Times New Roman"/>
                <w:lang w:eastAsia="zh-CN"/>
              </w:rPr>
              <w:t>”</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西气东输</w:t>
            </w:r>
            <w:r>
              <w:rPr>
                <w:rFonts w:hint="default" w:ascii="Times New Roman" w:hAnsi="Times New Roman" w:cs="Times New Roman"/>
                <w:lang w:eastAsia="zh-CN"/>
              </w:rPr>
              <w:t>”</w:t>
            </w:r>
            <w:r>
              <w:rPr>
                <w:rFonts w:hint="default" w:ascii="Times New Roman" w:hAnsi="Times New Roman" w:cs="Times New Roman"/>
              </w:rPr>
              <w:t>二线工程天然气为主气源，实现管道天然气两种气源供应方式；中远期可争取如东LNG气源，提高供气安全性。苏州天然气上游交付点为甪直分输站和东桥分输站，交付压力为2.5兆帕，天然气经苏州天然气管网有限公司输气干管进入各高-中压调压站调压。苏州高新区由东桥高-中压调压站和王家庄高-中压调压站供应中压燃气。</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在浒通工业园建设天然气加气母站，并结合建设LNG储配站和燃气综合服务站，作为高新区天然气调峰和补充气源，预留建设用地1.5公顷。规划燃气热电厂自建企业自备LNG储气站作为生产主气源，以次高压B级（0.8兆帕）管道天然气作为辅助气源。</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①高压管道。苏州天然气管网公司次高压B级管道规划由南部吴中区沿西绕城高速公路敷设至高新区，接入规划的西部热电厂；并沿通浒路向东北方向敷设至天然气加气母站（LNG储配站），然后向东敷设经东桥高-中压调压站至苏州第二门站，与外围地区形成次高压环网。</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②中压管道。中压主干燃气管网分2路引入高新区：由东桥高-中压调压站引出的中压燃气干管经道安路、牌楼路引入高新区；由王家庄高-中压调压站引出的中压燃气干管经马运路、真北路引入高新区。在高新区内中压主干管道沿马运路、太湖大道、泰山路、道安路、牌楼路、真武路、华金路、秦岭路、昆仑路、嘉陵江路、建林路、金枫路、长江路等主要道路敷设。</w:t>
            </w:r>
          </w:p>
          <w:p>
            <w:pPr>
              <w:ind w:firstLine="480" w:firstLineChars="200"/>
              <w:rPr>
                <w:rFonts w:hint="default" w:ascii="Times New Roman" w:hAnsi="Times New Roman" w:cs="Times New Roman"/>
              </w:rPr>
            </w:pPr>
            <w:r>
              <w:rPr>
                <w:rFonts w:hint="default" w:ascii="Times New Roman" w:hAnsi="Times New Roman" w:cs="Times New Roman"/>
              </w:rPr>
              <w:t>（4）供电</w:t>
            </w:r>
          </w:p>
          <w:p>
            <w:pPr>
              <w:tabs>
                <w:tab w:val="left" w:pos="2160"/>
              </w:tabs>
              <w:ind w:firstLine="480" w:firstLineChars="200"/>
              <w:rPr>
                <w:rFonts w:hint="default" w:ascii="Times New Roman" w:hAnsi="Times New Roman" w:cs="Times New Roman"/>
              </w:rPr>
            </w:pPr>
            <w:r>
              <w:rPr>
                <w:rFonts w:hint="default" w:ascii="Times New Roman" w:hAnsi="Times New Roman" w:cs="Times New Roman"/>
              </w:rPr>
              <w:t>高新区电源主要为望亭发电厂和500千伏苏州西变电站。华能热电厂2台60兆瓦机组通过110千伏接入公共电网；规划西部热电厂拟建2台200兆瓦机组通过220千伏接入公共电网。高新区属于太阳能可利用地区，将太阳能等可再生能源作为分布式能源系统的主要来源。</w:t>
            </w:r>
          </w:p>
          <w:p>
            <w:pPr>
              <w:ind w:firstLine="482" w:firstLineChars="200"/>
              <w:rPr>
                <w:rFonts w:hint="default" w:ascii="Times New Roman" w:hAnsi="Times New Roman" w:cs="Times New Roman"/>
                <w:b/>
              </w:rPr>
            </w:pPr>
            <w:r>
              <w:rPr>
                <w:rFonts w:hint="default" w:ascii="Times New Roman" w:hAnsi="Times New Roman" w:cs="Times New Roman"/>
                <w:b/>
                <w:bCs/>
              </w:rPr>
              <w:t>4、</w:t>
            </w:r>
            <w:bookmarkStart w:id="4" w:name="_Toc507486273"/>
            <w:r>
              <w:rPr>
                <w:rFonts w:hint="default" w:ascii="Times New Roman" w:hAnsi="Times New Roman" w:cs="Times New Roman"/>
                <w:b/>
              </w:rPr>
              <w:t>规划相符性分析</w:t>
            </w:r>
            <w:bookmarkEnd w:id="4"/>
          </w:p>
          <w:p>
            <w:pPr>
              <w:ind w:firstLine="482" w:firstLineChars="200"/>
              <w:rPr>
                <w:rFonts w:hint="default" w:ascii="Times New Roman" w:hAnsi="Times New Roman" w:cs="Times New Roman"/>
                <w:b/>
                <w:bCs/>
              </w:rPr>
            </w:pPr>
            <w:r>
              <w:rPr>
                <w:rFonts w:hint="default" w:ascii="Times New Roman" w:hAnsi="Times New Roman" w:cs="Times New Roman"/>
                <w:b/>
                <w:bCs/>
              </w:rPr>
              <w:t>（1）与区域规划相符性</w:t>
            </w:r>
          </w:p>
          <w:p>
            <w:pPr>
              <w:adjustRightInd w:val="0"/>
              <w:snapToGrid w:val="0"/>
              <w:ind w:firstLine="480" w:firstLineChars="200"/>
              <w:rPr>
                <w:rFonts w:hint="default" w:ascii="Times New Roman" w:hAnsi="Times New Roman" w:cs="Times New Roman"/>
              </w:rPr>
            </w:pPr>
            <w:r>
              <w:rPr>
                <w:rFonts w:hint="default" w:ascii="Times New Roman" w:hAnsi="Times New Roman" w:cs="Times New Roman"/>
              </w:rPr>
              <w:t>本项目位于</w:t>
            </w:r>
            <w:r>
              <w:rPr>
                <w:rFonts w:hint="default" w:ascii="Times New Roman" w:hAnsi="Times New Roman" w:cs="Times New Roman"/>
                <w:color w:val="auto"/>
              </w:rPr>
              <w:t>苏州高新区浒关分区东金芝路56号</w:t>
            </w:r>
            <w:r>
              <w:rPr>
                <w:rFonts w:hint="default" w:ascii="Times New Roman" w:hAnsi="Times New Roman" w:cs="Times New Roman"/>
              </w:rPr>
              <w:t>，属于高新片区。根据《苏州高新区（虎丘区）城乡一体化暨分区规划（2009-2030）》（详见附图四），所在地为规划工业用地；根据土地证（苏新国用（2005）第1203713号），项目所在地土地用途为工业，符合苏州高新区的用地规划。</w:t>
            </w:r>
          </w:p>
          <w:p>
            <w:pPr>
              <w:ind w:firstLine="482" w:firstLineChars="200"/>
              <w:rPr>
                <w:rFonts w:hint="default" w:ascii="Times New Roman" w:hAnsi="Times New Roman" w:cs="Times New Roman"/>
                <w:b/>
                <w:bCs/>
              </w:rPr>
            </w:pPr>
            <w:r>
              <w:rPr>
                <w:rFonts w:hint="default" w:ascii="Times New Roman" w:hAnsi="Times New Roman" w:cs="Times New Roman"/>
                <w:b/>
                <w:bCs/>
              </w:rPr>
              <w:t>（2）与产业政策相符性</w:t>
            </w:r>
          </w:p>
          <w:p>
            <w:pPr>
              <w:pStyle w:val="107"/>
              <w:spacing w:line="360" w:lineRule="auto"/>
              <w:ind w:firstLine="480" w:firstLineChars="200"/>
              <w:jc w:val="both"/>
              <w:rPr>
                <w:rFonts w:hint="default" w:ascii="Times New Roman" w:hAnsi="Times New Roman" w:cs="Times New Roman"/>
                <w:color w:val="auto"/>
              </w:rPr>
            </w:pPr>
            <w:bookmarkStart w:id="5" w:name="_Toc297035717"/>
            <w:r>
              <w:rPr>
                <w:rFonts w:hint="default" w:ascii="Times New Roman" w:hAnsi="Times New Roman" w:cs="Times New Roman"/>
                <w:color w:val="auto"/>
              </w:rPr>
              <w:t>本扩建项目主要</w:t>
            </w:r>
            <w:r>
              <w:rPr>
                <w:rFonts w:hint="eastAsia" w:ascii="Times New Roman" w:cs="Times New Roman"/>
                <w:color w:val="auto"/>
                <w:lang w:val="en-US" w:eastAsia="zh-CN"/>
              </w:rPr>
              <w:t>为塑料制品制造</w:t>
            </w:r>
            <w:r>
              <w:rPr>
                <w:rFonts w:hint="default" w:ascii="Times New Roman" w:hAnsi="Times New Roman" w:cs="Times New Roman"/>
                <w:color w:val="auto"/>
              </w:rPr>
              <w:t>，行业类别属于</w:t>
            </w:r>
            <w:r>
              <w:rPr>
                <w:rFonts w:hint="default" w:ascii="Times New Roman" w:hAnsi="Times New Roman" w:cs="Times New Roman"/>
                <w:color w:val="auto"/>
                <w:lang w:val="en-US" w:eastAsia="zh-CN"/>
              </w:rPr>
              <w:t>C3060塑料制品</w:t>
            </w:r>
            <w:r>
              <w:rPr>
                <w:rFonts w:hint="default" w:ascii="Times New Roman" w:hAnsi="Times New Roman" w:cs="Times New Roman"/>
                <w:color w:val="auto"/>
              </w:rPr>
              <w:t>，项目未被列入《外商投资产业指导目录（2017年修订）》和《江苏省工业和信息产业结构调整指导目录（2012年本）》（2013年修订）中的限制类及禁止类，也未被列入《苏州市产业发展导向目录（2007年本）》中的限制类、禁止类和淘汰类；属于允许类项目，符合国家和地方的相关产业政策。</w:t>
            </w:r>
          </w:p>
          <w:bookmarkEnd w:id="5"/>
          <w:p>
            <w:pPr>
              <w:ind w:firstLine="482" w:firstLineChars="200"/>
              <w:rPr>
                <w:rFonts w:hint="default" w:ascii="Times New Roman" w:hAnsi="Times New Roman" w:cs="Times New Roman"/>
                <w:b/>
                <w:bCs/>
              </w:rPr>
            </w:pPr>
            <w:r>
              <w:rPr>
                <w:rFonts w:hint="default" w:ascii="Times New Roman" w:hAnsi="Times New Roman" w:cs="Times New Roman"/>
                <w:b/>
                <w:bCs/>
              </w:rPr>
              <w:t>（3）与</w:t>
            </w:r>
            <w:r>
              <w:rPr>
                <w:rFonts w:hint="default" w:ascii="Times New Roman" w:hAnsi="Times New Roman" w:cs="Times New Roman"/>
                <w:b/>
                <w:bCs/>
                <w:lang w:eastAsia="zh-CN"/>
              </w:rPr>
              <w:t>“</w:t>
            </w:r>
            <w:r>
              <w:rPr>
                <w:rFonts w:hint="default" w:ascii="Times New Roman" w:hAnsi="Times New Roman" w:cs="Times New Roman"/>
                <w:b/>
                <w:bCs/>
              </w:rPr>
              <w:t>太湖水污染防治条例</w:t>
            </w:r>
            <w:r>
              <w:rPr>
                <w:rFonts w:hint="default" w:ascii="Times New Roman" w:hAnsi="Times New Roman" w:cs="Times New Roman"/>
                <w:b/>
                <w:bCs/>
                <w:lang w:eastAsia="zh-CN"/>
              </w:rPr>
              <w:t>”</w:t>
            </w:r>
            <w:r>
              <w:rPr>
                <w:rFonts w:hint="default" w:ascii="Times New Roman" w:hAnsi="Times New Roman" w:cs="Times New Roman"/>
                <w:b/>
                <w:bCs/>
              </w:rPr>
              <w:t>政策相符性</w:t>
            </w:r>
          </w:p>
          <w:p>
            <w:pPr>
              <w:pStyle w:val="21"/>
              <w:tabs>
                <w:tab w:val="left" w:pos="5046"/>
              </w:tabs>
              <w:spacing w:before="0" w:beforeAutospacing="0" w:after="0" w:afterAutospacing="0"/>
              <w:ind w:firstLine="482"/>
              <w:rPr>
                <w:rFonts w:hint="default" w:ascii="Times New Roman" w:hAnsi="Times New Roman" w:cs="Times New Roman"/>
              </w:rPr>
            </w:pPr>
            <w:r>
              <w:rPr>
                <w:rFonts w:hint="default" w:ascii="Times New Roman" w:hAnsi="Times New Roman" w:cs="Times New Roman"/>
              </w:rPr>
              <w:t>本项目距太湖最近距离</w:t>
            </w:r>
            <w:r>
              <w:rPr>
                <w:rFonts w:hint="default" w:ascii="Times New Roman" w:hAnsi="Times New Roman" w:cs="Times New Roman"/>
                <w:lang w:val="en-US" w:eastAsia="zh-CN"/>
              </w:rPr>
              <w:t>9</w:t>
            </w:r>
            <w:r>
              <w:rPr>
                <w:rFonts w:hint="default" w:ascii="Times New Roman" w:hAnsi="Times New Roman" w:cs="Times New Roman"/>
              </w:rPr>
              <w:t>km，根据《省政府办公厅关于公布江苏省太湖流域三级保护区范围的通知》（苏政办发〔2012〕221号）文件，本项目位于太湖三级保护区，应当严格贯彻落实《太湖流域管理条例》（国务院令第 604 号）和《江苏省太湖水污染防治条例》(江苏省人大常委会公告第71号）中的相关条例。</w:t>
            </w:r>
          </w:p>
          <w:p>
            <w:pPr>
              <w:ind w:firstLine="482"/>
              <w:jc w:val="center"/>
              <w:rPr>
                <w:b/>
                <w:bCs/>
              </w:rPr>
            </w:pPr>
            <w:r>
              <w:rPr>
                <w:b/>
                <w:bCs/>
              </w:rPr>
              <w:t>表2-1  政策相符性分析</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89"/>
              <w:gridCol w:w="5847"/>
              <w:gridCol w:w="22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Borders>
                    <w:bottom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序号</w:t>
                  </w:r>
                </w:p>
              </w:tc>
              <w:tc>
                <w:tcPr>
                  <w:tcW w:w="889" w:type="dxa"/>
                  <w:tcBorders>
                    <w:bottom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相关文件</w:t>
                  </w:r>
                </w:p>
              </w:tc>
              <w:tc>
                <w:tcPr>
                  <w:tcW w:w="5847" w:type="dxa"/>
                  <w:tcBorders>
                    <w:bottom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要求</w:t>
                  </w:r>
                </w:p>
              </w:tc>
              <w:tc>
                <w:tcPr>
                  <w:tcW w:w="2266" w:type="dxa"/>
                  <w:tcBorders>
                    <w:bottom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tcBorders>
                    <w:top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1</w:t>
                  </w:r>
                </w:p>
              </w:tc>
              <w:tc>
                <w:tcPr>
                  <w:tcW w:w="889" w:type="dxa"/>
                  <w:tcBorders>
                    <w:top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《太湖流域管理条例》（国务院令第604号）</w:t>
                  </w:r>
                </w:p>
              </w:tc>
              <w:tc>
                <w:tcPr>
                  <w:tcW w:w="5847" w:type="dxa"/>
                  <w:tcBorders>
                    <w:top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二十八条规定：排污单位排放水污染物，不得超过经核定的水污染物排放总量，并应当按照规定设置便于检查、采样的规范化排污口，悬挂标志牌；不得私设暗管或者采取其他规避监管的方式排放水污染物。禁止在太湖流域设置不符合国家产业政策和水环境综合治理要求的造纸、制革、酒精、淀粉、冶金、酿造、印染、电镀等排放水污染物的生产项目，现有的生产项目不能实现达标排放的，应当依法关闭。</w:t>
                  </w:r>
                </w:p>
              </w:tc>
              <w:tc>
                <w:tcPr>
                  <w:tcW w:w="2266" w:type="dxa"/>
                  <w:vMerge w:val="restart"/>
                  <w:tcBorders>
                    <w:top w:val="single" w:color="auto" w:sz="12" w:space="0"/>
                  </w:tcBorders>
                  <w:noWrap w:val="0"/>
                  <w:tcMar>
                    <w:top w:w="0" w:type="dxa"/>
                    <w:left w:w="0" w:type="dxa"/>
                    <w:bottom w:w="0" w:type="dxa"/>
                    <w:right w:w="0" w:type="dxa"/>
                  </w:tcMar>
                  <w:vAlign w:val="center"/>
                </w:tcPr>
                <w:p>
                  <w:pPr>
                    <w:spacing w:line="240" w:lineRule="auto"/>
                    <w:jc w:val="center"/>
                    <w:rPr>
                      <w:sz w:val="21"/>
                      <w:szCs w:val="21"/>
                    </w:rPr>
                  </w:pPr>
                  <w:r>
                    <w:rPr>
                      <w:sz w:val="21"/>
                      <w:szCs w:val="21"/>
                    </w:rPr>
                    <w:t>本项目西侧最近距太湖15km，本次技改不新增含氮磷生产废水排放，生活污水接管至新区污水处理厂，不属于《太湖流域管理条例》禁止设置项目，也不属于《江苏省太湖水污染防治条例》中太湖流域一、二、三级保护区禁止行为。因此，本项目符合《太湖流域管理条例》（国务院令第604号）和《江苏省太湖水污染防治条例》(江苏省人大常委会公告第71号）的相关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noWrap w:val="0"/>
                  <w:tcMar>
                    <w:top w:w="0" w:type="dxa"/>
                    <w:left w:w="0" w:type="dxa"/>
                    <w:bottom w:w="0" w:type="dxa"/>
                    <w:right w:w="0" w:type="dxa"/>
                  </w:tcMar>
                  <w:vAlign w:val="center"/>
                </w:tcPr>
                <w:p>
                  <w:pPr>
                    <w:spacing w:line="240" w:lineRule="auto"/>
                    <w:jc w:val="center"/>
                    <w:rPr>
                      <w:sz w:val="21"/>
                      <w:szCs w:val="21"/>
                    </w:rPr>
                  </w:pPr>
                  <w:r>
                    <w:rPr>
                      <w:sz w:val="21"/>
                      <w:szCs w:val="21"/>
                    </w:rPr>
                    <w:t>2</w:t>
                  </w:r>
                </w:p>
              </w:tc>
              <w:tc>
                <w:tcPr>
                  <w:tcW w:w="889" w:type="dxa"/>
                  <w:noWrap w:val="0"/>
                  <w:tcMar>
                    <w:top w:w="0" w:type="dxa"/>
                    <w:left w:w="0" w:type="dxa"/>
                    <w:bottom w:w="0" w:type="dxa"/>
                    <w:right w:w="0" w:type="dxa"/>
                  </w:tcMar>
                  <w:vAlign w:val="center"/>
                </w:tcPr>
                <w:p>
                  <w:pPr>
                    <w:spacing w:line="240" w:lineRule="auto"/>
                    <w:jc w:val="center"/>
                    <w:rPr>
                      <w:sz w:val="21"/>
                      <w:szCs w:val="21"/>
                    </w:rPr>
                  </w:pPr>
                  <w:r>
                    <w:rPr>
                      <w:sz w:val="21"/>
                      <w:szCs w:val="21"/>
                    </w:rPr>
                    <w:t>《江苏省太湖水污染防治条例》(江苏省人大常委会公告第71号）</w:t>
                  </w:r>
                </w:p>
              </w:tc>
              <w:tc>
                <w:tcPr>
                  <w:tcW w:w="5847" w:type="dxa"/>
                  <w:noWrap w:val="0"/>
                  <w:tcMar>
                    <w:top w:w="0" w:type="dxa"/>
                    <w:left w:w="0" w:type="dxa"/>
                    <w:bottom w:w="0" w:type="dxa"/>
                    <w:right w:w="0" w:type="dxa"/>
                  </w:tcMar>
                  <w:vAlign w:val="center"/>
                </w:tcPr>
                <w:p>
                  <w:pPr>
                    <w:spacing w:line="240" w:lineRule="auto"/>
                    <w:jc w:val="center"/>
                    <w:rPr>
                      <w:sz w:val="21"/>
                      <w:szCs w:val="21"/>
                    </w:rPr>
                  </w:pPr>
                  <w:r>
                    <w:rPr>
                      <w:sz w:val="21"/>
                      <w:szCs w:val="21"/>
                    </w:rPr>
                    <w:t>太湖流域一、二、三级保护区禁止下列行为：（一）新建、改建、扩建化学制浆造纸、制革、酿造、染料、印染、电镀以及其他排放含磷、氮等污染物的企业和项目，城镇污水集中处理等环境基础设施项目和第四十六条规定的情形除外；（二）销售、使用含磷洗涤用品；（三）向水体排放或者倾倒油类、酸液、碱液、剧毒废渣废液、含放射性废渣废液、含病原体污水、工业废渣以及其他废弃物；（四）在水体清洗装贮过油类或者有毒有害污染物的车辆、船舶和容器等；（五）使用农药等有毒物毒杀水生生物；（六）向水体直接排放人畜粪便、倾倒垃圾；（七）围湖造地；（八）违法开山采石，或者进行破坏林木、植被、水生生物的活动；（九）法律、法规禁止的其他行为。</w:t>
                  </w:r>
                </w:p>
              </w:tc>
              <w:tc>
                <w:tcPr>
                  <w:tcW w:w="2266" w:type="dxa"/>
                  <w:vMerge w:val="continue"/>
                  <w:noWrap w:val="0"/>
                  <w:tcMar>
                    <w:top w:w="0" w:type="dxa"/>
                    <w:left w:w="0" w:type="dxa"/>
                    <w:bottom w:w="0" w:type="dxa"/>
                    <w:right w:w="0" w:type="dxa"/>
                  </w:tcMar>
                  <w:vAlign w:val="center"/>
                </w:tcPr>
                <w:p>
                  <w:pPr>
                    <w:spacing w:line="240" w:lineRule="auto"/>
                    <w:jc w:val="center"/>
                    <w:rPr>
                      <w:sz w:val="21"/>
                      <w:szCs w:val="21"/>
                    </w:rPr>
                  </w:pPr>
                </w:p>
              </w:tc>
            </w:tr>
          </w:tbl>
          <w:p>
            <w:pPr>
              <w:ind w:firstLine="482" w:firstLineChars="200"/>
              <w:rPr>
                <w:b/>
                <w:bCs/>
              </w:rPr>
            </w:pPr>
            <w:r>
              <w:rPr>
                <w:b/>
                <w:bCs/>
              </w:rPr>
              <w:t>（4）与《江苏省生态红线区域保护规划》、《江苏省国家级生态保护红线规划》相符性分析相符性分析</w:t>
            </w:r>
          </w:p>
          <w:p>
            <w:pPr>
              <w:widowControl/>
              <w:ind w:firstLine="480"/>
              <w:rPr>
                <w:kern w:val="0"/>
              </w:rPr>
            </w:pPr>
            <w:r>
              <w:rPr>
                <w:kern w:val="0"/>
              </w:rPr>
              <w:t>本项目与江苏省生态红线区域的相对位置详见表2-2。</w:t>
            </w:r>
          </w:p>
          <w:p>
            <w:pPr>
              <w:snapToGrid w:val="0"/>
              <w:jc w:val="center"/>
              <w:rPr>
                <w:b/>
              </w:rPr>
            </w:pPr>
            <w:r>
              <w:rPr>
                <w:b/>
              </w:rPr>
              <w:t>表2-2  项目所在区域生态保护区</w:t>
            </w:r>
          </w:p>
          <w:tbl>
            <w:tblPr>
              <w:tblStyle w:val="26"/>
              <w:tblpPr w:leftFromText="180" w:rightFromText="180" w:vertAnchor="text" w:horzAnchor="page" w:tblpX="95" w:tblpY="44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360"/>
              <w:gridCol w:w="1586"/>
              <w:gridCol w:w="2493"/>
              <w:gridCol w:w="679"/>
              <w:gridCol w:w="680"/>
              <w:gridCol w:w="700"/>
              <w:gridCol w:w="7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5" w:type="dxa"/>
                  <w:vMerge w:val="restart"/>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名称</w:t>
                  </w:r>
                </w:p>
              </w:tc>
              <w:tc>
                <w:tcPr>
                  <w:tcW w:w="1360" w:type="dxa"/>
                  <w:vMerge w:val="restart"/>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主导生态功能</w:t>
                  </w:r>
                </w:p>
              </w:tc>
              <w:tc>
                <w:tcPr>
                  <w:tcW w:w="4079" w:type="dxa"/>
                  <w:gridSpan w:val="2"/>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红线区域范围</w:t>
                  </w:r>
                </w:p>
              </w:tc>
              <w:tc>
                <w:tcPr>
                  <w:tcW w:w="2059" w:type="dxa"/>
                  <w:gridSpan w:val="3"/>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面积（平方公里）</w:t>
                  </w:r>
                </w:p>
              </w:tc>
              <w:tc>
                <w:tcPr>
                  <w:tcW w:w="729" w:type="dxa"/>
                  <w:vMerge w:val="restart"/>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边界最近距离km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5" w:type="dxa"/>
                  <w:vMerge w:val="continue"/>
                  <w:noWrap w:val="0"/>
                  <w:vAlign w:val="center"/>
                </w:tcPr>
                <w:p>
                  <w:pPr>
                    <w:spacing w:line="240" w:lineRule="auto"/>
                    <w:jc w:val="center"/>
                    <w:rPr>
                      <w:rFonts w:hint="default" w:ascii="Times New Roman" w:hAnsi="Times New Roman" w:eastAsia="宋体" w:cs="Times New Roman"/>
                      <w:b/>
                      <w:sz w:val="21"/>
                      <w:szCs w:val="21"/>
                    </w:rPr>
                  </w:pPr>
                </w:p>
              </w:tc>
              <w:tc>
                <w:tcPr>
                  <w:tcW w:w="1360" w:type="dxa"/>
                  <w:vMerge w:val="continue"/>
                  <w:noWrap w:val="0"/>
                  <w:vAlign w:val="center"/>
                </w:tcPr>
                <w:p>
                  <w:pPr>
                    <w:spacing w:line="240" w:lineRule="auto"/>
                    <w:jc w:val="center"/>
                    <w:rPr>
                      <w:rFonts w:hint="default" w:ascii="Times New Roman" w:hAnsi="Times New Roman" w:eastAsia="宋体" w:cs="Times New Roman"/>
                      <w:b/>
                      <w:sz w:val="21"/>
                      <w:szCs w:val="21"/>
                    </w:rPr>
                  </w:pPr>
                </w:p>
              </w:tc>
              <w:tc>
                <w:tcPr>
                  <w:tcW w:w="1586" w:type="dxa"/>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一级管控区</w:t>
                  </w:r>
                </w:p>
              </w:tc>
              <w:tc>
                <w:tcPr>
                  <w:tcW w:w="2493" w:type="dxa"/>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二级管控区</w:t>
                  </w:r>
                </w:p>
              </w:tc>
              <w:tc>
                <w:tcPr>
                  <w:tcW w:w="679" w:type="dxa"/>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总面积</w:t>
                  </w:r>
                </w:p>
              </w:tc>
              <w:tc>
                <w:tcPr>
                  <w:tcW w:w="680" w:type="dxa"/>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一级管控区</w:t>
                  </w:r>
                </w:p>
              </w:tc>
              <w:tc>
                <w:tcPr>
                  <w:tcW w:w="700" w:type="dxa"/>
                  <w:noWrap w:val="0"/>
                  <w:vAlign w:val="center"/>
                </w:tcPr>
                <w:p>
                  <w:pPr>
                    <w:spacing w:line="240" w:lineRule="auto"/>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二级管控区</w:t>
                  </w:r>
                </w:p>
              </w:tc>
              <w:tc>
                <w:tcPr>
                  <w:tcW w:w="729" w:type="dxa"/>
                  <w:vMerge w:val="continue"/>
                  <w:noWrap w:val="0"/>
                  <w:vAlign w:val="center"/>
                </w:tcPr>
                <w:p>
                  <w:pPr>
                    <w:spacing w:line="240" w:lineRule="auto"/>
                    <w:jc w:val="center"/>
                    <w:rPr>
                      <w:rFonts w:hint="default" w:ascii="Times New Roman" w:hAnsi="Times New Roman" w:eastAsia="宋体" w:cs="Times New Roman"/>
                      <w:b/>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5"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虎丘山风景名胜区</w:t>
                  </w:r>
                </w:p>
              </w:tc>
              <w:tc>
                <w:tcPr>
                  <w:tcW w:w="1360"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自然与人文景观保护</w:t>
                  </w:r>
                </w:p>
              </w:tc>
              <w:tc>
                <w:tcPr>
                  <w:tcW w:w="1586"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p>
              </w:tc>
              <w:tc>
                <w:tcPr>
                  <w:tcW w:w="2493" w:type="dxa"/>
                  <w:noWrap w:val="0"/>
                  <w:vAlign w:val="center"/>
                </w:tcPr>
                <w:p>
                  <w:pPr>
                    <w:autoSpaceDE/>
                    <w:autoSpaceDN/>
                    <w:snapToGrid/>
                    <w:spacing w:line="264"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北至312国道，南至虎阜路，东至新塘路和虎阜路，西至郁家浜、山塘河、苏虞张连接线、西山苗桥、虎丘西路以西50米</w:t>
                  </w:r>
                </w:p>
              </w:tc>
              <w:tc>
                <w:tcPr>
                  <w:tcW w:w="679"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0.72</w:t>
                  </w:r>
                </w:p>
              </w:tc>
              <w:tc>
                <w:tcPr>
                  <w:tcW w:w="680"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eastAsia" w:cs="Times New Roman"/>
                      <w:snapToGrid/>
                      <w:kern w:val="2"/>
                      <w:sz w:val="21"/>
                      <w:szCs w:val="21"/>
                      <w:lang w:val="en-US" w:eastAsia="zh-CN" w:bidi="ar-SA"/>
                    </w:rPr>
                    <w:t>/</w:t>
                  </w:r>
                </w:p>
              </w:tc>
              <w:tc>
                <w:tcPr>
                  <w:tcW w:w="700" w:type="dxa"/>
                  <w:noWrap w:val="0"/>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0.72</w:t>
                  </w:r>
                </w:p>
              </w:tc>
              <w:tc>
                <w:tcPr>
                  <w:tcW w:w="729"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枫桥风景名胜区</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自然与人文景观保护</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东连枫桥路，南至金门路，西临大运河，北至上塘河</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0.14</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eastAsia" w:cs="Times New Roman"/>
                      <w:snapToGrid/>
                      <w:kern w:val="2"/>
                      <w:sz w:val="21"/>
                      <w:szCs w:val="21"/>
                      <w:lang w:val="en-US" w:eastAsia="zh-CN" w:bidi="ar-SA"/>
                    </w:rPr>
                    <w:t>/</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0.14</w:t>
                  </w:r>
                </w:p>
              </w:tc>
              <w:tc>
                <w:tcPr>
                  <w:tcW w:w="0" w:type="auto"/>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苏州白马涧风景名胜区</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自然与人文景观保护</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花山自然村以东，陆家湾以南，天平山以北，西至与吴中区交界。涉及建林村、新村村2个行政村</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1.03</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eastAsia" w:cs="Times New Roman"/>
                      <w:snapToGrid/>
                      <w:kern w:val="2"/>
                      <w:sz w:val="21"/>
                      <w:szCs w:val="21"/>
                      <w:lang w:val="en-US" w:eastAsia="zh-CN" w:bidi="ar-SA"/>
                    </w:rPr>
                    <w:t>/</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1.03</w:t>
                  </w:r>
                </w:p>
              </w:tc>
              <w:tc>
                <w:tcPr>
                  <w:tcW w:w="0" w:type="auto"/>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石湖（高新区）风景名胜区</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自然与人文景观保护</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高新区内上方山山体30米等高线以上区域及石湖水域</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北至环山路，东、南、西至吴中区界。石湖景区内有新丰村、石湖村2个行政村和石湖水产养殖场</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6.02</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2.2</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3.82</w:t>
                  </w:r>
                </w:p>
              </w:tc>
              <w:tc>
                <w:tcPr>
                  <w:tcW w:w="0" w:type="auto"/>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江苏大阳山国家森林公园</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自然与人文景观保护</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阳山环路以西，兴贤路以南，太湖大道以北，阳山环路西线以东，区域内包括浒关分区、东渚镇、通安镇、阳山林场，涉及新民村、石林村、观山村、香桥村、树山村、青峰村、宝山村、阳山村</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10.3</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eastAsia" w:cs="Times New Roman"/>
                      <w:snapToGrid/>
                      <w:kern w:val="2"/>
                      <w:sz w:val="21"/>
                      <w:szCs w:val="21"/>
                      <w:lang w:val="en-US" w:eastAsia="zh-CN" w:bidi="ar-SA"/>
                    </w:rPr>
                    <w:t>/</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10.3</w:t>
                  </w:r>
                </w:p>
              </w:tc>
              <w:tc>
                <w:tcPr>
                  <w:tcW w:w="0" w:type="auto"/>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太湖镇湖饮用水水源保护区</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水源水质保护</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一级管控区为一级保护区，范围为：以水厂取水口为中心，半径为500米的区域范围</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二级管控区为二级保护区，范围为：一级保护区外，外延2000米的水域范围和二级保护区水域与相对应的本岸背水坡堤脚外100米之间的陆域范围</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18.56</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0.79</w:t>
                  </w:r>
                </w:p>
              </w:tc>
              <w:tc>
                <w:tcPr>
                  <w:tcW w:w="0" w:type="auto"/>
                  <w:vAlign w:val="center"/>
                </w:tcPr>
                <w:p>
                  <w:pPr>
                    <w:autoSpaceDE/>
                    <w:autoSpaceDN/>
                    <w:snapToGrid/>
                    <w:spacing w:line="240" w:lineRule="auto"/>
                    <w:ind w:firstLine="0" w:firstLineChars="0"/>
                    <w:jc w:val="center"/>
                    <w:rPr>
                      <w:rFonts w:hint="default" w:ascii="Times New Roman" w:hAnsi="Times New Roman" w:eastAsia="宋体" w:cs="Times New Roman"/>
                      <w:snapToGrid/>
                      <w:kern w:val="2"/>
                      <w:sz w:val="21"/>
                      <w:szCs w:val="21"/>
                      <w:lang w:val="en-US" w:eastAsia="zh-CN" w:bidi="ar-SA"/>
                    </w:rPr>
                  </w:pPr>
                  <w:r>
                    <w:rPr>
                      <w:rFonts w:hint="default" w:ascii="Times New Roman" w:hAnsi="Times New Roman" w:eastAsia="宋体" w:cs="Times New Roman"/>
                      <w:snapToGrid/>
                      <w:kern w:val="2"/>
                      <w:sz w:val="21"/>
                      <w:szCs w:val="21"/>
                    </w:rPr>
                    <w:t>17.77</w:t>
                  </w:r>
                </w:p>
              </w:tc>
              <w:tc>
                <w:tcPr>
                  <w:tcW w:w="0" w:type="auto"/>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p>
              </w:tc>
            </w:tr>
          </w:tbl>
          <w:p>
            <w:pPr>
              <w:adjustRightInd w:val="0"/>
              <w:snapToGrid w:val="0"/>
              <w:ind w:firstLine="240" w:firstLineChars="100"/>
            </w:pPr>
          </w:p>
          <w:p>
            <w:pPr>
              <w:adjustRightInd w:val="0"/>
              <w:snapToGrid w:val="0"/>
              <w:ind w:firstLine="480" w:firstLineChars="200"/>
            </w:pPr>
            <w:r>
              <w:t>本项目位于苏州高新区</w:t>
            </w:r>
            <w:r>
              <w:rPr>
                <w:rFonts w:hint="eastAsia"/>
                <w:color w:val="auto"/>
              </w:rPr>
              <w:t>浒关分区东金芝路56号</w:t>
            </w:r>
            <w:r>
              <w:t>，距离东北处</w:t>
            </w:r>
            <w:r>
              <w:rPr>
                <w:kern w:val="0"/>
              </w:rPr>
              <w:t>枫桥风景名胜区</w:t>
            </w:r>
            <w:r>
              <w:t>2.7km不在其红线区域范围内。</w:t>
            </w:r>
          </w:p>
          <w:p>
            <w:pPr>
              <w:pStyle w:val="21"/>
              <w:tabs>
                <w:tab w:val="left" w:pos="5046"/>
              </w:tabs>
              <w:spacing w:before="0" w:beforeAutospacing="0" w:after="0" w:afterAutospacing="0"/>
              <w:ind w:firstLine="482"/>
              <w:rPr>
                <w:kern w:val="0"/>
              </w:rPr>
            </w:pPr>
            <w:r>
              <w:rPr>
                <w:kern w:val="0"/>
              </w:rPr>
              <w:t>距离本项目最近的江苏省国家级生态保护红线为</w:t>
            </w:r>
            <w:r>
              <w:rPr>
                <w:rFonts w:hint="eastAsia"/>
                <w:kern w:val="0"/>
                <w:lang w:eastAsia="zh-CN"/>
              </w:rPr>
              <w:t>“</w:t>
            </w:r>
            <w:r>
              <w:rPr>
                <w:rFonts w:hint="eastAsia"/>
                <w:kern w:val="0"/>
              </w:rPr>
              <w:t>江苏大阳山国家森林公园</w:t>
            </w:r>
            <w:r>
              <w:rPr>
                <w:rFonts w:hint="eastAsia"/>
                <w:kern w:val="0"/>
                <w:lang w:eastAsia="zh-CN"/>
              </w:rPr>
              <w:t>”</w:t>
            </w:r>
            <w:r>
              <w:rPr>
                <w:kern w:val="0"/>
              </w:rPr>
              <w:t>，位于本项目</w:t>
            </w:r>
            <w:r>
              <w:rPr>
                <w:rFonts w:hint="eastAsia"/>
                <w:kern w:val="0"/>
                <w:lang w:val="en-US" w:eastAsia="zh-CN"/>
              </w:rPr>
              <w:t>西</w:t>
            </w:r>
            <w:r>
              <w:rPr>
                <w:kern w:val="0"/>
              </w:rPr>
              <w:t>南侧</w:t>
            </w:r>
            <w:r>
              <w:rPr>
                <w:rFonts w:hint="eastAsia"/>
                <w:kern w:val="0"/>
                <w:lang w:val="en-US" w:eastAsia="zh-CN"/>
              </w:rPr>
              <w:t>1000</w:t>
            </w:r>
            <w:r>
              <w:rPr>
                <w:kern w:val="0"/>
              </w:rPr>
              <w:t>m处，不在其保护区范围内，符合《江苏省国家级生态保护红线规划》要求。</w:t>
            </w:r>
          </w:p>
          <w:p>
            <w:pPr>
              <w:ind w:firstLine="480"/>
              <w:rPr>
                <w:b/>
                <w:bCs/>
              </w:rPr>
            </w:pPr>
            <w:r>
              <w:rPr>
                <w:b/>
                <w:bCs/>
              </w:rPr>
              <w:t>（5）《江苏省</w:t>
            </w:r>
            <w:r>
              <w:rPr>
                <w:rFonts w:hint="eastAsia"/>
                <w:b/>
                <w:bCs/>
                <w:lang w:eastAsia="zh-CN"/>
              </w:rPr>
              <w:t>“</w:t>
            </w:r>
            <w:r>
              <w:rPr>
                <w:b/>
                <w:bCs/>
              </w:rPr>
              <w:t>两减六治三提升</w:t>
            </w:r>
            <w:r>
              <w:rPr>
                <w:rFonts w:hint="eastAsia"/>
                <w:b/>
                <w:bCs/>
                <w:lang w:eastAsia="zh-CN"/>
              </w:rPr>
              <w:t>”</w:t>
            </w:r>
            <w:r>
              <w:rPr>
                <w:b/>
                <w:bCs/>
              </w:rPr>
              <w:t>专项行动实施方案》等相关文件相符性</w:t>
            </w:r>
          </w:p>
          <w:p>
            <w:pPr>
              <w:adjustRightInd w:val="0"/>
              <w:snapToGrid w:val="0"/>
              <w:ind w:firstLine="482"/>
            </w:pPr>
            <w:r>
              <w:t>本项目主要为</w:t>
            </w:r>
            <w:r>
              <w:rPr>
                <w:rFonts w:hint="eastAsia"/>
                <w:lang w:val="en-US" w:eastAsia="zh-CN"/>
              </w:rPr>
              <w:t>塑料制品</w:t>
            </w:r>
            <w:r>
              <w:t>制造，因此不属于《省政府办公厅关于印发江苏省</w:t>
            </w:r>
            <w:r>
              <w:rPr>
                <w:rFonts w:hint="eastAsia"/>
                <w:lang w:eastAsia="zh-CN"/>
              </w:rPr>
              <w:t>“</w:t>
            </w:r>
            <w:r>
              <w:t>两减六治三提升</w:t>
            </w:r>
            <w:r>
              <w:rPr>
                <w:rFonts w:hint="eastAsia"/>
                <w:lang w:eastAsia="zh-CN"/>
              </w:rPr>
              <w:t>”</w:t>
            </w:r>
            <w:r>
              <w:t>专项行动实施方案的通知》（苏政办发[2017]30号）、《中共江苏省委江苏省人民政府 关于印发《</w:t>
            </w:r>
            <w:r>
              <w:rPr>
                <w:rFonts w:hint="eastAsia"/>
                <w:lang w:eastAsia="zh-CN"/>
              </w:rPr>
              <w:t>“</w:t>
            </w:r>
            <w:r>
              <w:t>两减六治三提升</w:t>
            </w:r>
            <w:r>
              <w:rPr>
                <w:rFonts w:hint="eastAsia"/>
                <w:lang w:eastAsia="zh-CN"/>
              </w:rPr>
              <w:t>”</w:t>
            </w:r>
            <w:r>
              <w:t>专项行动方案的通知》》（苏发[2016]47号）、《市政府办公室关于印发苏州市</w:t>
            </w:r>
            <w:r>
              <w:rPr>
                <w:rFonts w:hint="eastAsia"/>
                <w:lang w:eastAsia="zh-CN"/>
              </w:rPr>
              <w:t>“</w:t>
            </w:r>
            <w:r>
              <w:t>两减六治三提升</w:t>
            </w:r>
            <w:r>
              <w:rPr>
                <w:rFonts w:hint="eastAsia"/>
                <w:lang w:eastAsia="zh-CN"/>
              </w:rPr>
              <w:t>”</w:t>
            </w:r>
            <w:r>
              <w:t>13个专项行动实施方案的通知》（苏府办[2017]108号）和《关于印发苏州高新区</w:t>
            </w:r>
            <w:r>
              <w:rPr>
                <w:rFonts w:hint="eastAsia"/>
                <w:lang w:eastAsia="zh-CN"/>
              </w:rPr>
              <w:t>“</w:t>
            </w:r>
            <w:r>
              <w:t>两减六治三提升</w:t>
            </w:r>
            <w:r>
              <w:rPr>
                <w:rFonts w:hint="eastAsia"/>
                <w:lang w:eastAsia="zh-CN"/>
              </w:rPr>
              <w:t>”</w:t>
            </w:r>
            <w:r>
              <w:t>专项行动实施方案的通知》（苏高新委[2017]33号）中的</w:t>
            </w:r>
            <w:r>
              <w:rPr>
                <w:rFonts w:hint="eastAsia"/>
                <w:lang w:eastAsia="zh-CN"/>
              </w:rPr>
              <w:t>“</w:t>
            </w:r>
            <w:r>
              <w:t>包装印刷、集装箱、交通工具、机械设备、人造板、家具、船舶制造等行业</w:t>
            </w:r>
            <w:r>
              <w:rPr>
                <w:rFonts w:hint="eastAsia"/>
                <w:lang w:eastAsia="zh-CN"/>
              </w:rPr>
              <w:t>”</w:t>
            </w:r>
            <w:r>
              <w:t>，项目产生的有机废气经水洗塔处理后排放，因此项目的建设符合省、市、高新区</w:t>
            </w:r>
            <w:r>
              <w:rPr>
                <w:rFonts w:hint="eastAsia"/>
                <w:lang w:eastAsia="zh-CN"/>
              </w:rPr>
              <w:t>“</w:t>
            </w:r>
            <w:r>
              <w:t>两减六治三提升</w:t>
            </w:r>
            <w:r>
              <w:rPr>
                <w:rFonts w:hint="eastAsia"/>
                <w:lang w:eastAsia="zh-CN"/>
              </w:rPr>
              <w:t>”</w:t>
            </w:r>
            <w:r>
              <w:t>的要求。</w:t>
            </w:r>
          </w:p>
          <w:p>
            <w:pPr>
              <w:ind w:firstLine="480"/>
              <w:rPr>
                <w:b/>
                <w:bCs/>
              </w:rPr>
            </w:pPr>
            <w:r>
              <w:rPr>
                <w:b/>
                <w:bCs/>
              </w:rPr>
              <w:t>（6）与</w:t>
            </w:r>
            <w:r>
              <w:rPr>
                <w:rFonts w:hint="eastAsia"/>
                <w:b/>
                <w:bCs/>
                <w:lang w:eastAsia="zh-CN"/>
              </w:rPr>
              <w:t>“</w:t>
            </w:r>
            <w:r>
              <w:rPr>
                <w:b/>
                <w:bCs/>
              </w:rPr>
              <w:t>江苏省重点行业挥发性有机物污染控制指南</w:t>
            </w:r>
            <w:r>
              <w:rPr>
                <w:rFonts w:hint="eastAsia"/>
                <w:b/>
                <w:bCs/>
                <w:lang w:eastAsia="zh-CN"/>
              </w:rPr>
              <w:t>”</w:t>
            </w:r>
            <w:r>
              <w:rPr>
                <w:b/>
                <w:bCs/>
              </w:rPr>
              <w:t>政策相符性</w:t>
            </w:r>
          </w:p>
          <w:p>
            <w:pPr>
              <w:snapToGrid w:val="0"/>
              <w:jc w:val="center"/>
            </w:pPr>
            <w:r>
              <w:rPr>
                <w:b/>
              </w:rPr>
              <w:t>表2-3  江苏省重点行业挥发性有机物污染控制指南相符性对比一览表</w:t>
            </w:r>
          </w:p>
          <w:tbl>
            <w:tblPr>
              <w:tblStyle w:val="2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3"/>
              <w:gridCol w:w="965"/>
              <w:gridCol w:w="4341"/>
              <w:gridCol w:w="2708"/>
              <w:gridCol w:w="9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w:t>
                  </w: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指南要求</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项目情况</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restart"/>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总体要求</w:t>
                  </w: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所有产生有机废气污染的企业，应优先采用环保型原辅料 、生产工艺和装备，对相应生产单元或设施进行密闭， 从源头控制 VOCs的产生，减少废气污染物排放</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不涉及挥发性有机物</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continue"/>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鼓励对排放的 VOCs 进行回收利用，并优先在生产系统内回用 。对浓度、性状差异较大的废气应分类收集，并采用适宜的方式进行有效处理，确保 VOCs 总去除率满足管理要求，其中有机化工 、医药化工、橡胶和塑料制品（有溶剂浸胶工艺）、溶剂型涂料表面涂装、包装印刷业的VOCs总收集、净化处理率均不低于90%，其他行业原则上不低于75%。</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净化处理率90%以上</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continue"/>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根据涂装工艺的不同，鼓励使用水性、高固份、粉末、紫外光固化涂料等低 VOCs 含量的环保型涂料， 限制使用溶剂型涂料， 其中汽车制造 、 家具制造、 电子和电器产品制造企业环保型涂料使用比例达到50%以上</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不涉及涂装</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continue"/>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推广采用静电喷涂、淋涂、辊涂、浸涂等涂装效率较高的涂装工艺，推广汽车行业先进涂装工艺技术的使用，优化喷漆工艺与设备，小型乘用车单位涂装面积的挥发性有机物排放量控制在35克/平方米以下。</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不涉及涂装</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continue"/>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喷漆室、流平室和烘干室应设置成完全封闭的围护结构体，配备有机废气收集和处理系统，原则上禁止露天和敞开式喷涂作业。若工艺有特殊要求，不能实现封闭作业，应报环保部门批准 。</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vMerge w:val="continue"/>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烘干废气应收集后采用焚烧方式处理，流平废气原则上纳入烘干废气处理系统一并处理 。</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不涉及</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喷漆废气应先采用干式过滤高效除漆雾、湿式水帘+多级过滤等工艺进行预处理， 再采用转轮吸附浓缩+高温焚烧方式处理，小型涂装企业也可采用蜂窝活性炭吸附-催化燃烧、填料塔吸收、活性炭吸附等多种方式净化后达标排放</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不涉及喷漆</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使用溶剂型涂料的表面涂装应安装高效回收净化设施</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不涉及</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center"/>
                </w:tcPr>
                <w:p>
                  <w:pPr>
                    <w:bidi w:val="0"/>
                    <w:spacing w:line="240" w:lineRule="auto"/>
                    <w:jc w:val="center"/>
                    <w:rPr>
                      <w:rFonts w:hint="default" w:ascii="Times New Roman" w:hAnsi="Times New Roman" w:eastAsia="宋体" w:cs="Times New Roman"/>
                      <w:sz w:val="21"/>
                      <w:szCs w:val="21"/>
                    </w:rPr>
                  </w:pPr>
                </w:p>
              </w:tc>
              <w:tc>
                <w:tcPr>
                  <w:tcW w:w="96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341"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溶剂储存可参考《 江苏省化工行业废气污染防治技术规范》相关要求</w:t>
                  </w:r>
                </w:p>
              </w:tc>
              <w:tc>
                <w:tcPr>
                  <w:tcW w:w="2708"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不涉及</w:t>
                  </w:r>
                </w:p>
              </w:tc>
              <w:tc>
                <w:tcPr>
                  <w:tcW w:w="925" w:type="dxa"/>
                  <w:noWrap w:val="0"/>
                  <w:vAlign w:val="center"/>
                </w:tcPr>
                <w:p>
                  <w:pPr>
                    <w:bidi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pPr>
              <w:adjustRightInd w:val="0"/>
              <w:snapToGrid w:val="0"/>
              <w:ind w:firstLine="482"/>
              <w:rPr>
                <w:b/>
                <w:bCs/>
              </w:rPr>
            </w:pPr>
            <w:r>
              <w:rPr>
                <w:b/>
                <w:bCs/>
              </w:rPr>
              <w:t>（7）与苏州高新区工业挥发性有机废气整治提升三年行动方案相符性</w:t>
            </w:r>
          </w:p>
          <w:p>
            <w:pPr>
              <w:jc w:val="center"/>
              <w:rPr>
                <w:b/>
                <w:bCs/>
                <w:sz w:val="21"/>
                <w:szCs w:val="21"/>
              </w:rPr>
            </w:pPr>
            <w:r>
              <w:rPr>
                <w:b/>
                <w:bCs/>
                <w:sz w:val="21"/>
                <w:szCs w:val="21"/>
              </w:rPr>
              <w:t>表2-4</w:t>
            </w:r>
            <w:r>
              <w:rPr>
                <w:rFonts w:hint="eastAsia"/>
                <w:b/>
                <w:bCs/>
                <w:sz w:val="21"/>
                <w:szCs w:val="21"/>
                <w:lang w:eastAsia="zh-CN"/>
              </w:rPr>
              <w:t>“</w:t>
            </w:r>
            <w:r>
              <w:rPr>
                <w:b/>
                <w:bCs/>
                <w:sz w:val="21"/>
                <w:szCs w:val="21"/>
              </w:rPr>
              <w:t>苏州高新区工业挥发性有机废气整治提升三年行动方案</w:t>
            </w:r>
            <w:r>
              <w:rPr>
                <w:rFonts w:hint="eastAsia"/>
                <w:b/>
                <w:bCs/>
                <w:sz w:val="21"/>
                <w:szCs w:val="21"/>
                <w:lang w:eastAsia="zh-CN"/>
              </w:rPr>
              <w:t>”</w:t>
            </w:r>
            <w:r>
              <w:rPr>
                <w:b/>
                <w:bCs/>
                <w:sz w:val="21"/>
                <w:szCs w:val="21"/>
              </w:rPr>
              <w:t>符合性分析</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5830"/>
              <w:gridCol w:w="2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tcBorders>
                    <w:bottom w:val="single" w:color="auto" w:sz="12" w:space="0"/>
                  </w:tcBorders>
                  <w:noWrap w:val="0"/>
                  <w:vAlign w:val="center"/>
                </w:tcPr>
                <w:p>
                  <w:pPr>
                    <w:spacing w:line="240" w:lineRule="auto"/>
                    <w:jc w:val="center"/>
                    <w:rPr>
                      <w:sz w:val="21"/>
                      <w:szCs w:val="21"/>
                    </w:rPr>
                  </w:pPr>
                  <w:r>
                    <w:rPr>
                      <w:sz w:val="21"/>
                      <w:szCs w:val="21"/>
                    </w:rPr>
                    <w:t>项目</w:t>
                  </w:r>
                </w:p>
              </w:tc>
              <w:tc>
                <w:tcPr>
                  <w:tcW w:w="5830" w:type="dxa"/>
                  <w:tcBorders>
                    <w:bottom w:val="single" w:color="auto" w:sz="12" w:space="0"/>
                  </w:tcBorders>
                  <w:noWrap w:val="0"/>
                  <w:vAlign w:val="center"/>
                </w:tcPr>
                <w:p>
                  <w:pPr>
                    <w:spacing w:line="240" w:lineRule="auto"/>
                    <w:jc w:val="center"/>
                    <w:rPr>
                      <w:sz w:val="21"/>
                      <w:szCs w:val="21"/>
                    </w:rPr>
                  </w:pPr>
                  <w:r>
                    <w:rPr>
                      <w:sz w:val="21"/>
                      <w:szCs w:val="21"/>
                    </w:rPr>
                    <w:t>内容</w:t>
                  </w:r>
                </w:p>
              </w:tc>
              <w:tc>
                <w:tcPr>
                  <w:tcW w:w="2556" w:type="dxa"/>
                  <w:tcBorders>
                    <w:bottom w:val="single" w:color="auto" w:sz="12" w:space="0"/>
                  </w:tcBorders>
                  <w:noWrap w:val="0"/>
                  <w:vAlign w:val="center"/>
                </w:tcPr>
                <w:p>
                  <w:pPr>
                    <w:spacing w:line="240" w:lineRule="auto"/>
                    <w:jc w:val="center"/>
                    <w:rPr>
                      <w:sz w:val="21"/>
                      <w:szCs w:val="21"/>
                    </w:rPr>
                  </w:pPr>
                  <w:r>
                    <w:rPr>
                      <w:sz w:val="21"/>
                      <w:szCs w:val="21"/>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restart"/>
                  <w:tcBorders>
                    <w:top w:val="single" w:color="auto" w:sz="12" w:space="0"/>
                  </w:tcBorders>
                  <w:noWrap w:val="0"/>
                  <w:vAlign w:val="center"/>
                </w:tcPr>
                <w:p>
                  <w:pPr>
                    <w:spacing w:line="240" w:lineRule="auto"/>
                    <w:jc w:val="center"/>
                    <w:rPr>
                      <w:sz w:val="21"/>
                      <w:szCs w:val="21"/>
                    </w:rPr>
                  </w:pPr>
                  <w:r>
                    <w:rPr>
                      <w:sz w:val="21"/>
                      <w:szCs w:val="21"/>
                    </w:rPr>
                    <w:t>一、收集处理要求</w:t>
                  </w:r>
                </w:p>
              </w:tc>
              <w:tc>
                <w:tcPr>
                  <w:tcW w:w="5830" w:type="dxa"/>
                  <w:tcBorders>
                    <w:top w:val="single" w:color="auto" w:sz="12" w:space="0"/>
                  </w:tcBorders>
                  <w:noWrap w:val="0"/>
                  <w:vAlign w:val="center"/>
                </w:tcPr>
                <w:p>
                  <w:pPr>
                    <w:spacing w:line="240" w:lineRule="auto"/>
                    <w:jc w:val="both"/>
                    <w:rPr>
                      <w:sz w:val="21"/>
                      <w:szCs w:val="21"/>
                    </w:rPr>
                  </w:pPr>
                  <w:r>
                    <w:rPr>
                      <w:b/>
                      <w:sz w:val="21"/>
                      <w:szCs w:val="21"/>
                    </w:rPr>
                    <w:t>源头控制：</w:t>
                  </w:r>
                  <w:r>
                    <w:rPr>
                      <w:sz w:val="21"/>
                      <w:szCs w:val="21"/>
                    </w:rPr>
                    <w:t>在技术条件允许的前提下，包装印刷、集装箱、交通工具、机械设备、人造板、家具、船舶制造等行业使用低VOCs含量的涂料、胶黏剂、清洗剂、油墨替代原有的有机溶剂，对相应生产设备以连续化、自动化、密闭化替代间歇式、敞开式生产方式，减少物料与外环境的接触。</w:t>
                  </w:r>
                </w:p>
              </w:tc>
              <w:tc>
                <w:tcPr>
                  <w:tcW w:w="2556" w:type="dxa"/>
                  <w:tcBorders>
                    <w:top w:val="single" w:color="auto" w:sz="12" w:space="0"/>
                  </w:tcBorders>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b/>
                      <w:sz w:val="21"/>
                      <w:szCs w:val="21"/>
                    </w:rPr>
                    <w:t>提高收集效率：</w:t>
                  </w:r>
                  <w:r>
                    <w:rPr>
                      <w:sz w:val="21"/>
                      <w:szCs w:val="21"/>
                    </w:rPr>
                    <w:t>有机化工、医药化工、橡胶和塑料制品（有溶剂浸胶工艺）、溶剂型涂料表面涂装、包装印刷业和VOCs排放总量≥1t/a的企业，按照VOCs总收集率不低于90%的标准进行改造，其他行业原则上按照不低于75%的标准进行改造。</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rPr>
                      <w:sz w:val="21"/>
                      <w:szCs w:val="21"/>
                    </w:rPr>
                  </w:pPr>
                  <w:r>
                    <w:rPr>
                      <w:b/>
                      <w:sz w:val="21"/>
                      <w:szCs w:val="21"/>
                    </w:rPr>
                    <w:t>废气输送方式：</w:t>
                  </w:r>
                  <w:r>
                    <w:rPr>
                      <w:sz w:val="21"/>
                      <w:szCs w:val="21"/>
                    </w:rPr>
                    <w:t>参照《江苏省化工行业废气污染防治技术规范》，减少废气在输送过程中因管道泄露导致的对环境的影响。</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b/>
                      <w:sz w:val="21"/>
                      <w:szCs w:val="21"/>
                    </w:rPr>
                    <w:t>末端处理效率：</w:t>
                  </w:r>
                  <w:r>
                    <w:rPr>
                      <w:sz w:val="21"/>
                      <w:szCs w:val="21"/>
                    </w:rPr>
                    <w:t>有机化工、医药化工、橡胶和塑料制品、溶剂型涂料表面涂装、包装印刷等行业企业按照净化处理效率不低于90%的标准进行改造，其他行业原则上按照不低于75%的标准进行改造。</w:t>
                  </w:r>
                </w:p>
                <w:p>
                  <w:pPr>
                    <w:spacing w:line="240" w:lineRule="auto"/>
                    <w:jc w:val="center"/>
                    <w:rPr>
                      <w:sz w:val="21"/>
                      <w:szCs w:val="21"/>
                    </w:rPr>
                  </w:pPr>
                  <w:r>
                    <w:rPr>
                      <w:sz w:val="21"/>
                      <w:szCs w:val="21"/>
                    </w:rPr>
                    <w:t>非甲烷总烃进气浓度≥70mg/m</w:t>
                  </w:r>
                  <w:r>
                    <w:rPr>
                      <w:sz w:val="21"/>
                      <w:szCs w:val="21"/>
                      <w:vertAlign w:val="superscript"/>
                    </w:rPr>
                    <w:t>3</w:t>
                  </w:r>
                  <w:r>
                    <w:rPr>
                      <w:sz w:val="21"/>
                      <w:szCs w:val="21"/>
                    </w:rPr>
                    <w:t>或者产生量≥2t/a的企业废气处理工艺不允许选择仅活性炭处理的末端治理方式。</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rPr>
                      <w:sz w:val="21"/>
                      <w:szCs w:val="21"/>
                    </w:rPr>
                  </w:pPr>
                  <w:r>
                    <w:rPr>
                      <w:b/>
                      <w:sz w:val="21"/>
                      <w:szCs w:val="21"/>
                    </w:rPr>
                    <w:t>提高环保管理水平：</w:t>
                  </w:r>
                  <w:r>
                    <w:rPr>
                      <w:sz w:val="21"/>
                      <w:szCs w:val="21"/>
                    </w:rPr>
                    <w:t>企业成立有关机构和专门人员负责VOCs污染控制相关工作；建立健全与废气治理设施相关的规章制度、岗位责任、运行维护、操作技术和规程，应记录原辅材料的类别、使用量、产品产量和废气处理设施运行状况、废溶剂、废吸收剂回收台账等信息，制定吸附剂、催化剂和吸收液等药剂的购买及更换台账；制定和落实废气污染治理设施维修制度、检修计划，确保设施正常运行；安装在线监测设备的，应记录在线监测装置获取的VOCs排放浓度，作为设施日常稳定运行情况的考核依据。</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restart"/>
                  <w:noWrap w:val="0"/>
                  <w:vAlign w:val="center"/>
                </w:tcPr>
                <w:p>
                  <w:pPr>
                    <w:spacing w:line="240" w:lineRule="auto"/>
                    <w:jc w:val="center"/>
                    <w:rPr>
                      <w:sz w:val="21"/>
                      <w:szCs w:val="21"/>
                    </w:rPr>
                  </w:pPr>
                  <w:r>
                    <w:rPr>
                      <w:sz w:val="21"/>
                      <w:szCs w:val="21"/>
                    </w:rPr>
                    <w:t>二、严格新建项目准入</w:t>
                  </w:r>
                </w:p>
              </w:tc>
              <w:tc>
                <w:tcPr>
                  <w:tcW w:w="5830" w:type="dxa"/>
                  <w:noWrap w:val="0"/>
                  <w:vAlign w:val="center"/>
                </w:tcPr>
                <w:p>
                  <w:pPr>
                    <w:spacing w:line="240" w:lineRule="auto"/>
                    <w:jc w:val="center"/>
                    <w:rPr>
                      <w:sz w:val="21"/>
                      <w:szCs w:val="21"/>
                    </w:rPr>
                  </w:pPr>
                  <w:r>
                    <w:rPr>
                      <w:sz w:val="21"/>
                      <w:szCs w:val="21"/>
                    </w:rPr>
                    <w:t>1、喷涂、电泳等表面涂装和涉有机溶剂的印刷、涂布、清洗、浸渍等排放VOCs的处理工艺，除为主体项目配套外，原则上律不予准入。</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2、VOCs排放总量≥3t/a的建设项目，投资额不得低于5000万人民币，VOCs排放总量≥5t/a的建设项目，投资额不得低于1个亿人民币。</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3、严格限制VOCs新增排放量≥10t/a以上项目的准入。</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4、包装印刷、集装箱、交通工具、机械设备、人造板、家具、船舶制造等行业，使用低VOCs含量的涂料、胶黏剂、清洗剂、油墨等有机溶剂。</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5、严格控制敏感目标周边300米范围内建设挥发性有机物排放量大（≥3t/a）的工业项目，切实减少对敏感目标的影响。</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6、化工集中区、高架沿线、中心城区等信访投诉较多的环境敏感区域内新增VOCs项目排放总量在项目所在地人民政府（街道办、管委会）范围内平衡；其他项目按照倍量削减政策在全区范围内平衡。</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vMerge w:val="continue"/>
                  <w:noWrap w:val="0"/>
                  <w:vAlign w:val="center"/>
                </w:tcPr>
                <w:p>
                  <w:pPr>
                    <w:spacing w:line="240" w:lineRule="auto"/>
                    <w:jc w:val="center"/>
                    <w:rPr>
                      <w:sz w:val="21"/>
                      <w:szCs w:val="21"/>
                    </w:rPr>
                  </w:pPr>
                </w:p>
              </w:tc>
              <w:tc>
                <w:tcPr>
                  <w:tcW w:w="5830" w:type="dxa"/>
                  <w:noWrap w:val="0"/>
                  <w:vAlign w:val="center"/>
                </w:tcPr>
                <w:p>
                  <w:pPr>
                    <w:spacing w:line="240" w:lineRule="auto"/>
                    <w:jc w:val="center"/>
                    <w:rPr>
                      <w:sz w:val="21"/>
                      <w:szCs w:val="21"/>
                    </w:rPr>
                  </w:pPr>
                  <w:r>
                    <w:rPr>
                      <w:sz w:val="21"/>
                      <w:szCs w:val="21"/>
                    </w:rPr>
                    <w:t>7、按照前文所述废气收集、处理等要求严格新项目的准入。</w:t>
                  </w:r>
                </w:p>
              </w:tc>
              <w:tc>
                <w:tcPr>
                  <w:tcW w:w="2556" w:type="dxa"/>
                  <w:noWrap w:val="0"/>
                  <w:vAlign w:val="center"/>
                </w:tcPr>
                <w:p>
                  <w:pPr>
                    <w:spacing w:line="240" w:lineRule="auto"/>
                    <w:jc w:val="center"/>
                    <w:rPr>
                      <w:sz w:val="21"/>
                      <w:szCs w:val="21"/>
                    </w:rPr>
                  </w:pPr>
                  <w:r>
                    <w:rPr>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center"/>
                </w:tcPr>
                <w:p>
                  <w:pPr>
                    <w:spacing w:line="240" w:lineRule="auto"/>
                    <w:jc w:val="center"/>
                    <w:rPr>
                      <w:sz w:val="21"/>
                      <w:szCs w:val="21"/>
                    </w:rPr>
                  </w:pPr>
                  <w:r>
                    <w:rPr>
                      <w:sz w:val="21"/>
                      <w:szCs w:val="21"/>
                    </w:rPr>
                    <w:t>三、提高执法监管和服务水平</w:t>
                  </w:r>
                </w:p>
              </w:tc>
              <w:tc>
                <w:tcPr>
                  <w:tcW w:w="5830" w:type="dxa"/>
                  <w:noWrap w:val="0"/>
                  <w:vAlign w:val="center"/>
                </w:tcPr>
                <w:p>
                  <w:pPr>
                    <w:spacing w:line="240" w:lineRule="auto"/>
                    <w:jc w:val="center"/>
                    <w:rPr>
                      <w:sz w:val="21"/>
                      <w:szCs w:val="21"/>
                    </w:rPr>
                  </w:pPr>
                  <w:r>
                    <w:rPr>
                      <w:sz w:val="21"/>
                      <w:szCs w:val="21"/>
                    </w:rPr>
                    <w:t>1、严格执行排放标准。涉VOCs行业工业企业有组织废气非甲烷总烃排放浓度执行70mg/m</w:t>
                  </w:r>
                  <w:r>
                    <w:rPr>
                      <w:sz w:val="21"/>
                      <w:szCs w:val="21"/>
                      <w:vertAlign w:val="superscript"/>
                    </w:rPr>
                    <w:t>3</w:t>
                  </w:r>
                  <w:r>
                    <w:rPr>
                      <w:sz w:val="21"/>
                      <w:szCs w:val="21"/>
                    </w:rPr>
                    <w:t>。其他有组织废气和无组织废气有机污染物因子排放标准执行《大气污染物综合排放标准》（GB 16297-1996）浓度的80%。</w:t>
                  </w:r>
                </w:p>
              </w:tc>
              <w:tc>
                <w:tcPr>
                  <w:tcW w:w="2556" w:type="dxa"/>
                  <w:noWrap w:val="0"/>
                  <w:vAlign w:val="center"/>
                </w:tcPr>
                <w:p>
                  <w:pPr>
                    <w:spacing w:line="240" w:lineRule="auto"/>
                    <w:jc w:val="center"/>
                    <w:rPr>
                      <w:sz w:val="21"/>
                      <w:szCs w:val="21"/>
                    </w:rPr>
                  </w:pPr>
                  <w:r>
                    <w:rPr>
                      <w:sz w:val="21"/>
                      <w:szCs w:val="21"/>
                    </w:rPr>
                    <w:t>相符</w:t>
                  </w:r>
                </w:p>
              </w:tc>
            </w:tr>
          </w:tbl>
          <w:p>
            <w:pPr>
              <w:numPr>
                <w:ilvl w:val="0"/>
                <w:numId w:val="2"/>
              </w:numPr>
              <w:spacing w:line="480" w:lineRule="exact"/>
              <w:ind w:firstLine="482" w:firstLineChars="200"/>
              <w:rPr>
                <w:b/>
                <w:bCs/>
              </w:rPr>
            </w:pPr>
            <w:r>
              <w:rPr>
                <w:b/>
                <w:bCs/>
              </w:rPr>
              <w:t>项目建设与</w:t>
            </w:r>
            <w:r>
              <w:rPr>
                <w:rFonts w:hint="eastAsia"/>
                <w:b/>
                <w:bCs/>
                <w:lang w:eastAsia="zh-CN"/>
              </w:rPr>
              <w:t>“</w:t>
            </w:r>
            <w:r>
              <w:rPr>
                <w:b/>
                <w:bCs/>
              </w:rPr>
              <w:t>三线一单</w:t>
            </w:r>
            <w:r>
              <w:rPr>
                <w:rFonts w:hint="eastAsia"/>
                <w:b/>
                <w:bCs/>
                <w:lang w:eastAsia="zh-CN"/>
              </w:rPr>
              <w:t>”</w:t>
            </w:r>
            <w:r>
              <w:rPr>
                <w:b/>
                <w:bCs/>
              </w:rPr>
              <w:t>相符性分析</w:t>
            </w:r>
          </w:p>
          <w:p>
            <w:pPr>
              <w:ind w:firstLine="480" w:firstLineChars="200"/>
            </w:pPr>
            <w:r>
              <w:rPr>
                <w:bCs/>
              </w:rPr>
              <w:t>（1）与生态红线相符性分析</w:t>
            </w:r>
          </w:p>
          <w:p>
            <w:pPr>
              <w:snapToGrid w:val="0"/>
              <w:spacing w:line="480" w:lineRule="exact"/>
              <w:ind w:firstLine="480" w:firstLineChars="200"/>
            </w:pPr>
            <w:r>
              <w:t>根据《江苏省国家级生态保护红线规划》，高新区范围内的生态保护红线见表2-1。</w:t>
            </w:r>
          </w:p>
          <w:p>
            <w:pPr>
              <w:spacing w:line="480" w:lineRule="exact"/>
              <w:ind w:firstLine="422" w:firstLineChars="200"/>
              <w:jc w:val="center"/>
              <w:rPr>
                <w:b/>
                <w:sz w:val="21"/>
                <w:szCs w:val="21"/>
              </w:rPr>
            </w:pPr>
            <w:r>
              <w:rPr>
                <w:b/>
                <w:sz w:val="21"/>
                <w:szCs w:val="21"/>
              </w:rPr>
              <w:t>表2-1  生态保护红线区域</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525"/>
              <w:gridCol w:w="1473"/>
              <w:gridCol w:w="5082"/>
              <w:gridCol w:w="1342"/>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jc w:val="center"/>
              </w:trPr>
              <w:tc>
                <w:tcPr>
                  <w:tcW w:w="1525" w:type="dxa"/>
                  <w:noWrap w:val="0"/>
                  <w:vAlign w:val="center"/>
                </w:tcPr>
                <w:p>
                  <w:pPr>
                    <w:spacing w:line="240" w:lineRule="auto"/>
                    <w:jc w:val="center"/>
                    <w:rPr>
                      <w:b/>
                      <w:bCs/>
                      <w:sz w:val="21"/>
                      <w:szCs w:val="21"/>
                    </w:rPr>
                  </w:pPr>
                  <w:r>
                    <w:rPr>
                      <w:b/>
                      <w:bCs/>
                      <w:sz w:val="21"/>
                      <w:szCs w:val="21"/>
                    </w:rPr>
                    <w:t>生态保护红线名称</w:t>
                  </w:r>
                </w:p>
              </w:tc>
              <w:tc>
                <w:tcPr>
                  <w:tcW w:w="1473" w:type="dxa"/>
                  <w:noWrap w:val="0"/>
                  <w:vAlign w:val="center"/>
                </w:tcPr>
                <w:p>
                  <w:pPr>
                    <w:spacing w:line="240" w:lineRule="auto"/>
                    <w:jc w:val="center"/>
                    <w:rPr>
                      <w:b/>
                      <w:bCs/>
                      <w:sz w:val="21"/>
                      <w:szCs w:val="21"/>
                    </w:rPr>
                  </w:pPr>
                  <w:r>
                    <w:rPr>
                      <w:b/>
                      <w:bCs/>
                      <w:sz w:val="21"/>
                      <w:szCs w:val="21"/>
                    </w:rPr>
                    <w:t>类型</w:t>
                  </w:r>
                </w:p>
              </w:tc>
              <w:tc>
                <w:tcPr>
                  <w:tcW w:w="5082" w:type="dxa"/>
                  <w:noWrap w:val="0"/>
                  <w:vAlign w:val="center"/>
                </w:tcPr>
                <w:p>
                  <w:pPr>
                    <w:spacing w:line="240" w:lineRule="auto"/>
                    <w:jc w:val="center"/>
                    <w:rPr>
                      <w:b/>
                      <w:bCs/>
                      <w:sz w:val="21"/>
                      <w:szCs w:val="21"/>
                    </w:rPr>
                  </w:pPr>
                  <w:r>
                    <w:rPr>
                      <w:b/>
                      <w:bCs/>
                      <w:sz w:val="21"/>
                      <w:szCs w:val="21"/>
                    </w:rPr>
                    <w:t>地理位置</w:t>
                  </w:r>
                </w:p>
              </w:tc>
              <w:tc>
                <w:tcPr>
                  <w:tcW w:w="1342" w:type="dxa"/>
                  <w:noWrap w:val="0"/>
                  <w:vAlign w:val="center"/>
                </w:tcPr>
                <w:p>
                  <w:pPr>
                    <w:spacing w:line="240" w:lineRule="auto"/>
                    <w:jc w:val="center"/>
                    <w:rPr>
                      <w:b/>
                      <w:bCs/>
                      <w:sz w:val="21"/>
                      <w:szCs w:val="21"/>
                    </w:rPr>
                  </w:pPr>
                  <w:r>
                    <w:rPr>
                      <w:b/>
                      <w:bCs/>
                      <w:sz w:val="21"/>
                      <w:szCs w:val="21"/>
                    </w:rPr>
                    <w:t>区域面积</w:t>
                  </w:r>
                </w:p>
                <w:p>
                  <w:pPr>
                    <w:spacing w:line="240" w:lineRule="auto"/>
                    <w:jc w:val="center"/>
                    <w:rPr>
                      <w:b/>
                      <w:bCs/>
                      <w:sz w:val="21"/>
                      <w:szCs w:val="21"/>
                    </w:rPr>
                  </w:pPr>
                  <w:r>
                    <w:rPr>
                      <w:b/>
                      <w:bCs/>
                      <w:sz w:val="21"/>
                      <w:szCs w:val="21"/>
                    </w:rPr>
                    <w:t>（平方公里）</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jc w:val="center"/>
              </w:trPr>
              <w:tc>
                <w:tcPr>
                  <w:tcW w:w="1525" w:type="dxa"/>
                  <w:noWrap w:val="0"/>
                  <w:vAlign w:val="center"/>
                </w:tcPr>
                <w:p>
                  <w:pPr>
                    <w:spacing w:line="240" w:lineRule="auto"/>
                    <w:jc w:val="center"/>
                    <w:rPr>
                      <w:bCs/>
                      <w:sz w:val="21"/>
                      <w:szCs w:val="21"/>
                    </w:rPr>
                  </w:pPr>
                  <w:r>
                    <w:rPr>
                      <w:bCs/>
                      <w:sz w:val="21"/>
                      <w:szCs w:val="21"/>
                    </w:rPr>
                    <w:t>太湖金墅港饮用水水源保护</w:t>
                  </w:r>
                </w:p>
              </w:tc>
              <w:tc>
                <w:tcPr>
                  <w:tcW w:w="1473" w:type="dxa"/>
                  <w:noWrap w:val="0"/>
                  <w:vAlign w:val="center"/>
                </w:tcPr>
                <w:p>
                  <w:pPr>
                    <w:spacing w:line="240" w:lineRule="auto"/>
                    <w:jc w:val="center"/>
                    <w:rPr>
                      <w:bCs/>
                      <w:sz w:val="21"/>
                      <w:szCs w:val="21"/>
                    </w:rPr>
                  </w:pPr>
                  <w:r>
                    <w:rPr>
                      <w:bCs/>
                      <w:sz w:val="21"/>
                      <w:szCs w:val="21"/>
                    </w:rPr>
                    <w:t>饮用水水源保护区</w:t>
                  </w:r>
                </w:p>
              </w:tc>
              <w:tc>
                <w:tcPr>
                  <w:tcW w:w="5082" w:type="dxa"/>
                  <w:noWrap w:val="0"/>
                  <w:vAlign w:val="center"/>
                </w:tcPr>
                <w:p>
                  <w:pPr>
                    <w:spacing w:line="240" w:lineRule="auto"/>
                    <w:jc w:val="left"/>
                    <w:rPr>
                      <w:bCs/>
                      <w:sz w:val="21"/>
                      <w:szCs w:val="21"/>
                    </w:rPr>
                  </w:pPr>
                  <w:r>
                    <w:rPr>
                      <w:bCs/>
                      <w:sz w:val="21"/>
                      <w:szCs w:val="21"/>
                    </w:rPr>
                    <w:t>一级保护区：以2个水厂取水口（120°22'31.198"E，31°22'49.644"N；</w:t>
                  </w:r>
                </w:p>
                <w:p>
                  <w:pPr>
                    <w:spacing w:line="240" w:lineRule="auto"/>
                    <w:jc w:val="left"/>
                    <w:rPr>
                      <w:bCs/>
                      <w:sz w:val="21"/>
                      <w:szCs w:val="21"/>
                    </w:rPr>
                  </w:pPr>
                  <w:r>
                    <w:rPr>
                      <w:bCs/>
                      <w:sz w:val="21"/>
                      <w:szCs w:val="21"/>
                    </w:rPr>
                    <w:t>120°22'37.642"E，31°22'42.122"N）为中心，半径为500米的区域范围。</w:t>
                  </w:r>
                </w:p>
                <w:p>
                  <w:pPr>
                    <w:spacing w:line="240" w:lineRule="auto"/>
                    <w:jc w:val="left"/>
                    <w:rPr>
                      <w:bCs/>
                      <w:sz w:val="21"/>
                      <w:szCs w:val="21"/>
                    </w:rPr>
                  </w:pPr>
                  <w:r>
                    <w:rPr>
                      <w:bCs/>
                      <w:sz w:val="21"/>
                      <w:szCs w:val="21"/>
                    </w:rPr>
                    <w:t>二级保护区：一级保护区外延2000米的水域范围和一级保护区边界到太湖防洪大堤陆域范围</w:t>
                  </w:r>
                </w:p>
              </w:tc>
              <w:tc>
                <w:tcPr>
                  <w:tcW w:w="1342" w:type="dxa"/>
                  <w:noWrap w:val="0"/>
                  <w:vAlign w:val="center"/>
                </w:tcPr>
                <w:p>
                  <w:pPr>
                    <w:spacing w:line="240" w:lineRule="auto"/>
                    <w:jc w:val="center"/>
                    <w:rPr>
                      <w:bCs/>
                      <w:sz w:val="21"/>
                      <w:szCs w:val="21"/>
                    </w:rPr>
                  </w:pPr>
                  <w:r>
                    <w:rPr>
                      <w:bCs/>
                      <w:sz w:val="21"/>
                      <w:szCs w:val="21"/>
                    </w:rPr>
                    <w:t>14.84</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jc w:val="center"/>
              </w:trPr>
              <w:tc>
                <w:tcPr>
                  <w:tcW w:w="1525" w:type="dxa"/>
                  <w:noWrap w:val="0"/>
                  <w:vAlign w:val="center"/>
                </w:tcPr>
                <w:p>
                  <w:pPr>
                    <w:spacing w:line="240" w:lineRule="auto"/>
                    <w:jc w:val="center"/>
                    <w:rPr>
                      <w:bCs/>
                      <w:sz w:val="21"/>
                      <w:szCs w:val="21"/>
                    </w:rPr>
                  </w:pPr>
                  <w:r>
                    <w:rPr>
                      <w:bCs/>
                      <w:sz w:val="21"/>
                      <w:szCs w:val="21"/>
                    </w:rPr>
                    <w:t>太湖镇湖饮用水水源保护区</w:t>
                  </w:r>
                </w:p>
              </w:tc>
              <w:tc>
                <w:tcPr>
                  <w:tcW w:w="1473" w:type="dxa"/>
                  <w:noWrap w:val="0"/>
                  <w:vAlign w:val="center"/>
                </w:tcPr>
                <w:p>
                  <w:pPr>
                    <w:spacing w:line="240" w:lineRule="auto"/>
                    <w:jc w:val="center"/>
                    <w:rPr>
                      <w:bCs/>
                      <w:sz w:val="21"/>
                      <w:szCs w:val="21"/>
                    </w:rPr>
                  </w:pPr>
                  <w:r>
                    <w:rPr>
                      <w:bCs/>
                      <w:sz w:val="21"/>
                      <w:szCs w:val="21"/>
                    </w:rPr>
                    <w:t>饮用水水源保护区</w:t>
                  </w:r>
                </w:p>
              </w:tc>
              <w:tc>
                <w:tcPr>
                  <w:tcW w:w="5082" w:type="dxa"/>
                  <w:noWrap w:val="0"/>
                  <w:vAlign w:val="center"/>
                </w:tcPr>
                <w:p>
                  <w:pPr>
                    <w:spacing w:line="240" w:lineRule="auto"/>
                    <w:jc w:val="left"/>
                    <w:rPr>
                      <w:bCs/>
                      <w:sz w:val="21"/>
                      <w:szCs w:val="21"/>
                    </w:rPr>
                  </w:pPr>
                  <w:r>
                    <w:rPr>
                      <w:bCs/>
                      <w:sz w:val="21"/>
                      <w:szCs w:val="21"/>
                    </w:rPr>
                    <w:t>一级保护区：以2 个水厂取水口（120°17'8.285"E，31°19'34.725"N）为中心，半径为500米的区域范围。</w:t>
                  </w:r>
                </w:p>
                <w:p>
                  <w:pPr>
                    <w:spacing w:line="240" w:lineRule="auto"/>
                    <w:jc w:val="left"/>
                    <w:rPr>
                      <w:bCs/>
                      <w:sz w:val="21"/>
                      <w:szCs w:val="21"/>
                    </w:rPr>
                  </w:pPr>
                  <w:r>
                    <w:rPr>
                      <w:bCs/>
                      <w:sz w:val="21"/>
                      <w:szCs w:val="21"/>
                    </w:rPr>
                    <w:t>二级保护区：一级保护区</w:t>
                  </w:r>
                </w:p>
                <w:p>
                  <w:pPr>
                    <w:spacing w:line="240" w:lineRule="auto"/>
                    <w:jc w:val="left"/>
                    <w:rPr>
                      <w:bCs/>
                      <w:sz w:val="21"/>
                      <w:szCs w:val="21"/>
                    </w:rPr>
                  </w:pPr>
                  <w:r>
                    <w:rPr>
                      <w:bCs/>
                      <w:sz w:val="21"/>
                      <w:szCs w:val="21"/>
                    </w:rPr>
                    <w:t>外，外延2000米的水域范围和二级保护区水域与相对应的本岸背水坡堤脚外100米之间的陆域范围</w:t>
                  </w:r>
                </w:p>
              </w:tc>
              <w:tc>
                <w:tcPr>
                  <w:tcW w:w="1342" w:type="dxa"/>
                  <w:noWrap w:val="0"/>
                  <w:vAlign w:val="center"/>
                </w:tcPr>
                <w:p>
                  <w:pPr>
                    <w:spacing w:line="240" w:lineRule="auto"/>
                    <w:jc w:val="center"/>
                    <w:rPr>
                      <w:bCs/>
                      <w:sz w:val="21"/>
                      <w:szCs w:val="21"/>
                    </w:rPr>
                  </w:pPr>
                  <w:r>
                    <w:rPr>
                      <w:bCs/>
                      <w:sz w:val="21"/>
                      <w:szCs w:val="21"/>
                    </w:rPr>
                    <w:t>18.56</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jc w:val="center"/>
              </w:trPr>
              <w:tc>
                <w:tcPr>
                  <w:tcW w:w="1525" w:type="dxa"/>
                  <w:noWrap w:val="0"/>
                  <w:vAlign w:val="center"/>
                </w:tcPr>
                <w:p>
                  <w:pPr>
                    <w:spacing w:line="240" w:lineRule="auto"/>
                    <w:jc w:val="center"/>
                    <w:rPr>
                      <w:bCs/>
                      <w:sz w:val="21"/>
                      <w:szCs w:val="21"/>
                    </w:rPr>
                  </w:pPr>
                  <w:r>
                    <w:rPr>
                      <w:bCs/>
                      <w:sz w:val="21"/>
                      <w:szCs w:val="21"/>
                    </w:rPr>
                    <w:t>太湖梅鲚河蚬国家级水产种质资源</w:t>
                  </w:r>
                </w:p>
              </w:tc>
              <w:tc>
                <w:tcPr>
                  <w:tcW w:w="1473" w:type="dxa"/>
                  <w:noWrap w:val="0"/>
                  <w:vAlign w:val="center"/>
                </w:tcPr>
                <w:p>
                  <w:pPr>
                    <w:spacing w:line="240" w:lineRule="auto"/>
                    <w:jc w:val="center"/>
                    <w:rPr>
                      <w:bCs/>
                      <w:sz w:val="21"/>
                      <w:szCs w:val="21"/>
                    </w:rPr>
                  </w:pPr>
                  <w:r>
                    <w:rPr>
                      <w:bCs/>
                      <w:sz w:val="21"/>
                      <w:szCs w:val="21"/>
                    </w:rPr>
                    <w:t>水产种质资源保护</w:t>
                  </w:r>
                </w:p>
                <w:p>
                  <w:pPr>
                    <w:spacing w:line="240" w:lineRule="auto"/>
                    <w:jc w:val="center"/>
                    <w:rPr>
                      <w:bCs/>
                      <w:sz w:val="21"/>
                      <w:szCs w:val="21"/>
                    </w:rPr>
                  </w:pPr>
                  <w:r>
                    <w:rPr>
                      <w:bCs/>
                      <w:sz w:val="21"/>
                      <w:szCs w:val="21"/>
                    </w:rPr>
                    <w:t>区的核心区</w:t>
                  </w:r>
                </w:p>
              </w:tc>
              <w:tc>
                <w:tcPr>
                  <w:tcW w:w="5082" w:type="dxa"/>
                  <w:noWrap w:val="0"/>
                  <w:vAlign w:val="center"/>
                </w:tcPr>
                <w:p>
                  <w:pPr>
                    <w:spacing w:line="240" w:lineRule="auto"/>
                    <w:jc w:val="left"/>
                    <w:rPr>
                      <w:bCs/>
                      <w:sz w:val="21"/>
                      <w:szCs w:val="21"/>
                    </w:rPr>
                  </w:pPr>
                  <w:r>
                    <w:rPr>
                      <w:bCs/>
                      <w:sz w:val="21"/>
                      <w:szCs w:val="21"/>
                    </w:rPr>
                    <w:t>其中核心区四至范围为乌龟山东南（120°14′05″E，31°19′10″N），乌龟山西南（120°13′03″E，31°19′18″N），乌龟山西北（120°13′42″E，31°23′28″N），乌龟山东北（120°14′47″E，31°23′20″N）</w:t>
                  </w:r>
                </w:p>
              </w:tc>
              <w:tc>
                <w:tcPr>
                  <w:tcW w:w="1342" w:type="dxa"/>
                  <w:noWrap w:val="0"/>
                  <w:vAlign w:val="center"/>
                </w:tcPr>
                <w:p>
                  <w:pPr>
                    <w:spacing w:line="240" w:lineRule="auto"/>
                    <w:jc w:val="center"/>
                    <w:rPr>
                      <w:bCs/>
                      <w:sz w:val="21"/>
                      <w:szCs w:val="21"/>
                    </w:rPr>
                  </w:pPr>
                  <w:r>
                    <w:rPr>
                      <w:bCs/>
                      <w:sz w:val="21"/>
                      <w:szCs w:val="21"/>
                    </w:rPr>
                    <w:t>12.33</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jc w:val="center"/>
              </w:trPr>
              <w:tc>
                <w:tcPr>
                  <w:tcW w:w="1525" w:type="dxa"/>
                  <w:noWrap w:val="0"/>
                  <w:vAlign w:val="center"/>
                </w:tcPr>
                <w:p>
                  <w:pPr>
                    <w:spacing w:line="240" w:lineRule="auto"/>
                    <w:jc w:val="center"/>
                    <w:rPr>
                      <w:bCs/>
                      <w:sz w:val="21"/>
                      <w:szCs w:val="21"/>
                    </w:rPr>
                  </w:pPr>
                  <w:r>
                    <w:rPr>
                      <w:bCs/>
                      <w:sz w:val="21"/>
                      <w:szCs w:val="21"/>
                    </w:rPr>
                    <w:t>太湖重要湿地 （虎丘区）</w:t>
                  </w:r>
                </w:p>
              </w:tc>
              <w:tc>
                <w:tcPr>
                  <w:tcW w:w="1473" w:type="dxa"/>
                  <w:noWrap w:val="0"/>
                  <w:vAlign w:val="center"/>
                </w:tcPr>
                <w:p>
                  <w:pPr>
                    <w:spacing w:line="240" w:lineRule="auto"/>
                    <w:jc w:val="center"/>
                    <w:rPr>
                      <w:bCs/>
                      <w:sz w:val="21"/>
                      <w:szCs w:val="21"/>
                    </w:rPr>
                  </w:pPr>
                  <w:r>
                    <w:rPr>
                      <w:bCs/>
                      <w:sz w:val="21"/>
                      <w:szCs w:val="21"/>
                    </w:rPr>
                    <w:t>重要湖泊湿地</w:t>
                  </w:r>
                </w:p>
              </w:tc>
              <w:tc>
                <w:tcPr>
                  <w:tcW w:w="5082" w:type="dxa"/>
                  <w:noWrap w:val="0"/>
                  <w:vAlign w:val="center"/>
                </w:tcPr>
                <w:p>
                  <w:pPr>
                    <w:spacing w:line="240" w:lineRule="auto"/>
                    <w:jc w:val="left"/>
                    <w:rPr>
                      <w:bCs/>
                      <w:sz w:val="21"/>
                      <w:szCs w:val="21"/>
                    </w:rPr>
                  </w:pPr>
                  <w:r>
                    <w:rPr>
                      <w:bCs/>
                      <w:sz w:val="21"/>
                      <w:szCs w:val="21"/>
                    </w:rPr>
                    <w:t>太湖湖体水域</w:t>
                  </w:r>
                </w:p>
              </w:tc>
              <w:tc>
                <w:tcPr>
                  <w:tcW w:w="1342" w:type="dxa"/>
                  <w:noWrap w:val="0"/>
                  <w:vAlign w:val="center"/>
                </w:tcPr>
                <w:p>
                  <w:pPr>
                    <w:spacing w:line="240" w:lineRule="auto"/>
                    <w:jc w:val="center"/>
                    <w:rPr>
                      <w:bCs/>
                      <w:sz w:val="21"/>
                      <w:szCs w:val="21"/>
                    </w:rPr>
                  </w:pPr>
                  <w:r>
                    <w:rPr>
                      <w:bCs/>
                      <w:sz w:val="21"/>
                      <w:szCs w:val="21"/>
                    </w:rPr>
                    <w:t>112.09</w:t>
                  </w:r>
                </w:p>
              </w:tc>
            </w:tr>
          </w:tbl>
          <w:p>
            <w:pPr>
              <w:ind w:firstLine="480" w:firstLineChars="200"/>
              <w:jc w:val="left"/>
              <w:rPr>
                <w:bCs/>
              </w:rPr>
            </w:pPr>
            <w:r>
              <w:rPr>
                <w:bCs/>
              </w:rPr>
              <w:t>经查对，本项目不在上述生态红线范围内。</w:t>
            </w:r>
          </w:p>
          <w:p>
            <w:pPr>
              <w:ind w:firstLine="480" w:firstLineChars="200"/>
            </w:pPr>
            <w:r>
              <w:t>根据《江苏省生态红线区域保护规划》苏政发〔2013〕113号，项目地周边最近的重要生态保护功能区为江苏大阳山国家森林公园。</w:t>
            </w:r>
          </w:p>
          <w:p>
            <w:pPr>
              <w:tabs>
                <w:tab w:val="left" w:pos="2160"/>
              </w:tabs>
              <w:ind w:firstLine="480" w:firstLineChars="200"/>
            </w:pPr>
            <w:r>
              <w:t>根据规划，项目周边最近的生态红线区域的主导生态功能和保护范围见表2-2。</w:t>
            </w:r>
          </w:p>
          <w:p>
            <w:pPr>
              <w:spacing w:line="480" w:lineRule="exact"/>
              <w:ind w:firstLine="482" w:firstLineChars="200"/>
              <w:jc w:val="center"/>
              <w:rPr>
                <w:b/>
              </w:rPr>
            </w:pPr>
            <w:r>
              <w:rPr>
                <w:b/>
              </w:rPr>
              <w:t>表2-2  生态红线规划保护内容</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90"/>
              <w:gridCol w:w="940"/>
              <w:gridCol w:w="3968"/>
              <w:gridCol w:w="747"/>
              <w:gridCol w:w="730"/>
              <w:gridCol w:w="8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41" w:type="dxa"/>
                  <w:vMerge w:val="restart"/>
                  <w:tcBorders>
                    <w:top w:val="single" w:color="auto" w:sz="12" w:space="0"/>
                  </w:tcBorders>
                  <w:noWrap w:val="0"/>
                  <w:vAlign w:val="center"/>
                </w:tcPr>
                <w:p>
                  <w:pPr>
                    <w:widowControl/>
                    <w:spacing w:line="240" w:lineRule="auto"/>
                    <w:jc w:val="center"/>
                    <w:rPr>
                      <w:sz w:val="21"/>
                      <w:szCs w:val="21"/>
                    </w:rPr>
                  </w:pPr>
                  <w:r>
                    <w:rPr>
                      <w:sz w:val="21"/>
                      <w:szCs w:val="21"/>
                    </w:rPr>
                    <w:t>红线区域名称</w:t>
                  </w:r>
                </w:p>
              </w:tc>
              <w:tc>
                <w:tcPr>
                  <w:tcW w:w="990" w:type="dxa"/>
                  <w:vMerge w:val="restart"/>
                  <w:tcBorders>
                    <w:top w:val="single" w:color="auto" w:sz="12" w:space="0"/>
                  </w:tcBorders>
                  <w:noWrap w:val="0"/>
                  <w:vAlign w:val="center"/>
                </w:tcPr>
                <w:p>
                  <w:pPr>
                    <w:widowControl/>
                    <w:spacing w:line="240" w:lineRule="auto"/>
                    <w:jc w:val="center"/>
                    <w:rPr>
                      <w:sz w:val="21"/>
                      <w:szCs w:val="21"/>
                    </w:rPr>
                  </w:pPr>
                  <w:r>
                    <w:rPr>
                      <w:sz w:val="21"/>
                      <w:szCs w:val="21"/>
                    </w:rPr>
                    <w:t>主导生态功能</w:t>
                  </w:r>
                </w:p>
              </w:tc>
              <w:tc>
                <w:tcPr>
                  <w:tcW w:w="4908" w:type="dxa"/>
                  <w:gridSpan w:val="2"/>
                  <w:tcBorders>
                    <w:top w:val="single" w:color="auto" w:sz="12" w:space="0"/>
                  </w:tcBorders>
                  <w:noWrap w:val="0"/>
                  <w:vAlign w:val="center"/>
                </w:tcPr>
                <w:p>
                  <w:pPr>
                    <w:widowControl/>
                    <w:spacing w:line="240" w:lineRule="auto"/>
                    <w:ind w:firstLine="420" w:firstLineChars="200"/>
                    <w:jc w:val="center"/>
                    <w:rPr>
                      <w:sz w:val="21"/>
                      <w:szCs w:val="21"/>
                    </w:rPr>
                  </w:pPr>
                  <w:r>
                    <w:rPr>
                      <w:sz w:val="21"/>
                      <w:szCs w:val="21"/>
                    </w:rPr>
                    <w:t>红线区域范围</w:t>
                  </w:r>
                </w:p>
              </w:tc>
              <w:tc>
                <w:tcPr>
                  <w:tcW w:w="2283" w:type="dxa"/>
                  <w:gridSpan w:val="3"/>
                  <w:tcBorders>
                    <w:top w:val="single" w:color="auto" w:sz="12" w:space="0"/>
                  </w:tcBorders>
                  <w:noWrap w:val="0"/>
                  <w:tcMar>
                    <w:left w:w="28" w:type="dxa"/>
                    <w:right w:w="28" w:type="dxa"/>
                  </w:tcMar>
                  <w:vAlign w:val="center"/>
                </w:tcPr>
                <w:p>
                  <w:pPr>
                    <w:widowControl/>
                    <w:spacing w:line="240" w:lineRule="auto"/>
                    <w:jc w:val="center"/>
                    <w:rPr>
                      <w:sz w:val="21"/>
                      <w:szCs w:val="21"/>
                    </w:rPr>
                  </w:pPr>
                  <w:r>
                    <w:rPr>
                      <w:sz w:val="21"/>
                      <w:szCs w:val="21"/>
                    </w:rPr>
                    <w:t>面积（平方公里）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29" w:hRule="atLeast"/>
                <w:tblHeader/>
                <w:jc w:val="center"/>
              </w:trPr>
              <w:tc>
                <w:tcPr>
                  <w:tcW w:w="1241" w:type="dxa"/>
                  <w:vMerge w:val="continue"/>
                  <w:tcBorders>
                    <w:bottom w:val="single" w:color="auto" w:sz="12" w:space="0"/>
                  </w:tcBorders>
                  <w:noWrap w:val="0"/>
                  <w:vAlign w:val="center"/>
                </w:tcPr>
                <w:p>
                  <w:pPr>
                    <w:widowControl/>
                    <w:spacing w:line="240" w:lineRule="auto"/>
                    <w:ind w:firstLine="420" w:firstLineChars="200"/>
                    <w:jc w:val="center"/>
                    <w:rPr>
                      <w:sz w:val="21"/>
                      <w:szCs w:val="21"/>
                    </w:rPr>
                  </w:pPr>
                </w:p>
              </w:tc>
              <w:tc>
                <w:tcPr>
                  <w:tcW w:w="990" w:type="dxa"/>
                  <w:vMerge w:val="continue"/>
                  <w:tcBorders>
                    <w:bottom w:val="single" w:color="auto" w:sz="12" w:space="0"/>
                  </w:tcBorders>
                  <w:noWrap w:val="0"/>
                  <w:vAlign w:val="center"/>
                </w:tcPr>
                <w:p>
                  <w:pPr>
                    <w:widowControl/>
                    <w:spacing w:line="240" w:lineRule="auto"/>
                    <w:ind w:firstLine="420" w:firstLineChars="200"/>
                    <w:jc w:val="center"/>
                    <w:rPr>
                      <w:sz w:val="21"/>
                      <w:szCs w:val="21"/>
                    </w:rPr>
                  </w:pPr>
                </w:p>
              </w:tc>
              <w:tc>
                <w:tcPr>
                  <w:tcW w:w="940" w:type="dxa"/>
                  <w:tcBorders>
                    <w:bottom w:val="single" w:color="auto" w:sz="12" w:space="0"/>
                  </w:tcBorders>
                  <w:noWrap w:val="0"/>
                  <w:vAlign w:val="center"/>
                </w:tcPr>
                <w:p>
                  <w:pPr>
                    <w:widowControl/>
                    <w:spacing w:line="240" w:lineRule="auto"/>
                    <w:ind w:firstLine="105" w:firstLineChars="50"/>
                    <w:jc w:val="center"/>
                    <w:rPr>
                      <w:sz w:val="21"/>
                      <w:szCs w:val="21"/>
                    </w:rPr>
                  </w:pPr>
                  <w:r>
                    <w:rPr>
                      <w:sz w:val="21"/>
                      <w:szCs w:val="21"/>
                    </w:rPr>
                    <w:t>一级管控区</w:t>
                  </w:r>
                </w:p>
              </w:tc>
              <w:tc>
                <w:tcPr>
                  <w:tcW w:w="3968" w:type="dxa"/>
                  <w:tcBorders>
                    <w:bottom w:val="single" w:color="auto" w:sz="12" w:space="0"/>
                  </w:tcBorders>
                  <w:noWrap w:val="0"/>
                  <w:vAlign w:val="center"/>
                </w:tcPr>
                <w:p>
                  <w:pPr>
                    <w:widowControl/>
                    <w:spacing w:line="240" w:lineRule="auto"/>
                    <w:jc w:val="center"/>
                    <w:rPr>
                      <w:sz w:val="21"/>
                      <w:szCs w:val="21"/>
                    </w:rPr>
                  </w:pPr>
                  <w:r>
                    <w:rPr>
                      <w:sz w:val="21"/>
                      <w:szCs w:val="21"/>
                    </w:rPr>
                    <w:t>二级管控区</w:t>
                  </w:r>
                </w:p>
              </w:tc>
              <w:tc>
                <w:tcPr>
                  <w:tcW w:w="747" w:type="dxa"/>
                  <w:tcBorders>
                    <w:bottom w:val="single" w:color="auto" w:sz="12" w:space="0"/>
                  </w:tcBorders>
                  <w:noWrap w:val="0"/>
                  <w:tcMar>
                    <w:left w:w="28" w:type="dxa"/>
                    <w:right w:w="28" w:type="dxa"/>
                  </w:tcMar>
                  <w:vAlign w:val="center"/>
                </w:tcPr>
                <w:p>
                  <w:pPr>
                    <w:widowControl/>
                    <w:spacing w:line="240" w:lineRule="auto"/>
                    <w:jc w:val="center"/>
                    <w:rPr>
                      <w:sz w:val="21"/>
                      <w:szCs w:val="21"/>
                    </w:rPr>
                  </w:pPr>
                  <w:r>
                    <w:rPr>
                      <w:sz w:val="21"/>
                      <w:szCs w:val="21"/>
                    </w:rPr>
                    <w:t>总面积</w:t>
                  </w:r>
                </w:p>
              </w:tc>
              <w:tc>
                <w:tcPr>
                  <w:tcW w:w="730" w:type="dxa"/>
                  <w:tcBorders>
                    <w:bottom w:val="single" w:color="auto" w:sz="12" w:space="0"/>
                  </w:tcBorders>
                  <w:noWrap w:val="0"/>
                  <w:tcMar>
                    <w:left w:w="28" w:type="dxa"/>
                    <w:right w:w="28" w:type="dxa"/>
                  </w:tcMar>
                  <w:vAlign w:val="center"/>
                </w:tcPr>
                <w:p>
                  <w:pPr>
                    <w:widowControl/>
                    <w:spacing w:line="240" w:lineRule="auto"/>
                    <w:jc w:val="center"/>
                    <w:rPr>
                      <w:sz w:val="21"/>
                      <w:szCs w:val="21"/>
                    </w:rPr>
                  </w:pPr>
                  <w:r>
                    <w:rPr>
                      <w:sz w:val="21"/>
                      <w:szCs w:val="21"/>
                    </w:rPr>
                    <w:t>一级管控区</w:t>
                  </w:r>
                </w:p>
              </w:tc>
              <w:tc>
                <w:tcPr>
                  <w:tcW w:w="806" w:type="dxa"/>
                  <w:tcBorders>
                    <w:bottom w:val="single" w:color="auto" w:sz="12" w:space="0"/>
                  </w:tcBorders>
                  <w:noWrap w:val="0"/>
                  <w:tcMar>
                    <w:left w:w="28" w:type="dxa"/>
                    <w:right w:w="28" w:type="dxa"/>
                  </w:tcMar>
                  <w:vAlign w:val="center"/>
                </w:tcPr>
                <w:p>
                  <w:pPr>
                    <w:widowControl/>
                    <w:spacing w:line="240" w:lineRule="auto"/>
                    <w:jc w:val="center"/>
                    <w:rPr>
                      <w:sz w:val="21"/>
                      <w:szCs w:val="21"/>
                    </w:rPr>
                  </w:pPr>
                  <w:r>
                    <w:rPr>
                      <w:sz w:val="21"/>
                      <w:szCs w:val="21"/>
                    </w:rPr>
                    <w:t>二级管控区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1" w:type="dxa"/>
                  <w:tcBorders>
                    <w:top w:val="single" w:color="auto" w:sz="12" w:space="0"/>
                    <w:bottom w:val="single" w:color="auto" w:sz="12" w:space="0"/>
                  </w:tcBorders>
                  <w:noWrap w:val="0"/>
                  <w:vAlign w:val="center"/>
                </w:tcPr>
                <w:p>
                  <w:pPr>
                    <w:spacing w:line="240" w:lineRule="auto"/>
                    <w:jc w:val="center"/>
                    <w:rPr>
                      <w:sz w:val="21"/>
                      <w:szCs w:val="21"/>
                    </w:rPr>
                  </w:pPr>
                  <w:r>
                    <w:rPr>
                      <w:sz w:val="21"/>
                      <w:szCs w:val="21"/>
                    </w:rPr>
                    <w:t>江苏大阳山国家森林公园</w:t>
                  </w:r>
                </w:p>
              </w:tc>
              <w:tc>
                <w:tcPr>
                  <w:tcW w:w="990" w:type="dxa"/>
                  <w:tcBorders>
                    <w:top w:val="single" w:color="auto" w:sz="12" w:space="0"/>
                    <w:bottom w:val="single" w:color="auto" w:sz="12" w:space="0"/>
                  </w:tcBorders>
                  <w:noWrap w:val="0"/>
                  <w:vAlign w:val="center"/>
                </w:tcPr>
                <w:p>
                  <w:pPr>
                    <w:spacing w:line="240" w:lineRule="auto"/>
                    <w:jc w:val="center"/>
                    <w:rPr>
                      <w:sz w:val="21"/>
                      <w:szCs w:val="21"/>
                    </w:rPr>
                  </w:pPr>
                  <w:r>
                    <w:rPr>
                      <w:sz w:val="21"/>
                      <w:szCs w:val="21"/>
                    </w:rPr>
                    <w:t>自然与人文景观保护</w:t>
                  </w:r>
                </w:p>
              </w:tc>
              <w:tc>
                <w:tcPr>
                  <w:tcW w:w="940" w:type="dxa"/>
                  <w:tcBorders>
                    <w:top w:val="single" w:color="auto" w:sz="12" w:space="0"/>
                    <w:bottom w:val="single" w:color="auto" w:sz="12" w:space="0"/>
                  </w:tcBorders>
                  <w:noWrap w:val="0"/>
                  <w:vAlign w:val="center"/>
                </w:tcPr>
                <w:p>
                  <w:pPr>
                    <w:spacing w:line="240" w:lineRule="auto"/>
                    <w:jc w:val="center"/>
                    <w:rPr>
                      <w:sz w:val="21"/>
                      <w:szCs w:val="21"/>
                    </w:rPr>
                  </w:pPr>
                  <w:r>
                    <w:rPr>
                      <w:sz w:val="21"/>
                      <w:szCs w:val="21"/>
                    </w:rPr>
                    <w:t>/</w:t>
                  </w:r>
                </w:p>
              </w:tc>
              <w:tc>
                <w:tcPr>
                  <w:tcW w:w="3968" w:type="dxa"/>
                  <w:tcBorders>
                    <w:top w:val="single" w:color="auto" w:sz="12" w:space="0"/>
                    <w:bottom w:val="single" w:color="auto" w:sz="12" w:space="0"/>
                  </w:tcBorders>
                  <w:noWrap w:val="0"/>
                  <w:vAlign w:val="center"/>
                </w:tcPr>
                <w:p>
                  <w:pPr>
                    <w:spacing w:line="240" w:lineRule="auto"/>
                    <w:jc w:val="left"/>
                    <w:rPr>
                      <w:sz w:val="21"/>
                      <w:szCs w:val="21"/>
                    </w:rPr>
                  </w:pPr>
                  <w:r>
                    <w:rPr>
                      <w:sz w:val="21"/>
                      <w:szCs w:val="21"/>
                    </w:rPr>
                    <w:t>阳山环路以西，兴贤路以南，太湖大道以北，阳山环路西线以东，区域内包括浒关分区、东渚镇、通安镇、阳山林场，涉及新民村、石林村、观山村、香桥村、树山村、青峰村、宝山村、阳山村</w:t>
                  </w:r>
                </w:p>
              </w:tc>
              <w:tc>
                <w:tcPr>
                  <w:tcW w:w="747" w:type="dxa"/>
                  <w:tcBorders>
                    <w:top w:val="single" w:color="auto" w:sz="12" w:space="0"/>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10.3</w:t>
                  </w:r>
                </w:p>
              </w:tc>
              <w:tc>
                <w:tcPr>
                  <w:tcW w:w="730" w:type="dxa"/>
                  <w:tcBorders>
                    <w:top w:val="single" w:color="auto" w:sz="12" w:space="0"/>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w:t>
                  </w:r>
                </w:p>
              </w:tc>
              <w:tc>
                <w:tcPr>
                  <w:tcW w:w="806" w:type="dxa"/>
                  <w:tcBorders>
                    <w:top w:val="single" w:color="auto" w:sz="12" w:space="0"/>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10.3</w:t>
                  </w:r>
                </w:p>
              </w:tc>
            </w:tr>
          </w:tbl>
          <w:p>
            <w:pPr>
              <w:pStyle w:val="2"/>
              <w:ind w:firstLine="480"/>
            </w:pPr>
            <w:r>
              <w:t>本项目距江苏大阳山国家森林公园约</w:t>
            </w:r>
            <w:r>
              <w:rPr>
                <w:rFonts w:hint="eastAsia"/>
                <w:lang w:val="en-US" w:eastAsia="zh-CN"/>
              </w:rPr>
              <w:t>1000</w:t>
            </w:r>
            <w:r>
              <w:t>m，不在其二级管控区范围内。</w:t>
            </w:r>
          </w:p>
          <w:p>
            <w:pPr>
              <w:pStyle w:val="2"/>
              <w:ind w:firstLine="480"/>
            </w:pPr>
            <w:r>
              <w:t>（2）与环境质量底线的相符性分析</w:t>
            </w:r>
          </w:p>
          <w:p>
            <w:pPr>
              <w:pStyle w:val="2"/>
              <w:ind w:firstLine="480"/>
            </w:pPr>
            <w:r>
              <w:t>根据项目地2018年苏州高新区环境质量公报，大气属于未达标区域、水属于达标区域、声环境质量较好，具有一定的环境容量。在严格落实本次评价提出的各项环保治理措施要求后，经预测分析，本项目生产过程中产生的无组织废气对区域环境空气质量影响较小；项目生活污水经市政污水管网接入新区第二污水处理厂集中处理，对该污水处理厂的影响较小；项目建成后对周围的声环境影响较小，且附近无居民区敏感点，不会改变周围环境的功能属性，项目的建设符合声环境功能区要求。项目建设符合当地环境功能区划。</w:t>
            </w:r>
          </w:p>
          <w:p>
            <w:pPr>
              <w:pStyle w:val="2"/>
              <w:ind w:firstLine="480"/>
            </w:pPr>
            <w:r>
              <w:t>因此，本项目的建设不会突破当地环境质量底线。</w:t>
            </w:r>
          </w:p>
          <w:p>
            <w:pPr>
              <w:pStyle w:val="2"/>
              <w:ind w:firstLine="480"/>
            </w:pPr>
            <w:r>
              <w:t>（3）与资源利用上线的对照分析</w:t>
            </w:r>
          </w:p>
          <w:p>
            <w:pPr>
              <w:pStyle w:val="2"/>
              <w:ind w:firstLine="480"/>
            </w:pPr>
            <w:r>
              <w:t>本项目所用资源主要为水、电，苏州高新区环保产业园有完善的给水、排水、供电等基础设施，可满足本项目运行的要求。</w:t>
            </w:r>
          </w:p>
          <w:p>
            <w:pPr>
              <w:pStyle w:val="2"/>
              <w:ind w:firstLine="480"/>
            </w:pPr>
            <w:r>
              <w:t>因此，本项目建设符合资源利用上线标准。</w:t>
            </w:r>
          </w:p>
          <w:p>
            <w:pPr>
              <w:pStyle w:val="2"/>
              <w:ind w:firstLine="480"/>
            </w:pPr>
            <w:r>
              <w:t>（4）环境准入负面清单</w:t>
            </w:r>
          </w:p>
          <w:p>
            <w:pPr>
              <w:pStyle w:val="2"/>
              <w:ind w:firstLine="480"/>
            </w:pPr>
            <w:r>
              <w:t>本项目所在地位于苏州高新区</w:t>
            </w:r>
            <w:r>
              <w:rPr>
                <w:rFonts w:hint="eastAsia"/>
                <w:color w:val="auto"/>
              </w:rPr>
              <w:t>浒关分区东金芝路56号</w:t>
            </w:r>
            <w:r>
              <w:t>，属于工业用地（附土地证）；本项目为</w:t>
            </w:r>
            <w:r>
              <w:rPr>
                <w:rFonts w:hint="eastAsia"/>
                <w:lang w:val="en-US" w:eastAsia="zh-CN"/>
              </w:rPr>
              <w:t>塑料制品</w:t>
            </w:r>
            <w:r>
              <w:t>行业，不属于高新区禁止建设项目，与产业定位相符。</w:t>
            </w:r>
          </w:p>
          <w:p>
            <w:pPr>
              <w:autoSpaceDE w:val="0"/>
              <w:autoSpaceDN w:val="0"/>
              <w:ind w:firstLine="480" w:firstLineChars="200"/>
              <w:jc w:val="left"/>
              <w:rPr>
                <w:rFonts w:hint="default"/>
                <w:kern w:val="0"/>
              </w:rPr>
            </w:pPr>
            <w:r>
              <w:t>本项目符合高新区发展规划，不在环境准入负面清单中。</w:t>
            </w:r>
          </w:p>
        </w:tc>
      </w:tr>
    </w:tbl>
    <w:p>
      <w:r>
        <w:br w:type="page"/>
      </w:r>
    </w:p>
    <w:p>
      <w:pPr>
        <w:pStyle w:val="22"/>
        <w:jc w:val="left"/>
        <w:rPr>
          <w:rFonts w:ascii="Times New Roman" w:hAnsi="Times New Roman"/>
          <w:sz w:val="28"/>
        </w:rPr>
      </w:pPr>
      <w:bookmarkStart w:id="6" w:name="_Toc26412"/>
      <w:r>
        <w:rPr>
          <w:rFonts w:ascii="Times New Roman" w:hAnsi="Times New Roman"/>
          <w:sz w:val="28"/>
        </w:rPr>
        <w:t>三、环境质量状况</w:t>
      </w:r>
      <w:bookmarkEnd w:id="6"/>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3" w:hRule="atLeast"/>
          <w:jc w:val="center"/>
        </w:trPr>
        <w:tc>
          <w:tcPr>
            <w:tcW w:w="9639" w:type="dxa"/>
          </w:tcPr>
          <w:p>
            <w:pPr>
              <w:rPr>
                <w:b/>
              </w:rPr>
            </w:pPr>
            <w:r>
              <w:rPr>
                <w:b/>
              </w:rPr>
              <w:t>建设项目所在地区域环境质量现状及主要环境问题（环境空气、地面水、地下水、声环境、辐射环境、生态环境等）</w:t>
            </w:r>
          </w:p>
          <w:p>
            <w:pPr>
              <w:adjustRightInd w:val="0"/>
              <w:snapToGrid w:val="0"/>
              <w:ind w:firstLine="482" w:firstLineChars="200"/>
              <w:rPr>
                <w:b/>
                <w:color w:val="FF0000"/>
              </w:rPr>
            </w:pPr>
            <w:r>
              <w:rPr>
                <w:b/>
              </w:rPr>
              <w:t>1、大气环境质量现状</w:t>
            </w:r>
          </w:p>
          <w:p>
            <w:pPr>
              <w:tabs>
                <w:tab w:val="left" w:pos="720"/>
              </w:tabs>
              <w:autoSpaceDE w:val="0"/>
              <w:autoSpaceDN w:val="0"/>
              <w:spacing w:line="360" w:lineRule="auto"/>
              <w:ind w:firstLine="480"/>
              <w:jc w:val="left"/>
              <w:rPr>
                <w:rFonts w:hint="eastAsia"/>
                <w:sz w:val="24"/>
                <w:lang w:val="en-US" w:eastAsia="zh-CN"/>
              </w:rPr>
            </w:pPr>
            <w:r>
              <w:rPr>
                <w:rFonts w:hint="eastAsia"/>
                <w:sz w:val="24"/>
              </w:rPr>
              <w:t>根据</w:t>
            </w:r>
            <w:r>
              <w:rPr>
                <w:rFonts w:hint="eastAsia"/>
                <w:sz w:val="24"/>
                <w:lang w:val="en-US" w:eastAsia="zh-CN"/>
              </w:rPr>
              <w:t>2019年度苏州高新区环境质量公报。</w:t>
            </w:r>
          </w:p>
          <w:p>
            <w:pPr>
              <w:tabs>
                <w:tab w:val="left" w:pos="720"/>
              </w:tabs>
              <w:autoSpaceDE w:val="0"/>
              <w:autoSpaceDN w:val="0"/>
              <w:spacing w:line="360" w:lineRule="auto"/>
              <w:ind w:firstLine="480"/>
              <w:jc w:val="left"/>
              <w:rPr>
                <w:rFonts w:hint="default"/>
                <w:b/>
                <w:bCs/>
                <w:sz w:val="24"/>
                <w:lang w:val="en-US" w:eastAsia="zh-CN"/>
              </w:rPr>
            </w:pPr>
            <w:r>
              <w:rPr>
                <w:rFonts w:hint="default"/>
                <w:b/>
                <w:bCs/>
                <w:sz w:val="24"/>
                <w:lang w:val="en-US" w:eastAsia="zh-CN"/>
              </w:rPr>
              <w:t>（一）空气质量优良率</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2019年，苏州高新区环境空气质量持续改善，全年空气质量（AQI）优良率为78.0%。优的比率为22.0%，良的比率为56.0%，轻度污染的比率为19.5%，中度污染的比率为2.5%。</w:t>
            </w:r>
          </w:p>
          <w:p>
            <w:pPr>
              <w:tabs>
                <w:tab w:val="left" w:pos="720"/>
              </w:tabs>
              <w:autoSpaceDE w:val="0"/>
              <w:autoSpaceDN w:val="0"/>
              <w:spacing w:line="360" w:lineRule="auto"/>
              <w:ind w:firstLine="480"/>
              <w:jc w:val="left"/>
              <w:rPr>
                <w:rFonts w:hint="default"/>
                <w:b/>
                <w:bCs/>
                <w:sz w:val="24"/>
                <w:lang w:val="en-US" w:eastAsia="zh-CN"/>
              </w:rPr>
            </w:pPr>
            <w:r>
              <w:rPr>
                <w:rFonts w:hint="default"/>
                <w:b/>
                <w:bCs/>
                <w:sz w:val="24"/>
                <w:lang w:val="en-US" w:eastAsia="zh-CN"/>
              </w:rPr>
              <w:t>（二）主要污染物</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细颗粒物（PM</w:t>
            </w:r>
            <w:r>
              <w:rPr>
                <w:rFonts w:hint="default"/>
                <w:sz w:val="24"/>
                <w:vertAlign w:val="subscript"/>
                <w:lang w:val="en-US" w:eastAsia="zh-CN"/>
              </w:rPr>
              <w:t>2.5</w:t>
            </w:r>
            <w:r>
              <w:rPr>
                <w:rFonts w:hint="default"/>
                <w:sz w:val="24"/>
                <w:lang w:val="en-US" w:eastAsia="zh-CN"/>
              </w:rPr>
              <w:t>）年均浓度为40微克/立方米，超过国家二级标准（35微克/立方米）0.14倍。</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可吸入颗粒物（PM</w:t>
            </w:r>
            <w:r>
              <w:rPr>
                <w:rFonts w:hint="default"/>
                <w:sz w:val="24"/>
                <w:vertAlign w:val="subscript"/>
                <w:lang w:val="en-US" w:eastAsia="zh-CN"/>
              </w:rPr>
              <w:t>10</w:t>
            </w:r>
            <w:r>
              <w:rPr>
                <w:rFonts w:hint="default"/>
                <w:sz w:val="24"/>
                <w:lang w:val="en-US" w:eastAsia="zh-CN"/>
              </w:rPr>
              <w:t>）年均浓度为58微克/立方米，达到国家二级标准（70微克/立方米）。</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二氧化氮（NO</w:t>
            </w:r>
            <w:r>
              <w:rPr>
                <w:rFonts w:hint="default"/>
                <w:sz w:val="24"/>
                <w:vertAlign w:val="subscript"/>
                <w:lang w:val="en-US" w:eastAsia="zh-CN"/>
              </w:rPr>
              <w:t>2</w:t>
            </w:r>
            <w:r>
              <w:rPr>
                <w:rFonts w:hint="default"/>
                <w:sz w:val="24"/>
                <w:lang w:val="en-US" w:eastAsia="zh-CN"/>
              </w:rPr>
              <w:t>）年均浓度为35微克/立方米，达到国家二级标准（40微克/立方米）。</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二氧化硫（SO</w:t>
            </w:r>
            <w:r>
              <w:rPr>
                <w:rFonts w:hint="default"/>
                <w:sz w:val="24"/>
                <w:vertAlign w:val="subscript"/>
                <w:lang w:val="en-US" w:eastAsia="zh-CN"/>
              </w:rPr>
              <w:t>2</w:t>
            </w:r>
            <w:r>
              <w:rPr>
                <w:rFonts w:hint="default"/>
                <w:sz w:val="24"/>
                <w:lang w:val="en-US" w:eastAsia="zh-CN"/>
              </w:rPr>
              <w:t>）年均浓度为6微克/立方米，优于国家一级标准（20微克/立方米）。</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臭氧（O</w:t>
            </w:r>
            <w:r>
              <w:rPr>
                <w:rFonts w:hint="default"/>
                <w:sz w:val="24"/>
                <w:vertAlign w:val="subscript"/>
                <w:lang w:val="en-US" w:eastAsia="zh-CN"/>
              </w:rPr>
              <w:t>3</w:t>
            </w:r>
            <w:r>
              <w:rPr>
                <w:rFonts w:hint="default"/>
                <w:sz w:val="24"/>
                <w:lang w:val="en-US" w:eastAsia="zh-CN"/>
              </w:rPr>
              <w:t>）日最大8小时滑动平均值的第90百分位数为164微克/立方米，超过国家二级标准（160微克/立方米）0.02倍。</w:t>
            </w:r>
          </w:p>
          <w:p>
            <w:pPr>
              <w:tabs>
                <w:tab w:val="left" w:pos="720"/>
              </w:tabs>
              <w:autoSpaceDE w:val="0"/>
              <w:autoSpaceDN w:val="0"/>
              <w:spacing w:line="360" w:lineRule="auto"/>
              <w:ind w:firstLine="480"/>
              <w:jc w:val="left"/>
              <w:rPr>
                <w:rFonts w:hint="default"/>
                <w:sz w:val="24"/>
                <w:lang w:val="en-US" w:eastAsia="zh-CN"/>
              </w:rPr>
            </w:pPr>
            <w:r>
              <w:rPr>
                <w:rFonts w:hint="default"/>
                <w:sz w:val="24"/>
                <w:lang w:val="en-US" w:eastAsia="zh-CN"/>
              </w:rPr>
              <w:t>一氧化碳（CO）24小时平均第95百分位数为1.2毫克/立方米，优于国家一级标准（4毫克/立方米）。</w:t>
            </w:r>
          </w:p>
          <w:p>
            <w:pPr>
              <w:tabs>
                <w:tab w:val="left" w:pos="720"/>
              </w:tabs>
              <w:autoSpaceDE w:val="0"/>
              <w:autoSpaceDN w:val="0"/>
              <w:spacing w:line="360" w:lineRule="auto"/>
              <w:ind w:firstLine="480"/>
              <w:jc w:val="left"/>
              <w:rPr>
                <w:rFonts w:hint="default"/>
                <w:b/>
                <w:bCs/>
                <w:sz w:val="24"/>
                <w:lang w:val="en-US" w:eastAsia="zh-CN"/>
              </w:rPr>
            </w:pPr>
            <w:r>
              <w:rPr>
                <w:rFonts w:hint="default"/>
                <w:b/>
                <w:bCs/>
                <w:sz w:val="24"/>
                <w:lang w:val="en-US" w:eastAsia="zh-CN"/>
              </w:rPr>
              <w:t>（三）酸雨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rPr>
            </w:pPr>
            <w:r>
              <w:rPr>
                <w:rFonts w:hint="default"/>
                <w:sz w:val="24"/>
                <w:lang w:val="en-US" w:eastAsia="zh-CN"/>
              </w:rPr>
              <w:t>苏州高新区酸雨发生频率为25.0%，pH范围在4.52～6.29之间，年均值5.92。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表3-1  2018年苏州市</w:t>
            </w:r>
            <w:r>
              <w:rPr>
                <w:rFonts w:hint="default" w:ascii="Times New Roman" w:hAnsi="Times New Roman" w:cs="Times New Roman"/>
                <w:b/>
                <w:color w:val="auto"/>
                <w:sz w:val="21"/>
                <w:szCs w:val="21"/>
                <w:lang w:eastAsia="zh-CN"/>
              </w:rPr>
              <w:t>高新</w:t>
            </w:r>
            <w:r>
              <w:rPr>
                <w:rFonts w:hint="default" w:ascii="Times New Roman" w:hAnsi="Times New Roman" w:cs="Times New Roman"/>
                <w:b/>
                <w:color w:val="auto"/>
                <w:sz w:val="21"/>
                <w:szCs w:val="21"/>
              </w:rPr>
              <w:t>区空气质量现状评价表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852"/>
              <w:gridCol w:w="1898"/>
              <w:gridCol w:w="1898"/>
              <w:gridCol w:w="18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年评价指标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现状浓度</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6</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58</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restart"/>
                  <w:noWrap w:val="0"/>
                  <w:vAlign w:val="center"/>
                </w:tcPr>
                <w:p>
                  <w:pPr>
                    <w:spacing w:line="240" w:lineRule="auto"/>
                    <w:jc w:val="center"/>
                    <w:rPr>
                      <w:rFonts w:hint="default" w:ascii="Times New Roman" w:hAnsi="Times New Roman" w:eastAsia="宋体" w:cs="Times New Roman"/>
                      <w:color w:val="auto"/>
                      <w:sz w:val="21"/>
                      <w:szCs w:val="21"/>
                      <w:vertAlign w:val="subscript"/>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513"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日最大8小时滑动平均</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164</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c>
                <w:tcPr>
                  <w:tcW w:w="100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bl>
          <w:p>
            <w:pPr>
              <w:adjustRightInd w:val="0"/>
              <w:snapToGrid w:val="0"/>
              <w:ind w:firstLine="482" w:firstLineChars="200"/>
              <w:rPr>
                <w:b/>
                <w:bCs/>
                <w:szCs w:val="21"/>
              </w:rPr>
            </w:pPr>
            <w:r>
              <w:rPr>
                <w:b/>
                <w:bCs/>
                <w:szCs w:val="21"/>
              </w:rPr>
              <w:t>2、水环境质量现状</w:t>
            </w:r>
          </w:p>
          <w:p>
            <w:pPr>
              <w:adjustRightInd w:val="0"/>
              <w:snapToGrid w:val="0"/>
              <w:ind w:firstLine="480" w:firstLineChars="200"/>
            </w:pPr>
            <w:r>
              <w:rPr>
                <w:rFonts w:hint="eastAsia"/>
              </w:rPr>
              <w:t>本项目废水经苏州高新</w:t>
            </w:r>
            <w:r>
              <w:rPr>
                <w:rFonts w:hint="eastAsia"/>
                <w:lang w:val="en-US" w:eastAsia="zh-CN"/>
              </w:rPr>
              <w:t>白荡水质净化厂</w:t>
            </w:r>
            <w:r>
              <w:rPr>
                <w:rFonts w:hint="eastAsia"/>
              </w:rPr>
              <w:t>处理后达标排放，尾水排入</w:t>
            </w:r>
            <w:r>
              <w:rPr>
                <w:rFonts w:hint="eastAsia"/>
                <w:lang w:val="en-US" w:eastAsia="zh-CN"/>
              </w:rPr>
              <w:t>京杭运河</w:t>
            </w:r>
            <w:r>
              <w:rPr>
                <w:rFonts w:hint="eastAsia"/>
              </w:rPr>
              <w:t>。</w:t>
            </w:r>
            <w:r>
              <w:t>本次评价引用</w:t>
            </w:r>
            <w:r>
              <w:rPr>
                <w:rFonts w:hint="eastAsia"/>
                <w:lang w:val="en-US" w:eastAsia="zh-CN"/>
              </w:rPr>
              <w:t>苏州宏宇环境科技股份</w:t>
            </w:r>
            <w:r>
              <w:rPr>
                <w:rFonts w:hint="eastAsia"/>
              </w:rPr>
              <w:t>有限公司于201</w:t>
            </w:r>
            <w:r>
              <w:rPr>
                <w:rFonts w:hint="eastAsia"/>
                <w:lang w:val="en-US" w:eastAsia="zh-CN"/>
              </w:rPr>
              <w:t>8</w:t>
            </w:r>
            <w:r>
              <w:rPr>
                <w:rFonts w:hint="eastAsia"/>
              </w:rPr>
              <w:t>年</w:t>
            </w:r>
            <w:r>
              <w:rPr>
                <w:rFonts w:hint="eastAsia"/>
                <w:lang w:val="en-US" w:eastAsia="zh-CN"/>
              </w:rPr>
              <w:t>8</w:t>
            </w:r>
            <w:r>
              <w:rPr>
                <w:rFonts w:hint="eastAsia"/>
              </w:rPr>
              <w:t>月</w:t>
            </w:r>
            <w:r>
              <w:rPr>
                <w:rFonts w:hint="eastAsia"/>
                <w:lang w:val="en-US" w:eastAsia="zh-CN"/>
              </w:rPr>
              <w:t>24-26</w:t>
            </w:r>
            <w:r>
              <w:rPr>
                <w:rFonts w:hint="eastAsia"/>
              </w:rPr>
              <w:t>日对</w:t>
            </w:r>
            <w:r>
              <w:rPr>
                <w:rFonts w:hint="eastAsia"/>
                <w:lang w:val="en-US" w:eastAsia="zh-CN"/>
              </w:rPr>
              <w:t>白荡净水厂</w:t>
            </w:r>
            <w:r>
              <w:rPr>
                <w:rFonts w:hint="eastAsia"/>
              </w:rPr>
              <w:t>纳污水体</w:t>
            </w:r>
            <w:r>
              <w:rPr>
                <w:rFonts w:hint="eastAsia"/>
                <w:lang w:val="en-US" w:eastAsia="zh-CN"/>
              </w:rPr>
              <w:t>京杭运河</w:t>
            </w:r>
            <w:r>
              <w:rPr>
                <w:rFonts w:hint="eastAsia"/>
              </w:rPr>
              <w:t>排污口</w:t>
            </w:r>
            <w:r>
              <w:rPr>
                <w:rFonts w:hint="eastAsia"/>
                <w:lang w:val="en-US" w:eastAsia="zh-CN"/>
              </w:rPr>
              <w:t>附近地表水</w:t>
            </w:r>
            <w:r>
              <w:rPr>
                <w:rFonts w:hint="eastAsia"/>
              </w:rPr>
              <w:t>进行监测，监测因子为pH、化学需氧量、总磷、氨氮</w:t>
            </w:r>
            <w:r>
              <w:rPr>
                <w:rFonts w:hint="eastAsia"/>
                <w:lang w:eastAsia="zh-CN"/>
              </w:rPr>
              <w:t>，</w:t>
            </w:r>
            <w:r>
              <w:rPr>
                <w:rFonts w:hint="eastAsia"/>
                <w:lang w:val="en-US" w:eastAsia="zh-CN"/>
              </w:rPr>
              <w:t>石油类</w:t>
            </w:r>
            <w:r>
              <w:rPr>
                <w:rFonts w:hint="eastAsia"/>
              </w:rPr>
              <w:t>，监测数据如下表。</w:t>
            </w:r>
          </w:p>
          <w:p>
            <w:pPr>
              <w:pStyle w:val="2"/>
              <w:ind w:firstLine="0" w:firstLineChars="0"/>
              <w:jc w:val="center"/>
              <w:rPr>
                <w:b/>
                <w:bCs/>
                <w:sz w:val="21"/>
                <w:szCs w:val="21"/>
              </w:rPr>
            </w:pPr>
            <w:r>
              <w:rPr>
                <w:rFonts w:hint="eastAsia"/>
                <w:b/>
                <w:bCs/>
                <w:sz w:val="21"/>
                <w:szCs w:val="21"/>
              </w:rPr>
              <w:t>表3-2地表水环境现状监测结果统计(mg/L，pH无量纲)</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946"/>
              <w:gridCol w:w="946"/>
              <w:gridCol w:w="1496"/>
              <w:gridCol w:w="871"/>
              <w:gridCol w:w="1106"/>
              <w:gridCol w:w="11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4" w:type="pct"/>
                  <w:tcBorders>
                    <w:bottom w:val="single" w:color="auto" w:sz="12" w:space="0"/>
                  </w:tcBorders>
                  <w:vAlign w:val="center"/>
                </w:tcPr>
                <w:p>
                  <w:pPr>
                    <w:spacing w:line="240" w:lineRule="auto"/>
                    <w:jc w:val="center"/>
                    <w:rPr>
                      <w:sz w:val="21"/>
                      <w:szCs w:val="21"/>
                    </w:rPr>
                  </w:pPr>
                  <w:r>
                    <w:rPr>
                      <w:rFonts w:hint="eastAsia"/>
                      <w:sz w:val="21"/>
                      <w:szCs w:val="21"/>
                    </w:rPr>
                    <w:t>断面</w:t>
                  </w:r>
                </w:p>
              </w:tc>
              <w:tc>
                <w:tcPr>
                  <w:tcW w:w="502" w:type="pct"/>
                  <w:tcBorders>
                    <w:bottom w:val="single" w:color="auto" w:sz="12" w:space="0"/>
                  </w:tcBorders>
                  <w:vAlign w:val="center"/>
                </w:tcPr>
                <w:p>
                  <w:pPr>
                    <w:spacing w:line="240" w:lineRule="auto"/>
                    <w:jc w:val="center"/>
                    <w:rPr>
                      <w:rFonts w:hint="eastAsia" w:eastAsia="宋体"/>
                      <w:sz w:val="21"/>
                      <w:szCs w:val="21"/>
                      <w:lang w:val="en-US" w:eastAsia="zh-CN"/>
                    </w:rPr>
                  </w:pPr>
                  <w:r>
                    <w:rPr>
                      <w:rFonts w:hint="eastAsia"/>
                      <w:sz w:val="21"/>
                      <w:szCs w:val="21"/>
                      <w:lang w:val="en-US" w:eastAsia="zh-CN"/>
                    </w:rPr>
                    <w:t>日期</w:t>
                  </w:r>
                </w:p>
              </w:tc>
              <w:tc>
                <w:tcPr>
                  <w:tcW w:w="502" w:type="pct"/>
                  <w:tcBorders>
                    <w:bottom w:val="single" w:color="auto" w:sz="12" w:space="0"/>
                  </w:tcBorders>
                  <w:vAlign w:val="center"/>
                </w:tcPr>
                <w:p>
                  <w:pPr>
                    <w:spacing w:line="240" w:lineRule="auto"/>
                    <w:jc w:val="center"/>
                    <w:rPr>
                      <w:sz w:val="21"/>
                      <w:szCs w:val="21"/>
                    </w:rPr>
                  </w:pPr>
                  <w:r>
                    <w:rPr>
                      <w:rFonts w:hint="eastAsia"/>
                      <w:sz w:val="21"/>
                      <w:szCs w:val="21"/>
                    </w:rPr>
                    <w:t>pH</w:t>
                  </w:r>
                </w:p>
              </w:tc>
              <w:tc>
                <w:tcPr>
                  <w:tcW w:w="794" w:type="pct"/>
                  <w:tcBorders>
                    <w:bottom w:val="single" w:color="auto" w:sz="12" w:space="0"/>
                  </w:tcBorders>
                  <w:vAlign w:val="center"/>
                </w:tcPr>
                <w:p>
                  <w:pPr>
                    <w:spacing w:line="240" w:lineRule="auto"/>
                    <w:jc w:val="center"/>
                    <w:rPr>
                      <w:sz w:val="21"/>
                      <w:szCs w:val="21"/>
                    </w:rPr>
                  </w:pPr>
                  <w:r>
                    <w:rPr>
                      <w:rFonts w:hint="eastAsia"/>
                      <w:sz w:val="21"/>
                      <w:szCs w:val="21"/>
                    </w:rPr>
                    <w:t>化学需氧量</w:t>
                  </w:r>
                </w:p>
              </w:tc>
              <w:tc>
                <w:tcPr>
                  <w:tcW w:w="462" w:type="pct"/>
                  <w:tcBorders>
                    <w:bottom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氨氮</w:t>
                  </w:r>
                </w:p>
              </w:tc>
              <w:tc>
                <w:tcPr>
                  <w:tcW w:w="587" w:type="pct"/>
                  <w:tcBorders>
                    <w:bottom w:val="single" w:color="auto" w:sz="12" w:space="0"/>
                  </w:tcBorders>
                  <w:vAlign w:val="center"/>
                </w:tcPr>
                <w:p>
                  <w:pPr>
                    <w:spacing w:line="240" w:lineRule="auto"/>
                    <w:jc w:val="center"/>
                    <w:rPr>
                      <w:sz w:val="21"/>
                      <w:szCs w:val="21"/>
                    </w:rPr>
                  </w:pPr>
                  <w:r>
                    <w:rPr>
                      <w:rFonts w:hint="eastAsia"/>
                      <w:sz w:val="21"/>
                      <w:szCs w:val="21"/>
                    </w:rPr>
                    <w:t>总磷</w:t>
                  </w:r>
                </w:p>
              </w:tc>
              <w:tc>
                <w:tcPr>
                  <w:tcW w:w="587" w:type="pct"/>
                  <w:tcBorders>
                    <w:bottom w:val="single" w:color="auto" w:sz="12" w:space="0"/>
                  </w:tcBorders>
                  <w:vAlign w:val="center"/>
                </w:tcPr>
                <w:p>
                  <w:pPr>
                    <w:spacing w:line="240" w:lineRule="auto"/>
                    <w:jc w:val="center"/>
                    <w:rPr>
                      <w:rFonts w:hint="eastAsia" w:eastAsia="宋体"/>
                      <w:sz w:val="21"/>
                      <w:szCs w:val="21"/>
                      <w:lang w:eastAsia="zh-CN"/>
                    </w:rPr>
                  </w:pPr>
                  <w:r>
                    <w:rPr>
                      <w:rFonts w:hint="eastAsia"/>
                      <w:sz w:val="21"/>
                      <w:szCs w:val="21"/>
                      <w:lang w:val="en-US" w:eastAsia="zh-CN"/>
                    </w:rPr>
                    <w:t>悬浮物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64" w:type="pct"/>
                  <w:vMerge w:val="restart"/>
                  <w:tcBorders>
                    <w:top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京杭运河-白荡河与京杭运河交汇处上游700m处</w:t>
                  </w:r>
                </w:p>
              </w:tc>
              <w:tc>
                <w:tcPr>
                  <w:tcW w:w="502" w:type="pct"/>
                  <w:tcBorders>
                    <w:top w:val="single" w:color="auto" w:sz="12" w:space="0"/>
                  </w:tcBorders>
                  <w:vAlign w:val="center"/>
                </w:tcPr>
                <w:p>
                  <w:pPr>
                    <w:spacing w:line="240" w:lineRule="auto"/>
                    <w:jc w:val="center"/>
                    <w:rPr>
                      <w:rFonts w:hint="default"/>
                      <w:sz w:val="21"/>
                      <w:szCs w:val="21"/>
                      <w:lang w:val="en-US" w:eastAsia="zh-CN"/>
                    </w:rPr>
                  </w:pPr>
                  <w:r>
                    <w:rPr>
                      <w:rFonts w:hint="eastAsia"/>
                      <w:sz w:val="21"/>
                      <w:szCs w:val="21"/>
                      <w:lang w:val="en-US" w:eastAsia="zh-CN"/>
                    </w:rPr>
                    <w:t>4.24</w:t>
                  </w:r>
                </w:p>
              </w:tc>
              <w:tc>
                <w:tcPr>
                  <w:tcW w:w="502" w:type="pct"/>
                  <w:tcBorders>
                    <w:top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7.25</w:t>
                  </w:r>
                </w:p>
              </w:tc>
              <w:tc>
                <w:tcPr>
                  <w:tcW w:w="794" w:type="pct"/>
                  <w:tcBorders>
                    <w:top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26</w:t>
                  </w:r>
                </w:p>
              </w:tc>
              <w:tc>
                <w:tcPr>
                  <w:tcW w:w="462" w:type="pct"/>
                  <w:tcBorders>
                    <w:top w:val="single" w:color="auto" w:sz="12" w:space="0"/>
                  </w:tcBorders>
                  <w:vAlign w:val="center"/>
                </w:tcPr>
                <w:p>
                  <w:pPr>
                    <w:spacing w:line="240" w:lineRule="auto"/>
                    <w:jc w:val="center"/>
                    <w:rPr>
                      <w:rFonts w:hint="default"/>
                      <w:sz w:val="21"/>
                      <w:szCs w:val="21"/>
                      <w:lang w:val="en-US" w:eastAsia="zh-CN"/>
                    </w:rPr>
                  </w:pPr>
                  <w:r>
                    <w:rPr>
                      <w:rFonts w:hint="eastAsia"/>
                      <w:sz w:val="21"/>
                      <w:szCs w:val="21"/>
                      <w:lang w:val="en-US" w:eastAsia="zh-CN"/>
                    </w:rPr>
                    <w:t>1.34</w:t>
                  </w:r>
                </w:p>
              </w:tc>
              <w:tc>
                <w:tcPr>
                  <w:tcW w:w="587" w:type="pct"/>
                  <w:tcBorders>
                    <w:top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0.29</w:t>
                  </w:r>
                </w:p>
              </w:tc>
              <w:tc>
                <w:tcPr>
                  <w:tcW w:w="587" w:type="pct"/>
                  <w:tcBorders>
                    <w:top w:val="single" w:color="auto" w:sz="12" w:space="0"/>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64" w:type="pct"/>
                  <w:vMerge w:val="continue"/>
                  <w:vAlign w:val="center"/>
                </w:tcPr>
                <w:p>
                  <w:pPr>
                    <w:spacing w:line="240" w:lineRule="auto"/>
                    <w:jc w:val="center"/>
                    <w:rPr>
                      <w:sz w:val="21"/>
                      <w:szCs w:val="21"/>
                    </w:rPr>
                  </w:pPr>
                </w:p>
              </w:tc>
              <w:tc>
                <w:tcPr>
                  <w:tcW w:w="502"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4.25</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7.34</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25</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1.24</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64" w:type="pct"/>
                  <w:vMerge w:val="continue"/>
                  <w:vAlign w:val="center"/>
                </w:tcPr>
                <w:p>
                  <w:pPr>
                    <w:spacing w:line="240" w:lineRule="auto"/>
                    <w:jc w:val="center"/>
                    <w:rPr>
                      <w:rFonts w:hint="eastAsia"/>
                      <w:sz w:val="21"/>
                      <w:szCs w:val="21"/>
                      <w:lang w:val="en-US" w:eastAsia="zh-CN"/>
                    </w:rPr>
                  </w:pP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4.26</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7.39</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26</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1.36</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0.29</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564" w:type="pct"/>
                  <w:vMerge w:val="restart"/>
                  <w:vAlign w:val="center"/>
                </w:tcPr>
                <w:p>
                  <w:pPr>
                    <w:spacing w:line="240" w:lineRule="auto"/>
                    <w:jc w:val="center"/>
                    <w:rPr>
                      <w:rFonts w:hint="default" w:eastAsia="宋体"/>
                      <w:sz w:val="21"/>
                      <w:szCs w:val="21"/>
                      <w:lang w:val="en-US" w:eastAsia="zh-CN"/>
                    </w:rPr>
                  </w:pPr>
                  <w:r>
                    <w:rPr>
                      <w:rFonts w:hint="eastAsia"/>
                      <w:sz w:val="21"/>
                      <w:szCs w:val="21"/>
                      <w:lang w:val="en-US" w:eastAsia="zh-CN"/>
                    </w:rPr>
                    <w:t>京杭运河-文昌桥</w:t>
                  </w: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4.24</w:t>
                  </w:r>
                </w:p>
              </w:tc>
              <w:tc>
                <w:tcPr>
                  <w:tcW w:w="502"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7.29</w:t>
                  </w:r>
                </w:p>
              </w:tc>
              <w:tc>
                <w:tcPr>
                  <w:tcW w:w="7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28</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1.42</w:t>
                  </w:r>
                </w:p>
              </w:tc>
              <w:tc>
                <w:tcPr>
                  <w:tcW w:w="58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564" w:type="pct"/>
                  <w:vMerge w:val="continue"/>
                  <w:vAlign w:val="center"/>
                </w:tcPr>
                <w:p>
                  <w:pPr>
                    <w:spacing w:line="240" w:lineRule="auto"/>
                    <w:jc w:val="center"/>
                    <w:rPr>
                      <w:sz w:val="21"/>
                      <w:szCs w:val="21"/>
                    </w:rPr>
                  </w:pP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4.25</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7.29</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28</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1.38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564" w:type="pct"/>
                  <w:vMerge w:val="continue"/>
                  <w:vAlign w:val="center"/>
                </w:tcPr>
                <w:p>
                  <w:pPr>
                    <w:spacing w:line="240" w:lineRule="auto"/>
                    <w:jc w:val="center"/>
                    <w:rPr>
                      <w:rFonts w:hint="eastAsia"/>
                      <w:sz w:val="21"/>
                      <w:szCs w:val="21"/>
                      <w:lang w:val="en-US" w:eastAsia="zh-CN"/>
                    </w:rPr>
                  </w:pP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4.26</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7.35</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25</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1.24</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64" w:type="pct"/>
                  <w:vMerge w:val="restart"/>
                  <w:vAlign w:val="center"/>
                </w:tcPr>
                <w:p>
                  <w:pPr>
                    <w:spacing w:line="240" w:lineRule="auto"/>
                    <w:jc w:val="center"/>
                    <w:rPr>
                      <w:rFonts w:hint="default" w:eastAsia="宋体"/>
                      <w:sz w:val="21"/>
                      <w:szCs w:val="21"/>
                      <w:lang w:val="en-US" w:eastAsia="zh-CN"/>
                    </w:rPr>
                  </w:pPr>
                  <w:r>
                    <w:rPr>
                      <w:rFonts w:hint="eastAsia"/>
                      <w:sz w:val="21"/>
                      <w:szCs w:val="21"/>
                      <w:lang w:val="en-US" w:eastAsia="zh-CN"/>
                    </w:rPr>
                    <w:t>京杭运河-长浒大桥</w:t>
                  </w: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4.24</w:t>
                  </w:r>
                </w:p>
              </w:tc>
              <w:tc>
                <w:tcPr>
                  <w:tcW w:w="502"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7.31</w:t>
                  </w:r>
                </w:p>
              </w:tc>
              <w:tc>
                <w:tcPr>
                  <w:tcW w:w="7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27</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1.27</w:t>
                  </w:r>
                </w:p>
              </w:tc>
              <w:tc>
                <w:tcPr>
                  <w:tcW w:w="58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0.29</w:t>
                  </w:r>
                </w:p>
              </w:tc>
              <w:tc>
                <w:tcPr>
                  <w:tcW w:w="58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64" w:type="pct"/>
                  <w:vMerge w:val="continue"/>
                  <w:vAlign w:val="center"/>
                </w:tcPr>
                <w:p>
                  <w:pPr>
                    <w:spacing w:line="240" w:lineRule="auto"/>
                    <w:jc w:val="center"/>
                    <w:rPr>
                      <w:sz w:val="21"/>
                      <w:szCs w:val="21"/>
                    </w:rPr>
                  </w:pP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4.25</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7.28</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27</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1.30</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64" w:type="pct"/>
                  <w:vMerge w:val="continue"/>
                  <w:vAlign w:val="center"/>
                </w:tcPr>
                <w:p>
                  <w:pPr>
                    <w:spacing w:line="240" w:lineRule="auto"/>
                    <w:jc w:val="center"/>
                    <w:rPr>
                      <w:rFonts w:hint="eastAsia"/>
                      <w:sz w:val="21"/>
                      <w:szCs w:val="21"/>
                      <w:lang w:val="en-US" w:eastAsia="zh-CN"/>
                    </w:rPr>
                  </w:pPr>
                </w:p>
              </w:tc>
              <w:tc>
                <w:tcPr>
                  <w:tcW w:w="502"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4.26</w:t>
                  </w:r>
                </w:p>
              </w:tc>
              <w:tc>
                <w:tcPr>
                  <w:tcW w:w="502" w:type="pct"/>
                  <w:vAlign w:val="center"/>
                </w:tcPr>
                <w:p>
                  <w:pPr>
                    <w:spacing w:line="240" w:lineRule="auto"/>
                    <w:jc w:val="center"/>
                    <w:rPr>
                      <w:rFonts w:hint="default"/>
                      <w:sz w:val="21"/>
                      <w:szCs w:val="21"/>
                      <w:lang w:val="en-US" w:eastAsia="zh-CN"/>
                    </w:rPr>
                  </w:pPr>
                  <w:r>
                    <w:rPr>
                      <w:rFonts w:hint="eastAsia"/>
                      <w:sz w:val="21"/>
                      <w:szCs w:val="21"/>
                      <w:lang w:val="en-US" w:eastAsia="zh-CN"/>
                    </w:rPr>
                    <w:t>7.28</w:t>
                  </w:r>
                </w:p>
              </w:tc>
              <w:tc>
                <w:tcPr>
                  <w:tcW w:w="794" w:type="pct"/>
                  <w:vAlign w:val="center"/>
                </w:tcPr>
                <w:p>
                  <w:pPr>
                    <w:spacing w:line="240" w:lineRule="auto"/>
                    <w:jc w:val="center"/>
                    <w:rPr>
                      <w:rFonts w:hint="default"/>
                      <w:sz w:val="21"/>
                      <w:szCs w:val="21"/>
                      <w:lang w:val="en-US" w:eastAsia="zh-CN"/>
                    </w:rPr>
                  </w:pPr>
                  <w:r>
                    <w:rPr>
                      <w:rFonts w:hint="eastAsia"/>
                      <w:sz w:val="21"/>
                      <w:szCs w:val="21"/>
                      <w:lang w:val="en-US" w:eastAsia="zh-CN"/>
                    </w:rPr>
                    <w:t>28</w:t>
                  </w:r>
                </w:p>
              </w:tc>
              <w:tc>
                <w:tcPr>
                  <w:tcW w:w="462" w:type="pct"/>
                  <w:vAlign w:val="center"/>
                </w:tcPr>
                <w:p>
                  <w:pPr>
                    <w:spacing w:line="240" w:lineRule="auto"/>
                    <w:jc w:val="center"/>
                    <w:rPr>
                      <w:rFonts w:hint="default"/>
                      <w:sz w:val="21"/>
                      <w:szCs w:val="21"/>
                      <w:lang w:val="en-US" w:eastAsia="zh-CN"/>
                    </w:rPr>
                  </w:pPr>
                  <w:r>
                    <w:rPr>
                      <w:rFonts w:hint="eastAsia"/>
                      <w:sz w:val="21"/>
                      <w:szCs w:val="21"/>
                      <w:lang w:val="en-US" w:eastAsia="zh-CN"/>
                    </w:rPr>
                    <w:t>1.27</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0.28</w:t>
                  </w:r>
                </w:p>
              </w:tc>
              <w:tc>
                <w:tcPr>
                  <w:tcW w:w="587" w:type="pct"/>
                  <w:vAlign w:val="center"/>
                </w:tcPr>
                <w:p>
                  <w:pPr>
                    <w:spacing w:line="240" w:lineRule="auto"/>
                    <w:jc w:val="center"/>
                    <w:rPr>
                      <w:rFonts w:hint="default"/>
                      <w:sz w:val="21"/>
                      <w:szCs w:val="21"/>
                      <w:lang w:val="en-US" w:eastAsia="zh-CN"/>
                    </w:rPr>
                  </w:pPr>
                  <w:r>
                    <w:rPr>
                      <w:rFonts w:hint="eastAsia"/>
                      <w:sz w:val="21"/>
                      <w:szCs w:val="21"/>
                      <w:lang w:val="en-US" w:eastAsia="zh-CN"/>
                    </w:rPr>
                    <w:t>57</w:t>
                  </w:r>
                </w:p>
              </w:tc>
            </w:tr>
          </w:tbl>
          <w:p>
            <w:pPr>
              <w:pStyle w:val="2"/>
              <w:ind w:firstLine="480"/>
            </w:pPr>
            <w:r>
              <w:t>由上述分析可见，本项目受纳水体</w:t>
            </w:r>
            <w:r>
              <w:rPr>
                <w:rFonts w:hint="eastAsia"/>
                <w:lang w:val="en-US" w:eastAsia="zh-CN"/>
              </w:rPr>
              <w:t>京杭运河白荡净水厂</w:t>
            </w:r>
            <w:r>
              <w:t>排污口监测断面pH、化学需氧量、总磷、氨氮的浓度均符合《地表水环境质量标准》（GB3838-2002）中的III类水质标准，说明项目所在地水环境质量良好。</w:t>
            </w:r>
          </w:p>
          <w:p>
            <w:pPr>
              <w:adjustRightInd w:val="0"/>
              <w:snapToGrid w:val="0"/>
              <w:ind w:firstLine="482" w:firstLineChars="200"/>
              <w:rPr>
                <w:b/>
                <w:highlight w:val="none"/>
              </w:rPr>
            </w:pPr>
            <w:r>
              <w:rPr>
                <w:b/>
              </w:rPr>
              <w:t>3、声环境</w:t>
            </w:r>
            <w:r>
              <w:rPr>
                <w:b/>
                <w:highlight w:val="none"/>
              </w:rPr>
              <w:t>质量现状</w:t>
            </w:r>
          </w:p>
          <w:p>
            <w:pPr>
              <w:adjustRightInd w:val="0"/>
              <w:snapToGrid w:val="0"/>
              <w:ind w:firstLine="480" w:firstLineChars="200"/>
              <w:rPr>
                <w:szCs w:val="21"/>
                <w:highlight w:val="none"/>
              </w:rPr>
            </w:pPr>
            <w:r>
              <w:rPr>
                <w:highlight w:val="none"/>
              </w:rPr>
              <w:t>本项目位于苏州高新区</w:t>
            </w:r>
            <w:r>
              <w:rPr>
                <w:rFonts w:hint="eastAsia"/>
                <w:highlight w:val="none"/>
                <w:lang w:val="en-US" w:eastAsia="zh-CN"/>
              </w:rPr>
              <w:t>东金芝路56号</w:t>
            </w:r>
            <w:r>
              <w:rPr>
                <w:highlight w:val="none"/>
              </w:rPr>
              <w:t>，委托</w:t>
            </w:r>
            <w:r>
              <w:rPr>
                <w:rFonts w:hint="eastAsia"/>
                <w:highlight w:val="none"/>
              </w:rPr>
              <w:t>苏州</w:t>
            </w:r>
            <w:r>
              <w:rPr>
                <w:rFonts w:hint="eastAsia"/>
                <w:highlight w:val="none"/>
                <w:lang w:val="en-US" w:eastAsia="zh-CN"/>
              </w:rPr>
              <w:t>国泰环境检测有限公司</w:t>
            </w:r>
            <w:r>
              <w:rPr>
                <w:highlight w:val="none"/>
              </w:rPr>
              <w:t>于20</w:t>
            </w:r>
            <w:r>
              <w:rPr>
                <w:rFonts w:hint="eastAsia"/>
                <w:highlight w:val="none"/>
                <w:lang w:val="en-US" w:eastAsia="zh-CN"/>
              </w:rPr>
              <w:t>20</w:t>
            </w:r>
            <w:r>
              <w:rPr>
                <w:highlight w:val="none"/>
              </w:rPr>
              <w:t>年</w:t>
            </w:r>
            <w:r>
              <w:rPr>
                <w:rFonts w:hint="eastAsia"/>
                <w:highlight w:val="none"/>
                <w:lang w:val="en-US" w:eastAsia="zh-CN"/>
              </w:rPr>
              <w:t>5</w:t>
            </w:r>
            <w:r>
              <w:rPr>
                <w:highlight w:val="none"/>
              </w:rPr>
              <w:t>月</w:t>
            </w:r>
            <w:r>
              <w:rPr>
                <w:rFonts w:hint="eastAsia"/>
                <w:highlight w:val="none"/>
                <w:lang w:val="en-US" w:eastAsia="zh-CN"/>
              </w:rPr>
              <w:t>8</w:t>
            </w:r>
            <w:r>
              <w:rPr>
                <w:highlight w:val="none"/>
              </w:rPr>
              <w:t>日</w:t>
            </w:r>
            <w:r>
              <w:rPr>
                <w:snapToGrid w:val="0"/>
                <w:kern w:val="0"/>
                <w:highlight w:val="none"/>
              </w:rPr>
              <w:t>对</w:t>
            </w:r>
            <w:r>
              <w:rPr>
                <w:highlight w:val="none"/>
              </w:rPr>
              <w:t>项目地厂界四周</w:t>
            </w:r>
            <w:r>
              <w:rPr>
                <w:rFonts w:hint="eastAsia"/>
                <w:highlight w:val="none"/>
              </w:rPr>
              <w:t>1</w:t>
            </w:r>
            <w:r>
              <w:rPr>
                <w:highlight w:val="none"/>
              </w:rPr>
              <w:t>m处共布设4个监测点，进行声环境质量现状监测。由表3-5可以看出，项目各厂界噪声均满足《声环境质量标准》（GB3096-2008）3类标准。</w:t>
            </w:r>
          </w:p>
          <w:p>
            <w:pPr>
              <w:adjustRightInd w:val="0"/>
              <w:snapToGrid w:val="0"/>
              <w:jc w:val="center"/>
              <w:rPr>
                <w:b/>
                <w:sz w:val="21"/>
                <w:szCs w:val="21"/>
                <w:highlight w:val="none"/>
              </w:rPr>
            </w:pPr>
            <w:r>
              <w:rPr>
                <w:b/>
                <w:sz w:val="21"/>
                <w:szCs w:val="21"/>
                <w:highlight w:val="none"/>
              </w:rPr>
              <w:t>表3-</w:t>
            </w:r>
            <w:r>
              <w:rPr>
                <w:rFonts w:hint="eastAsia"/>
                <w:b/>
                <w:sz w:val="21"/>
                <w:szCs w:val="21"/>
                <w:highlight w:val="none"/>
              </w:rPr>
              <w:t>3</w:t>
            </w:r>
            <w:r>
              <w:rPr>
                <w:b/>
                <w:sz w:val="21"/>
                <w:szCs w:val="21"/>
                <w:highlight w:val="none"/>
              </w:rPr>
              <w:t>噪声现状监测结果及评价  单位：dB(A)</w:t>
            </w:r>
          </w:p>
          <w:tbl>
            <w:tblPr>
              <w:tblStyle w:val="26"/>
              <w:tblW w:w="942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277"/>
              <w:gridCol w:w="1340"/>
              <w:gridCol w:w="1559"/>
              <w:gridCol w:w="1459"/>
              <w:gridCol w:w="14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5" w:type="dxa"/>
                  <w:gridSpan w:val="2"/>
                  <w:vAlign w:val="center"/>
                </w:tcPr>
                <w:p>
                  <w:pPr>
                    <w:snapToGrid w:val="0"/>
                    <w:spacing w:line="240" w:lineRule="auto"/>
                    <w:jc w:val="center"/>
                    <w:rPr>
                      <w:b/>
                      <w:sz w:val="21"/>
                      <w:szCs w:val="21"/>
                      <w:highlight w:val="none"/>
                    </w:rPr>
                  </w:pPr>
                  <w:r>
                    <w:rPr>
                      <w:b/>
                      <w:sz w:val="21"/>
                      <w:szCs w:val="21"/>
                      <w:highlight w:val="none"/>
                    </w:rPr>
                    <w:t>昼间噪声测试日期及气象条件</w:t>
                  </w:r>
                </w:p>
              </w:tc>
              <w:tc>
                <w:tcPr>
                  <w:tcW w:w="5798" w:type="dxa"/>
                  <w:gridSpan w:val="4"/>
                  <w:vAlign w:val="center"/>
                </w:tcPr>
                <w:p>
                  <w:pPr>
                    <w:snapToGrid w:val="0"/>
                    <w:spacing w:line="240" w:lineRule="auto"/>
                    <w:jc w:val="center"/>
                    <w:rPr>
                      <w:sz w:val="21"/>
                      <w:szCs w:val="21"/>
                      <w:highlight w:val="none"/>
                    </w:rPr>
                  </w:pPr>
                  <w:r>
                    <w:rPr>
                      <w:sz w:val="21"/>
                      <w:szCs w:val="21"/>
                      <w:highlight w:val="none"/>
                    </w:rPr>
                    <w:t>20</w:t>
                  </w:r>
                  <w:r>
                    <w:rPr>
                      <w:rFonts w:hint="eastAsia"/>
                      <w:sz w:val="21"/>
                      <w:szCs w:val="21"/>
                      <w:highlight w:val="none"/>
                      <w:lang w:val="en-US" w:eastAsia="zh-CN"/>
                    </w:rPr>
                    <w:t>20</w:t>
                  </w:r>
                  <w:r>
                    <w:rPr>
                      <w:sz w:val="21"/>
                      <w:szCs w:val="21"/>
                      <w:highlight w:val="none"/>
                    </w:rPr>
                    <w:t>年</w:t>
                  </w:r>
                  <w:r>
                    <w:rPr>
                      <w:rFonts w:hint="eastAsia"/>
                      <w:sz w:val="21"/>
                      <w:szCs w:val="21"/>
                      <w:highlight w:val="none"/>
                      <w:lang w:val="en-US" w:eastAsia="zh-CN"/>
                    </w:rPr>
                    <w:t>5</w:t>
                  </w:r>
                  <w:r>
                    <w:rPr>
                      <w:sz w:val="21"/>
                      <w:szCs w:val="21"/>
                      <w:highlight w:val="none"/>
                    </w:rPr>
                    <w:t>月</w:t>
                  </w:r>
                  <w:r>
                    <w:rPr>
                      <w:rFonts w:hint="eastAsia"/>
                      <w:sz w:val="21"/>
                      <w:szCs w:val="21"/>
                      <w:highlight w:val="none"/>
                      <w:lang w:val="en-US" w:eastAsia="zh-CN"/>
                    </w:rPr>
                    <w:t>8</w:t>
                  </w:r>
                  <w:r>
                    <w:rPr>
                      <w:sz w:val="21"/>
                      <w:szCs w:val="21"/>
                      <w:highlight w:val="none"/>
                    </w:rPr>
                    <w:t xml:space="preserve">日 </w:t>
                  </w:r>
                  <w:r>
                    <w:rPr>
                      <w:rFonts w:hint="eastAsia"/>
                      <w:sz w:val="21"/>
                      <w:szCs w:val="21"/>
                      <w:highlight w:val="none"/>
                    </w:rPr>
                    <w:t>多云</w:t>
                  </w:r>
                  <w:r>
                    <w:rPr>
                      <w:sz w:val="21"/>
                      <w:szCs w:val="21"/>
                      <w:highlight w:val="none"/>
                    </w:rPr>
                    <w:t xml:space="preserve"> 最大风速：</w:t>
                  </w:r>
                  <w:r>
                    <w:rPr>
                      <w:rFonts w:hint="eastAsia"/>
                      <w:sz w:val="21"/>
                      <w:szCs w:val="21"/>
                      <w:highlight w:val="none"/>
                      <w:lang w:val="en-US" w:eastAsia="zh-CN"/>
                    </w:rPr>
                    <w:t>1.8</w:t>
                  </w:r>
                  <w:r>
                    <w:rPr>
                      <w:sz w:val="21"/>
                      <w:szCs w:val="21"/>
                      <w:highlight w:val="none"/>
                    </w:rPr>
                    <w:t>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25" w:type="dxa"/>
                  <w:gridSpan w:val="2"/>
                  <w:tcBorders>
                    <w:bottom w:val="single" w:color="auto" w:sz="12" w:space="0"/>
                  </w:tcBorders>
                  <w:vAlign w:val="center"/>
                </w:tcPr>
                <w:p>
                  <w:pPr>
                    <w:snapToGrid w:val="0"/>
                    <w:spacing w:line="240" w:lineRule="auto"/>
                    <w:jc w:val="center"/>
                    <w:rPr>
                      <w:b/>
                      <w:sz w:val="21"/>
                      <w:szCs w:val="21"/>
                      <w:highlight w:val="none"/>
                    </w:rPr>
                  </w:pPr>
                  <w:r>
                    <w:rPr>
                      <w:b/>
                      <w:sz w:val="21"/>
                      <w:szCs w:val="21"/>
                      <w:highlight w:val="none"/>
                    </w:rPr>
                    <w:t>夜间噪声测试日期及气象条件</w:t>
                  </w:r>
                </w:p>
              </w:tc>
              <w:tc>
                <w:tcPr>
                  <w:tcW w:w="5798" w:type="dxa"/>
                  <w:gridSpan w:val="4"/>
                  <w:tcBorders>
                    <w:bottom w:val="single" w:color="auto" w:sz="12" w:space="0"/>
                  </w:tcBorders>
                  <w:vAlign w:val="center"/>
                </w:tcPr>
                <w:p>
                  <w:pPr>
                    <w:snapToGrid w:val="0"/>
                    <w:spacing w:line="240" w:lineRule="auto"/>
                    <w:jc w:val="center"/>
                    <w:rPr>
                      <w:sz w:val="21"/>
                      <w:szCs w:val="21"/>
                      <w:highlight w:val="none"/>
                    </w:rPr>
                  </w:pPr>
                  <w:r>
                    <w:rPr>
                      <w:sz w:val="21"/>
                      <w:szCs w:val="21"/>
                      <w:highlight w:val="none"/>
                    </w:rPr>
                    <w:t>20</w:t>
                  </w:r>
                  <w:r>
                    <w:rPr>
                      <w:rFonts w:hint="eastAsia"/>
                      <w:sz w:val="21"/>
                      <w:szCs w:val="21"/>
                      <w:highlight w:val="none"/>
                      <w:lang w:val="en-US" w:eastAsia="zh-CN"/>
                    </w:rPr>
                    <w:t>20</w:t>
                  </w:r>
                  <w:r>
                    <w:rPr>
                      <w:sz w:val="21"/>
                      <w:szCs w:val="21"/>
                      <w:highlight w:val="none"/>
                    </w:rPr>
                    <w:t>年</w:t>
                  </w:r>
                  <w:r>
                    <w:rPr>
                      <w:rFonts w:hint="eastAsia"/>
                      <w:sz w:val="21"/>
                      <w:szCs w:val="21"/>
                      <w:highlight w:val="none"/>
                      <w:lang w:val="en-US" w:eastAsia="zh-CN"/>
                    </w:rPr>
                    <w:t>5</w:t>
                  </w:r>
                  <w:r>
                    <w:rPr>
                      <w:sz w:val="21"/>
                      <w:szCs w:val="21"/>
                      <w:highlight w:val="none"/>
                    </w:rPr>
                    <w:t>月</w:t>
                  </w:r>
                  <w:r>
                    <w:rPr>
                      <w:rFonts w:hint="eastAsia"/>
                      <w:sz w:val="21"/>
                      <w:szCs w:val="21"/>
                      <w:highlight w:val="none"/>
                      <w:lang w:val="en-US" w:eastAsia="zh-CN"/>
                    </w:rPr>
                    <w:t>8</w:t>
                  </w:r>
                  <w:r>
                    <w:rPr>
                      <w:sz w:val="21"/>
                      <w:szCs w:val="21"/>
                      <w:highlight w:val="none"/>
                    </w:rPr>
                    <w:t xml:space="preserve">日 </w:t>
                  </w:r>
                  <w:r>
                    <w:rPr>
                      <w:rFonts w:hint="eastAsia"/>
                      <w:sz w:val="21"/>
                      <w:szCs w:val="21"/>
                      <w:highlight w:val="none"/>
                    </w:rPr>
                    <w:t>多云</w:t>
                  </w:r>
                  <w:r>
                    <w:rPr>
                      <w:sz w:val="21"/>
                      <w:szCs w:val="21"/>
                      <w:highlight w:val="none"/>
                    </w:rPr>
                    <w:t xml:space="preserve"> 最大风速：</w:t>
                  </w:r>
                  <w:r>
                    <w:rPr>
                      <w:rFonts w:hint="eastAsia"/>
                      <w:sz w:val="21"/>
                      <w:szCs w:val="21"/>
                      <w:highlight w:val="none"/>
                      <w:lang w:val="en-US" w:eastAsia="zh-CN"/>
                    </w:rPr>
                    <w:t>1.8</w:t>
                  </w:r>
                  <w:r>
                    <w:rPr>
                      <w:sz w:val="21"/>
                      <w:szCs w:val="21"/>
                      <w:highlight w:val="none"/>
                    </w:rPr>
                    <w:t>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Merge w:val="restart"/>
                  <w:tcBorders>
                    <w:top w:val="single" w:color="auto" w:sz="12" w:space="0"/>
                    <w:bottom w:val="single" w:color="auto" w:sz="12" w:space="0"/>
                  </w:tcBorders>
                  <w:vAlign w:val="center"/>
                </w:tcPr>
                <w:p>
                  <w:pPr>
                    <w:snapToGrid w:val="0"/>
                    <w:spacing w:line="240" w:lineRule="auto"/>
                    <w:jc w:val="center"/>
                    <w:rPr>
                      <w:b/>
                      <w:sz w:val="21"/>
                      <w:szCs w:val="21"/>
                      <w:highlight w:val="none"/>
                    </w:rPr>
                  </w:pPr>
                  <w:r>
                    <w:rPr>
                      <w:b/>
                      <w:sz w:val="21"/>
                      <w:szCs w:val="21"/>
                      <w:highlight w:val="none"/>
                    </w:rPr>
                    <w:t>测点编号</w:t>
                  </w:r>
                </w:p>
              </w:tc>
              <w:tc>
                <w:tcPr>
                  <w:tcW w:w="2277" w:type="dxa"/>
                  <w:vMerge w:val="restart"/>
                  <w:tcBorders>
                    <w:top w:val="single" w:color="auto" w:sz="12" w:space="0"/>
                    <w:bottom w:val="single" w:color="auto" w:sz="12" w:space="0"/>
                  </w:tcBorders>
                  <w:vAlign w:val="center"/>
                </w:tcPr>
                <w:p>
                  <w:pPr>
                    <w:snapToGrid w:val="0"/>
                    <w:spacing w:line="240" w:lineRule="auto"/>
                    <w:jc w:val="center"/>
                    <w:rPr>
                      <w:b/>
                      <w:sz w:val="21"/>
                      <w:szCs w:val="21"/>
                      <w:highlight w:val="none"/>
                    </w:rPr>
                  </w:pPr>
                  <w:r>
                    <w:rPr>
                      <w:b/>
                      <w:sz w:val="21"/>
                      <w:szCs w:val="21"/>
                      <w:highlight w:val="none"/>
                    </w:rPr>
                    <w:t>监测位置</w:t>
                  </w:r>
                </w:p>
              </w:tc>
              <w:tc>
                <w:tcPr>
                  <w:tcW w:w="2899" w:type="dxa"/>
                  <w:gridSpan w:val="2"/>
                  <w:tcBorders>
                    <w:top w:val="single" w:color="auto" w:sz="12" w:space="0"/>
                    <w:bottom w:val="single" w:color="auto" w:sz="12" w:space="0"/>
                  </w:tcBorders>
                  <w:vAlign w:val="center"/>
                </w:tcPr>
                <w:p>
                  <w:pPr>
                    <w:snapToGrid w:val="0"/>
                    <w:spacing w:line="240" w:lineRule="auto"/>
                    <w:jc w:val="center"/>
                    <w:rPr>
                      <w:b/>
                      <w:sz w:val="21"/>
                      <w:szCs w:val="21"/>
                      <w:highlight w:val="none"/>
                    </w:rPr>
                  </w:pPr>
                  <w:r>
                    <w:rPr>
                      <w:b/>
                      <w:sz w:val="21"/>
                      <w:szCs w:val="21"/>
                      <w:highlight w:val="none"/>
                    </w:rPr>
                    <w:t>昼间dB(A)</w:t>
                  </w:r>
                </w:p>
              </w:tc>
              <w:tc>
                <w:tcPr>
                  <w:tcW w:w="2899" w:type="dxa"/>
                  <w:gridSpan w:val="2"/>
                  <w:tcBorders>
                    <w:top w:val="single" w:color="auto" w:sz="12" w:space="0"/>
                    <w:bottom w:val="single" w:color="auto" w:sz="12" w:space="0"/>
                  </w:tcBorders>
                  <w:vAlign w:val="center"/>
                </w:tcPr>
                <w:p>
                  <w:pPr>
                    <w:snapToGrid w:val="0"/>
                    <w:spacing w:line="240" w:lineRule="auto"/>
                    <w:jc w:val="center"/>
                    <w:rPr>
                      <w:b/>
                      <w:sz w:val="21"/>
                      <w:szCs w:val="21"/>
                      <w:highlight w:val="none"/>
                    </w:rPr>
                  </w:pPr>
                  <w:r>
                    <w:rPr>
                      <w:b/>
                      <w:sz w:val="21"/>
                      <w:szCs w:val="21"/>
                      <w:highlight w:val="none"/>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Merge w:val="continue"/>
                  <w:tcBorders>
                    <w:top w:val="single" w:color="auto" w:sz="12" w:space="0"/>
                  </w:tcBorders>
                  <w:vAlign w:val="center"/>
                </w:tcPr>
                <w:p>
                  <w:pPr>
                    <w:snapToGrid w:val="0"/>
                    <w:spacing w:line="240" w:lineRule="auto"/>
                    <w:jc w:val="center"/>
                    <w:rPr>
                      <w:b/>
                      <w:sz w:val="21"/>
                      <w:szCs w:val="21"/>
                      <w:highlight w:val="none"/>
                    </w:rPr>
                  </w:pPr>
                </w:p>
              </w:tc>
              <w:tc>
                <w:tcPr>
                  <w:tcW w:w="2277" w:type="dxa"/>
                  <w:vMerge w:val="continue"/>
                  <w:tcBorders>
                    <w:top w:val="single" w:color="auto" w:sz="12" w:space="0"/>
                  </w:tcBorders>
                  <w:vAlign w:val="center"/>
                </w:tcPr>
                <w:p>
                  <w:pPr>
                    <w:snapToGrid w:val="0"/>
                    <w:spacing w:line="240" w:lineRule="auto"/>
                    <w:jc w:val="center"/>
                    <w:rPr>
                      <w:b/>
                      <w:sz w:val="21"/>
                      <w:szCs w:val="21"/>
                      <w:highlight w:val="none"/>
                    </w:rPr>
                  </w:pPr>
                </w:p>
              </w:tc>
              <w:tc>
                <w:tcPr>
                  <w:tcW w:w="1340" w:type="dxa"/>
                  <w:tcBorders>
                    <w:top w:val="single" w:color="auto" w:sz="12" w:space="0"/>
                  </w:tcBorders>
                  <w:vAlign w:val="center"/>
                </w:tcPr>
                <w:p>
                  <w:pPr>
                    <w:snapToGrid w:val="0"/>
                    <w:spacing w:line="240" w:lineRule="auto"/>
                    <w:jc w:val="center"/>
                    <w:rPr>
                      <w:b/>
                      <w:sz w:val="21"/>
                      <w:szCs w:val="21"/>
                      <w:highlight w:val="none"/>
                    </w:rPr>
                  </w:pPr>
                  <w:r>
                    <w:rPr>
                      <w:b/>
                      <w:sz w:val="21"/>
                      <w:szCs w:val="21"/>
                      <w:highlight w:val="none"/>
                    </w:rPr>
                    <w:t>监测结果</w:t>
                  </w:r>
                </w:p>
              </w:tc>
              <w:tc>
                <w:tcPr>
                  <w:tcW w:w="1559" w:type="dxa"/>
                  <w:tcBorders>
                    <w:top w:val="single" w:color="auto" w:sz="12" w:space="0"/>
                  </w:tcBorders>
                  <w:vAlign w:val="center"/>
                </w:tcPr>
                <w:p>
                  <w:pPr>
                    <w:snapToGrid w:val="0"/>
                    <w:spacing w:line="240" w:lineRule="auto"/>
                    <w:jc w:val="center"/>
                    <w:rPr>
                      <w:b/>
                      <w:sz w:val="21"/>
                      <w:szCs w:val="21"/>
                      <w:highlight w:val="none"/>
                    </w:rPr>
                  </w:pPr>
                  <w:r>
                    <w:rPr>
                      <w:b/>
                      <w:sz w:val="21"/>
                      <w:szCs w:val="21"/>
                      <w:highlight w:val="none"/>
                    </w:rPr>
                    <w:t>标准限值</w:t>
                  </w:r>
                </w:p>
              </w:tc>
              <w:tc>
                <w:tcPr>
                  <w:tcW w:w="1459" w:type="dxa"/>
                  <w:tcBorders>
                    <w:top w:val="single" w:color="auto" w:sz="12" w:space="0"/>
                  </w:tcBorders>
                  <w:vAlign w:val="center"/>
                </w:tcPr>
                <w:p>
                  <w:pPr>
                    <w:snapToGrid w:val="0"/>
                    <w:spacing w:line="240" w:lineRule="auto"/>
                    <w:jc w:val="center"/>
                    <w:rPr>
                      <w:b/>
                      <w:sz w:val="21"/>
                      <w:szCs w:val="21"/>
                      <w:highlight w:val="none"/>
                    </w:rPr>
                  </w:pPr>
                  <w:r>
                    <w:rPr>
                      <w:b/>
                      <w:sz w:val="21"/>
                      <w:szCs w:val="21"/>
                      <w:highlight w:val="none"/>
                    </w:rPr>
                    <w:t>监测结果</w:t>
                  </w:r>
                </w:p>
              </w:tc>
              <w:tc>
                <w:tcPr>
                  <w:tcW w:w="1440" w:type="dxa"/>
                  <w:tcBorders>
                    <w:top w:val="single" w:color="auto" w:sz="12" w:space="0"/>
                  </w:tcBorders>
                  <w:vAlign w:val="center"/>
                </w:tcPr>
                <w:p>
                  <w:pPr>
                    <w:snapToGrid w:val="0"/>
                    <w:spacing w:line="240" w:lineRule="auto"/>
                    <w:jc w:val="center"/>
                    <w:rPr>
                      <w:b/>
                      <w:sz w:val="21"/>
                      <w:szCs w:val="21"/>
                      <w:highlight w:val="none"/>
                    </w:rPr>
                  </w:pPr>
                  <w:r>
                    <w:rPr>
                      <w:b/>
                      <w:sz w:val="21"/>
                      <w:szCs w:val="21"/>
                      <w:highlight w:val="none"/>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Align w:val="center"/>
                </w:tcPr>
                <w:p>
                  <w:pPr>
                    <w:snapToGrid w:val="0"/>
                    <w:spacing w:line="240" w:lineRule="auto"/>
                    <w:jc w:val="center"/>
                    <w:rPr>
                      <w:sz w:val="21"/>
                      <w:szCs w:val="21"/>
                      <w:highlight w:val="none"/>
                    </w:rPr>
                  </w:pPr>
                  <w:r>
                    <w:rPr>
                      <w:sz w:val="21"/>
                      <w:szCs w:val="21"/>
                      <w:highlight w:val="none"/>
                    </w:rPr>
                    <w:t>N1</w:t>
                  </w:r>
                </w:p>
              </w:tc>
              <w:tc>
                <w:tcPr>
                  <w:tcW w:w="2277" w:type="dxa"/>
                  <w:vAlign w:val="center"/>
                </w:tcPr>
                <w:p>
                  <w:pPr>
                    <w:snapToGrid w:val="0"/>
                    <w:spacing w:line="240" w:lineRule="auto"/>
                    <w:jc w:val="center"/>
                    <w:rPr>
                      <w:sz w:val="21"/>
                      <w:szCs w:val="21"/>
                      <w:highlight w:val="none"/>
                    </w:rPr>
                  </w:pPr>
                  <w:r>
                    <w:rPr>
                      <w:sz w:val="21"/>
                      <w:szCs w:val="21"/>
                      <w:highlight w:val="none"/>
                    </w:rPr>
                    <w:t>东厂界外1m</w:t>
                  </w:r>
                </w:p>
              </w:tc>
              <w:tc>
                <w:tcPr>
                  <w:tcW w:w="1340"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54</w:t>
                  </w:r>
                </w:p>
              </w:tc>
              <w:tc>
                <w:tcPr>
                  <w:tcW w:w="1559" w:type="dxa"/>
                  <w:vAlign w:val="center"/>
                </w:tcPr>
                <w:p>
                  <w:pPr>
                    <w:snapToGrid w:val="0"/>
                    <w:spacing w:line="240" w:lineRule="auto"/>
                    <w:jc w:val="center"/>
                    <w:rPr>
                      <w:sz w:val="21"/>
                      <w:szCs w:val="21"/>
                      <w:highlight w:val="none"/>
                    </w:rPr>
                  </w:pPr>
                  <w:r>
                    <w:rPr>
                      <w:sz w:val="21"/>
                      <w:szCs w:val="21"/>
                      <w:highlight w:val="none"/>
                    </w:rPr>
                    <w:t>65</w:t>
                  </w:r>
                </w:p>
              </w:tc>
              <w:tc>
                <w:tcPr>
                  <w:tcW w:w="1459"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45</w:t>
                  </w:r>
                </w:p>
              </w:tc>
              <w:tc>
                <w:tcPr>
                  <w:tcW w:w="1440" w:type="dxa"/>
                  <w:vAlign w:val="center"/>
                </w:tcPr>
                <w:p>
                  <w:pPr>
                    <w:snapToGrid w:val="0"/>
                    <w:spacing w:line="240" w:lineRule="auto"/>
                    <w:jc w:val="center"/>
                    <w:rPr>
                      <w:sz w:val="21"/>
                      <w:szCs w:val="21"/>
                      <w:highlight w:val="none"/>
                    </w:rPr>
                  </w:pPr>
                  <w:r>
                    <w:rPr>
                      <w:sz w:val="21"/>
                      <w:szCs w:val="21"/>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Align w:val="center"/>
                </w:tcPr>
                <w:p>
                  <w:pPr>
                    <w:snapToGrid w:val="0"/>
                    <w:spacing w:line="240" w:lineRule="auto"/>
                    <w:jc w:val="center"/>
                    <w:rPr>
                      <w:sz w:val="21"/>
                      <w:szCs w:val="21"/>
                      <w:highlight w:val="none"/>
                    </w:rPr>
                  </w:pPr>
                  <w:r>
                    <w:rPr>
                      <w:sz w:val="21"/>
                      <w:szCs w:val="21"/>
                      <w:highlight w:val="none"/>
                    </w:rPr>
                    <w:t>N2</w:t>
                  </w:r>
                </w:p>
              </w:tc>
              <w:tc>
                <w:tcPr>
                  <w:tcW w:w="2277" w:type="dxa"/>
                  <w:vAlign w:val="center"/>
                </w:tcPr>
                <w:p>
                  <w:pPr>
                    <w:snapToGrid w:val="0"/>
                    <w:spacing w:line="240" w:lineRule="auto"/>
                    <w:jc w:val="center"/>
                    <w:rPr>
                      <w:sz w:val="21"/>
                      <w:szCs w:val="21"/>
                      <w:highlight w:val="none"/>
                    </w:rPr>
                  </w:pPr>
                  <w:r>
                    <w:rPr>
                      <w:sz w:val="21"/>
                      <w:szCs w:val="21"/>
                      <w:highlight w:val="none"/>
                    </w:rPr>
                    <w:t>南厂界外1m</w:t>
                  </w:r>
                </w:p>
              </w:tc>
              <w:tc>
                <w:tcPr>
                  <w:tcW w:w="1340"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58</w:t>
                  </w:r>
                </w:p>
              </w:tc>
              <w:tc>
                <w:tcPr>
                  <w:tcW w:w="1559" w:type="dxa"/>
                  <w:vAlign w:val="center"/>
                </w:tcPr>
                <w:p>
                  <w:pPr>
                    <w:snapToGrid w:val="0"/>
                    <w:spacing w:line="240" w:lineRule="auto"/>
                    <w:jc w:val="center"/>
                    <w:rPr>
                      <w:sz w:val="21"/>
                      <w:szCs w:val="21"/>
                      <w:highlight w:val="none"/>
                    </w:rPr>
                  </w:pPr>
                  <w:r>
                    <w:rPr>
                      <w:sz w:val="21"/>
                      <w:szCs w:val="21"/>
                      <w:highlight w:val="none"/>
                    </w:rPr>
                    <w:t>65</w:t>
                  </w:r>
                </w:p>
              </w:tc>
              <w:tc>
                <w:tcPr>
                  <w:tcW w:w="1459"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48</w:t>
                  </w:r>
                </w:p>
              </w:tc>
              <w:tc>
                <w:tcPr>
                  <w:tcW w:w="1440" w:type="dxa"/>
                  <w:vAlign w:val="center"/>
                </w:tcPr>
                <w:p>
                  <w:pPr>
                    <w:snapToGrid w:val="0"/>
                    <w:spacing w:line="240" w:lineRule="auto"/>
                    <w:jc w:val="center"/>
                    <w:rPr>
                      <w:sz w:val="21"/>
                      <w:szCs w:val="21"/>
                      <w:highlight w:val="none"/>
                    </w:rPr>
                  </w:pPr>
                  <w:r>
                    <w:rPr>
                      <w:sz w:val="21"/>
                      <w:szCs w:val="21"/>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Align w:val="center"/>
                </w:tcPr>
                <w:p>
                  <w:pPr>
                    <w:snapToGrid w:val="0"/>
                    <w:spacing w:line="240" w:lineRule="auto"/>
                    <w:jc w:val="center"/>
                    <w:rPr>
                      <w:sz w:val="21"/>
                      <w:szCs w:val="21"/>
                      <w:highlight w:val="none"/>
                    </w:rPr>
                  </w:pPr>
                  <w:r>
                    <w:rPr>
                      <w:sz w:val="21"/>
                      <w:szCs w:val="21"/>
                      <w:highlight w:val="none"/>
                    </w:rPr>
                    <w:t>N3</w:t>
                  </w:r>
                </w:p>
              </w:tc>
              <w:tc>
                <w:tcPr>
                  <w:tcW w:w="2277" w:type="dxa"/>
                  <w:vAlign w:val="center"/>
                </w:tcPr>
                <w:p>
                  <w:pPr>
                    <w:snapToGrid w:val="0"/>
                    <w:spacing w:line="240" w:lineRule="auto"/>
                    <w:jc w:val="center"/>
                    <w:rPr>
                      <w:sz w:val="21"/>
                      <w:szCs w:val="21"/>
                      <w:highlight w:val="none"/>
                    </w:rPr>
                  </w:pPr>
                  <w:r>
                    <w:rPr>
                      <w:sz w:val="21"/>
                      <w:szCs w:val="21"/>
                      <w:highlight w:val="none"/>
                    </w:rPr>
                    <w:t>西厂界外1m</w:t>
                  </w:r>
                </w:p>
              </w:tc>
              <w:tc>
                <w:tcPr>
                  <w:tcW w:w="1340"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56</w:t>
                  </w:r>
                </w:p>
              </w:tc>
              <w:tc>
                <w:tcPr>
                  <w:tcW w:w="1559" w:type="dxa"/>
                  <w:vAlign w:val="center"/>
                </w:tcPr>
                <w:p>
                  <w:pPr>
                    <w:snapToGrid w:val="0"/>
                    <w:spacing w:line="240" w:lineRule="auto"/>
                    <w:jc w:val="center"/>
                    <w:rPr>
                      <w:sz w:val="21"/>
                      <w:szCs w:val="21"/>
                      <w:highlight w:val="none"/>
                    </w:rPr>
                  </w:pPr>
                  <w:r>
                    <w:rPr>
                      <w:sz w:val="21"/>
                      <w:szCs w:val="21"/>
                      <w:highlight w:val="none"/>
                    </w:rPr>
                    <w:t>65</w:t>
                  </w:r>
                </w:p>
              </w:tc>
              <w:tc>
                <w:tcPr>
                  <w:tcW w:w="1459"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46</w:t>
                  </w:r>
                </w:p>
              </w:tc>
              <w:tc>
                <w:tcPr>
                  <w:tcW w:w="1440" w:type="dxa"/>
                  <w:vAlign w:val="center"/>
                </w:tcPr>
                <w:p>
                  <w:pPr>
                    <w:snapToGrid w:val="0"/>
                    <w:spacing w:line="240" w:lineRule="auto"/>
                    <w:jc w:val="center"/>
                    <w:rPr>
                      <w:sz w:val="21"/>
                      <w:szCs w:val="21"/>
                      <w:highlight w:val="none"/>
                    </w:rPr>
                  </w:pPr>
                  <w:r>
                    <w:rPr>
                      <w:sz w:val="21"/>
                      <w:szCs w:val="21"/>
                      <w:highlight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8" w:type="dxa"/>
                  <w:vAlign w:val="center"/>
                </w:tcPr>
                <w:p>
                  <w:pPr>
                    <w:snapToGrid w:val="0"/>
                    <w:spacing w:line="240" w:lineRule="auto"/>
                    <w:jc w:val="center"/>
                    <w:rPr>
                      <w:sz w:val="21"/>
                      <w:szCs w:val="21"/>
                      <w:highlight w:val="none"/>
                    </w:rPr>
                  </w:pPr>
                  <w:r>
                    <w:rPr>
                      <w:sz w:val="21"/>
                      <w:szCs w:val="21"/>
                      <w:highlight w:val="none"/>
                    </w:rPr>
                    <w:t>N4</w:t>
                  </w:r>
                </w:p>
              </w:tc>
              <w:tc>
                <w:tcPr>
                  <w:tcW w:w="2277" w:type="dxa"/>
                  <w:vAlign w:val="center"/>
                </w:tcPr>
                <w:p>
                  <w:pPr>
                    <w:snapToGrid w:val="0"/>
                    <w:spacing w:line="240" w:lineRule="auto"/>
                    <w:jc w:val="center"/>
                    <w:rPr>
                      <w:sz w:val="21"/>
                      <w:szCs w:val="21"/>
                      <w:highlight w:val="none"/>
                    </w:rPr>
                  </w:pPr>
                  <w:r>
                    <w:rPr>
                      <w:sz w:val="21"/>
                      <w:szCs w:val="21"/>
                      <w:highlight w:val="none"/>
                    </w:rPr>
                    <w:t>北厂界外1m</w:t>
                  </w:r>
                </w:p>
              </w:tc>
              <w:tc>
                <w:tcPr>
                  <w:tcW w:w="1340"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57</w:t>
                  </w:r>
                </w:p>
              </w:tc>
              <w:tc>
                <w:tcPr>
                  <w:tcW w:w="1559" w:type="dxa"/>
                  <w:vAlign w:val="center"/>
                </w:tcPr>
                <w:p>
                  <w:pPr>
                    <w:snapToGrid w:val="0"/>
                    <w:spacing w:line="240" w:lineRule="auto"/>
                    <w:jc w:val="center"/>
                    <w:rPr>
                      <w:sz w:val="21"/>
                      <w:szCs w:val="21"/>
                      <w:highlight w:val="none"/>
                    </w:rPr>
                  </w:pPr>
                  <w:r>
                    <w:rPr>
                      <w:sz w:val="21"/>
                      <w:szCs w:val="21"/>
                      <w:highlight w:val="none"/>
                    </w:rPr>
                    <w:t>65</w:t>
                  </w:r>
                </w:p>
              </w:tc>
              <w:tc>
                <w:tcPr>
                  <w:tcW w:w="1459" w:type="dxa"/>
                  <w:vAlign w:val="center"/>
                </w:tcPr>
                <w:p>
                  <w:pPr>
                    <w:snapToGrid w:val="0"/>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47</w:t>
                  </w:r>
                </w:p>
              </w:tc>
              <w:tc>
                <w:tcPr>
                  <w:tcW w:w="1440" w:type="dxa"/>
                  <w:vAlign w:val="center"/>
                </w:tcPr>
                <w:p>
                  <w:pPr>
                    <w:snapToGrid w:val="0"/>
                    <w:spacing w:line="240" w:lineRule="auto"/>
                    <w:jc w:val="center"/>
                    <w:rPr>
                      <w:sz w:val="21"/>
                      <w:szCs w:val="21"/>
                      <w:highlight w:val="none"/>
                    </w:rPr>
                  </w:pPr>
                  <w:r>
                    <w:rPr>
                      <w:sz w:val="21"/>
                      <w:szCs w:val="21"/>
                      <w:highlight w:val="none"/>
                    </w:rPr>
                    <w:t>55</w:t>
                  </w:r>
                </w:p>
              </w:tc>
            </w:tr>
          </w:tbl>
          <w:p>
            <w:pPr>
              <w:adjustRightInd w:val="0"/>
              <w:snapToGrid w:val="0"/>
              <w:ind w:firstLine="480" w:firstLineChars="200"/>
              <w:rPr>
                <w:highlight w:val="none"/>
              </w:rPr>
            </w:pPr>
            <w:r>
              <w:rPr>
                <w:highlight w:val="none"/>
              </w:rPr>
              <w:t>根据实测结果，项目四周厂界昼间和夜间声环境质量均达到《声环境质量标准》（GB3096-2008）3类标准限值要求。</w:t>
            </w:r>
          </w:p>
          <w:p>
            <w:pPr>
              <w:adjustRightInd w:val="0"/>
              <w:snapToGrid w:val="0"/>
              <w:spacing w:line="480" w:lineRule="exact"/>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4、土壤环境影响评价等级及质量现状</w:t>
            </w:r>
          </w:p>
          <w:p>
            <w:pPr>
              <w:adjustRightInd w:val="0"/>
              <w:snapToGrid w:val="0"/>
              <w:spacing w:line="360" w:lineRule="auto"/>
              <w:ind w:firstLine="470" w:firstLineChars="196"/>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rPr>
              <w:t>本项目</w:t>
            </w:r>
            <w:r>
              <w:rPr>
                <w:rFonts w:hint="eastAsia" w:ascii="Times New Roman" w:hAnsi="Times New Roman" w:cs="Times New Roman"/>
                <w:color w:val="auto"/>
                <w:sz w:val="24"/>
                <w:lang w:eastAsia="zh-CN"/>
              </w:rPr>
              <w:t>属于其他</w:t>
            </w:r>
            <w:r>
              <w:rPr>
                <w:rFonts w:hint="eastAsia" w:ascii="Times New Roman" w:hAnsi="Times New Roman"/>
                <w:color w:val="auto"/>
                <w:sz w:val="24"/>
                <w:lang w:val="en-US" w:eastAsia="zh-CN"/>
              </w:rPr>
              <w:t>专用设备制</w:t>
            </w:r>
            <w:r>
              <w:rPr>
                <w:rFonts w:hint="eastAsia" w:ascii="Times New Roman" w:hAnsi="Times New Roman"/>
                <w:color w:val="auto"/>
                <w:sz w:val="24"/>
                <w:highlight w:val="none"/>
                <w:lang w:val="en-US" w:eastAsia="zh-CN"/>
              </w:rPr>
              <w:t>造</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2"/>
                <w:highlight w:val="none"/>
              </w:rPr>
              <w:t>根据《环境影响评价技术导则 土壤环境》（HJ964-2018）</w:t>
            </w:r>
            <w:r>
              <w:rPr>
                <w:rFonts w:hint="eastAsia" w:cs="Times New Roman"/>
                <w:color w:val="auto"/>
                <w:sz w:val="24"/>
                <w:szCs w:val="22"/>
                <w:highlight w:val="none"/>
                <w:lang w:eastAsia="zh-CN"/>
              </w:rPr>
              <w:t>“</w:t>
            </w:r>
            <w:r>
              <w:rPr>
                <w:rFonts w:hint="default" w:ascii="Times New Roman" w:hAnsi="Times New Roman" w:cs="Times New Roman"/>
                <w:color w:val="auto"/>
                <w:sz w:val="24"/>
                <w:szCs w:val="22"/>
                <w:highlight w:val="none"/>
              </w:rPr>
              <w:t>附录A 土壤环境影响评价项目类别</w:t>
            </w:r>
            <w:r>
              <w:rPr>
                <w:rFonts w:hint="eastAsia" w:cs="Times New Roman"/>
                <w:color w:val="auto"/>
                <w:sz w:val="24"/>
                <w:szCs w:val="22"/>
                <w:highlight w:val="none"/>
                <w:lang w:eastAsia="zh-CN"/>
              </w:rPr>
              <w:t>”</w:t>
            </w:r>
            <w:r>
              <w:rPr>
                <w:rFonts w:hint="default" w:ascii="Times New Roman" w:hAnsi="Times New Roman" w:cs="Times New Roman"/>
                <w:color w:val="auto"/>
                <w:sz w:val="24"/>
                <w:szCs w:val="22"/>
                <w:highlight w:val="none"/>
              </w:rPr>
              <w:t>，本项目</w:t>
            </w:r>
            <w:r>
              <w:rPr>
                <w:rFonts w:hint="eastAsia" w:ascii="Times New Roman" w:hAnsi="Times New Roman" w:cs="Times New Roman"/>
                <w:color w:val="auto"/>
                <w:sz w:val="24"/>
                <w:szCs w:val="22"/>
                <w:highlight w:val="none"/>
                <w:lang w:eastAsia="zh-CN"/>
              </w:rPr>
              <w:t>判定</w:t>
            </w:r>
            <w:r>
              <w:rPr>
                <w:rFonts w:hint="default" w:ascii="Times New Roman" w:hAnsi="Times New Roman" w:cs="Times New Roman"/>
                <w:color w:val="auto"/>
                <w:sz w:val="24"/>
                <w:szCs w:val="22"/>
                <w:highlight w:val="none"/>
              </w:rPr>
              <w:t>为Ⅲ类土壤环境影响评价项目。</w:t>
            </w:r>
          </w:p>
          <w:p>
            <w:pPr>
              <w:pStyle w:val="107"/>
              <w:spacing w:line="360" w:lineRule="auto"/>
              <w:jc w:val="both"/>
              <w:rPr>
                <w:rFonts w:hint="default" w:ascii="Times New Roman" w:hAnsi="Times New Roman" w:cs="Times New Roman"/>
                <w:color w:val="auto"/>
                <w:sz w:val="24"/>
                <w:szCs w:val="22"/>
              </w:rPr>
            </w:pPr>
            <w:r>
              <w:rPr>
                <w:rFonts w:hint="default" w:ascii="Times New Roman" w:hAnsi="Times New Roman" w:cs="Times New Roman"/>
                <w:color w:val="auto"/>
                <w:sz w:val="24"/>
                <w:szCs w:val="22"/>
                <w:highlight w:val="none"/>
              </w:rPr>
              <w:t>本项目属于污染影响型，</w:t>
            </w:r>
            <w:r>
              <w:rPr>
                <w:rFonts w:hint="eastAsia" w:ascii="Times New Roman" w:hAnsi="Times New Roman" w:eastAsia="宋体" w:cs="Times New Roman"/>
                <w:color w:val="auto"/>
                <w:sz w:val="24"/>
                <w:szCs w:val="22"/>
                <w:highlight w:val="none"/>
                <w:lang w:eastAsia="zh-CN"/>
              </w:rPr>
              <w:t>厂区</w:t>
            </w:r>
            <w:r>
              <w:rPr>
                <w:rFonts w:hint="default" w:ascii="Times New Roman" w:hAnsi="Times New Roman" w:cs="Times New Roman"/>
                <w:color w:val="auto"/>
                <w:sz w:val="24"/>
                <w:szCs w:val="22"/>
                <w:highlight w:val="none"/>
              </w:rPr>
              <w:t>总占地面积为</w:t>
            </w:r>
            <w:r>
              <w:rPr>
                <w:rFonts w:hint="eastAsia" w:cs="Times New Roman"/>
                <w:color w:val="auto"/>
                <w:sz w:val="24"/>
                <w:szCs w:val="22"/>
                <w:highlight w:val="none"/>
                <w:lang w:val="en-US" w:eastAsia="zh-CN"/>
              </w:rPr>
              <w:t>1000</w:t>
            </w:r>
            <w:r>
              <w:rPr>
                <w:rFonts w:hint="default" w:ascii="Times New Roman" w:hAnsi="Times New Roman" w:cs="Times New Roman"/>
                <w:color w:val="auto"/>
                <w:sz w:val="24"/>
                <w:szCs w:val="22"/>
                <w:highlight w:val="none"/>
              </w:rPr>
              <w:t>平</w:t>
            </w:r>
            <w:r>
              <w:rPr>
                <w:rFonts w:hint="default" w:ascii="Times New Roman" w:hAnsi="Times New Roman" w:cs="Times New Roman"/>
                <w:color w:val="auto"/>
                <w:sz w:val="24"/>
                <w:szCs w:val="22"/>
              </w:rPr>
              <w:t>方米（≤5hm</w:t>
            </w:r>
            <w:r>
              <w:rPr>
                <w:rFonts w:hint="default" w:ascii="Times New Roman" w:hAnsi="Times New Roman" w:cs="Times New Roman"/>
                <w:color w:val="auto"/>
                <w:sz w:val="24"/>
                <w:szCs w:val="22"/>
                <w:vertAlign w:val="superscript"/>
              </w:rPr>
              <w:t>2</w:t>
            </w:r>
            <w:r>
              <w:rPr>
                <w:rFonts w:hint="default" w:ascii="Times New Roman" w:hAnsi="Times New Roman" w:cs="Times New Roman"/>
                <w:color w:val="auto"/>
                <w:sz w:val="24"/>
                <w:szCs w:val="22"/>
              </w:rPr>
              <w:t>），为</w:t>
            </w:r>
            <w:r>
              <w:rPr>
                <w:rFonts w:hint="eastAsia" w:ascii="Times New Roman" w:hAnsi="Times New Roman" w:eastAsia="宋体" w:cs="Times New Roman"/>
                <w:color w:val="auto"/>
                <w:sz w:val="24"/>
                <w:szCs w:val="22"/>
                <w:lang w:eastAsia="zh-CN"/>
              </w:rPr>
              <w:t>小</w:t>
            </w:r>
            <w:r>
              <w:rPr>
                <w:rFonts w:hint="default" w:ascii="Times New Roman" w:hAnsi="Times New Roman" w:cs="Times New Roman"/>
                <w:color w:val="auto"/>
                <w:sz w:val="24"/>
                <w:szCs w:val="22"/>
              </w:rPr>
              <w:t>型占地规模，项目所在地周边土壤环境为</w:t>
            </w:r>
            <w:r>
              <w:rPr>
                <w:rFonts w:hint="eastAsia" w:ascii="Times New Roman" w:hAnsi="Times New Roman" w:eastAsia="宋体" w:cs="Times New Roman"/>
                <w:color w:val="auto"/>
                <w:sz w:val="24"/>
                <w:szCs w:val="22"/>
                <w:lang w:eastAsia="zh-CN"/>
              </w:rPr>
              <w:t>不</w:t>
            </w:r>
            <w:r>
              <w:rPr>
                <w:rFonts w:hint="default" w:ascii="Times New Roman" w:hAnsi="Times New Roman" w:cs="Times New Roman"/>
                <w:color w:val="auto"/>
                <w:sz w:val="24"/>
                <w:szCs w:val="22"/>
              </w:rPr>
              <w:t>敏感区，故对照污染影响型评价工作等级划分表，结果见表3-</w:t>
            </w:r>
            <w:r>
              <w:rPr>
                <w:rFonts w:hint="eastAsia" w:ascii="Times New Roman" w:hAnsi="Times New Roman" w:cs="Times New Roman"/>
                <w:color w:val="auto"/>
                <w:sz w:val="24"/>
                <w:szCs w:val="22"/>
                <w:lang w:val="en-US" w:eastAsia="zh-CN"/>
              </w:rPr>
              <w:t>4</w:t>
            </w:r>
            <w:r>
              <w:rPr>
                <w:rFonts w:hint="default" w:ascii="Times New Roman" w:hAnsi="Times New Roman" w:cs="Times New Roman"/>
                <w:color w:val="auto"/>
                <w:sz w:val="24"/>
                <w:szCs w:val="22"/>
              </w:rPr>
              <w:t>。</w:t>
            </w:r>
          </w:p>
          <w:p>
            <w:pPr>
              <w:spacing w:line="48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表3-</w:t>
            </w:r>
            <w:r>
              <w:rPr>
                <w:rFonts w:hint="eastAsia" w:ascii="Times New Roman" w:hAnsi="Times New Roman" w:cs="Times New Roman"/>
                <w:b/>
                <w:color w:val="auto"/>
                <w:sz w:val="24"/>
                <w:lang w:val="en-US" w:eastAsia="zh-CN"/>
              </w:rPr>
              <w:t>4</w:t>
            </w:r>
            <w:r>
              <w:rPr>
                <w:rFonts w:hint="default" w:ascii="Times New Roman" w:hAnsi="Times New Roman" w:cs="Times New Roman"/>
                <w:b/>
                <w:color w:val="auto"/>
                <w:sz w:val="24"/>
              </w:rPr>
              <w:t xml:space="preserve"> 污染影响型敏感程度分级表</w:t>
            </w:r>
          </w:p>
          <w:tbl>
            <w:tblPr>
              <w:tblStyle w:val="26"/>
              <w:tblW w:w="94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7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noWrap w:val="0"/>
                  <w:vAlign w:val="center"/>
                </w:tcPr>
                <w:p>
                  <w:pPr>
                    <w:jc w:val="center"/>
                    <w:rPr>
                      <w:rFonts w:hint="default" w:ascii="Times New Roman" w:hAnsi="Times New Roman" w:cs="Times New Roman"/>
                      <w:bCs/>
                      <w:color w:val="auto"/>
                      <w:kern w:val="0"/>
                      <w:szCs w:val="21"/>
                    </w:rPr>
                  </w:pPr>
                  <w:r>
                    <w:rPr>
                      <w:rFonts w:hint="default" w:ascii="Times New Roman" w:hAnsi="Times New Roman" w:cs="Times New Roman"/>
                      <w:bCs/>
                      <w:color w:val="auto"/>
                      <w:kern w:val="0"/>
                      <w:szCs w:val="21"/>
                    </w:rPr>
                    <w:t>敏感程度</w:t>
                  </w:r>
                </w:p>
              </w:tc>
              <w:tc>
                <w:tcPr>
                  <w:tcW w:w="4055" w:type="pct"/>
                  <w:noWrap w:val="0"/>
                  <w:vAlign w:val="center"/>
                </w:tcPr>
                <w:p>
                  <w:pPr>
                    <w:jc w:val="center"/>
                    <w:rPr>
                      <w:rFonts w:hint="default" w:ascii="Times New Roman" w:hAnsi="Times New Roman" w:cs="Times New Roman"/>
                      <w:bCs/>
                      <w:color w:val="auto"/>
                    </w:rPr>
                  </w:pPr>
                  <w:r>
                    <w:rPr>
                      <w:rFonts w:hint="default" w:ascii="Times New Roman" w:hAnsi="Times New Roman" w:cs="Times New Roman"/>
                      <w:bCs/>
                      <w:color w:val="auto"/>
                    </w:rPr>
                    <w:t>判别依据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5" w:type="pct"/>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敏感</w:t>
                  </w:r>
                </w:p>
              </w:tc>
              <w:tc>
                <w:tcPr>
                  <w:tcW w:w="4055"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建设项目周边存在耕地、园地、牧草地、饮用水水源或居民区、学校、医院、疗养院、养老院等土壤环境敏感目标的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较敏感</w:t>
                  </w:r>
                </w:p>
              </w:tc>
              <w:tc>
                <w:tcPr>
                  <w:tcW w:w="4055"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建设项目周边存在其他土壤环境敏感目标的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noWrap w:val="0"/>
                  <w:vAlign w:val="center"/>
                </w:tcPr>
                <w:p>
                  <w:pPr>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不敏感</w:t>
                  </w:r>
                </w:p>
              </w:tc>
              <w:tc>
                <w:tcPr>
                  <w:tcW w:w="4055" w:type="pct"/>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其他情况</w:t>
                  </w:r>
                </w:p>
              </w:tc>
            </w:tr>
          </w:tbl>
          <w:p>
            <w:pPr>
              <w:adjustRightInd w:val="0"/>
              <w:snapToGrid w:val="0"/>
              <w:spacing w:line="480" w:lineRule="exact"/>
              <w:jc w:val="center"/>
              <w:rPr>
                <w:rFonts w:hint="default" w:ascii="Times New Roman" w:hAnsi="Times New Roman" w:cs="Times New Roman"/>
                <w:color w:val="auto"/>
                <w:sz w:val="24"/>
                <w:szCs w:val="22"/>
              </w:rPr>
            </w:pPr>
            <w:r>
              <w:rPr>
                <w:rFonts w:hint="default" w:ascii="Times New Roman" w:hAnsi="Times New Roman" w:cs="Times New Roman"/>
                <w:color w:val="auto"/>
                <w:sz w:val="24"/>
              </w:rPr>
              <w:pict>
                <v:shape id="_x0000_s2050" o:spid="_x0000_s2050" o:spt="202" type="#_x0000_t202" style="position:absolute;left:0pt;margin-left:55.9pt;margin-top:22.8pt;height:21.2pt;width:58.3pt;z-index:251660288;mso-width-relative:page;mso-height-relative:page;" filled="f" stroked="f" coordsize="21600,21600">
                  <v:path/>
                  <v:fill on="f" focussize="0,0"/>
                  <v:stroke on="f" weight="1.25pt"/>
                  <v:imagedata o:title=""/>
                  <o:lock v:ext="edit" aspectratio="f"/>
                  <v:textbox>
                    <w:txbxContent>
                      <w:p>
                        <w:pPr>
                          <w:jc w:val="center"/>
                          <w:rPr>
                            <w:rFonts w:hint="eastAsia"/>
                          </w:rPr>
                        </w:pPr>
                        <w:r>
                          <w:rPr>
                            <w:rFonts w:hint="eastAsia"/>
                          </w:rPr>
                          <w:t>占地规模</w:t>
                        </w:r>
                      </w:p>
                    </w:txbxContent>
                  </v:textbox>
                </v:shape>
              </w:pict>
            </w:r>
            <w:r>
              <w:rPr>
                <w:rFonts w:hint="default" w:ascii="Times New Roman" w:hAnsi="Times New Roman" w:cs="Times New Roman"/>
                <w:b/>
                <w:bCs/>
                <w:color w:val="auto"/>
                <w:sz w:val="24"/>
              </w:rPr>
              <w:t>表3-</w:t>
            </w: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 xml:space="preserve">  污染影响型评价工作等级划分表</w:t>
            </w:r>
          </w:p>
          <w:tbl>
            <w:tblPr>
              <w:tblStyle w:val="26"/>
              <w:tblW w:w="94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839"/>
              <w:gridCol w:w="840"/>
              <w:gridCol w:w="840"/>
              <w:gridCol w:w="840"/>
              <w:gridCol w:w="840"/>
              <w:gridCol w:w="840"/>
              <w:gridCol w:w="840"/>
              <w:gridCol w:w="840"/>
              <w:gridCol w:w="8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0" w:type="dxa"/>
                  <w:vMerge w:val="restart"/>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pict>
                      <v:line id="_x0000_s2051" o:spid="_x0000_s2051" o:spt="20" style="position:absolute;left:0pt;flip:x y;margin-left:36.05pt;margin-top:-1.05pt;height:40pt;width:69.65pt;z-index:251658240;mso-width-relative:page;mso-height-relative:page;" filled="f" stroked="t" coordsize="21600,21600">
                        <v:path arrowok="t"/>
                        <v:fill on="f" focussize="0,0"/>
                        <v:stroke weight="0.5pt"/>
                        <v:imagedata o:title=""/>
                        <o:lock v:ext="edit" aspectratio="f"/>
                      </v:line>
                    </w:pict>
                  </w:r>
                  <w:r>
                    <w:rPr>
                      <w:rFonts w:hint="default" w:ascii="Times New Roman" w:hAnsi="Times New Roman" w:eastAsia="宋体" w:cs="Times New Roman"/>
                      <w:color w:val="auto"/>
                      <w:sz w:val="21"/>
                      <w:szCs w:val="21"/>
                    </w:rPr>
                    <w:pict>
                      <v:shape id="_x0000_s2052" o:spid="_x0000_s2052" o:spt="202" type="#_x0000_t202" style="position:absolute;left:0pt;margin-left:-10.35pt;margin-top:20.7pt;height:21.2pt;width:59.3pt;z-index:251661312;mso-width-relative:page;mso-height-relative:page;" filled="f" stroked="f" coordsize="21600,21600">
                        <v:path/>
                        <v:fill on="f" focussize="0,0"/>
                        <v:stroke on="f" weight="1.25pt"/>
                        <v:imagedata o:title=""/>
                        <o:lock v:ext="edit" aspectratio="f"/>
                        <v:textbox>
                          <w:txbxContent>
                            <w:p>
                              <w:pPr>
                                <w:jc w:val="center"/>
                                <w:rPr>
                                  <w:rFonts w:hint="eastAsia"/>
                                </w:rPr>
                              </w:pPr>
                              <w:r>
                                <w:rPr>
                                  <w:rFonts w:hint="eastAsia"/>
                                </w:rPr>
                                <w:t>敏感程度</w:t>
                              </w:r>
                            </w:p>
                          </w:txbxContent>
                        </v:textbox>
                      </v:shape>
                    </w:pict>
                  </w:r>
                  <w:r>
                    <w:rPr>
                      <w:rFonts w:hint="default" w:ascii="Times New Roman" w:hAnsi="Times New Roman" w:eastAsia="宋体" w:cs="Times New Roman"/>
                      <w:color w:val="auto"/>
                      <w:sz w:val="21"/>
                      <w:szCs w:val="21"/>
                    </w:rPr>
                    <w:pict>
                      <v:shape id="_x0000_s2053" o:spid="_x0000_s2053" o:spt="202" type="#_x0000_t202" style="position:absolute;left:0pt;margin-left:-13.8pt;margin-top:2.55pt;height:21.2pt;width:78.9pt;z-index:251662336;mso-width-relative:page;mso-height-relative:page;" filled="f" stroked="f" coordsize="21600,21600">
                        <v:path/>
                        <v:fill on="f" focussize="0,0"/>
                        <v:stroke on="f" weight="1.25pt"/>
                        <v:imagedata o:title=""/>
                        <o:lock v:ext="edit" aspectratio="f"/>
                        <v:textbox>
                          <w:txbxContent>
                            <w:p>
                              <w:pPr>
                                <w:jc w:val="center"/>
                                <w:rPr>
                                  <w:rFonts w:hint="eastAsia"/>
                                </w:rPr>
                              </w:pPr>
                              <w:r>
                                <w:rPr>
                                  <w:rFonts w:hint="eastAsia"/>
                                </w:rPr>
                                <w:t>评级工作等级</w:t>
                              </w:r>
                            </w:p>
                          </w:txbxContent>
                        </v:textbox>
                      </v:shape>
                    </w:pict>
                  </w:r>
                  <w:r>
                    <w:rPr>
                      <w:rFonts w:hint="default" w:ascii="Times New Roman" w:hAnsi="Times New Roman" w:eastAsia="宋体" w:cs="Times New Roman"/>
                      <w:color w:val="auto"/>
                      <w:sz w:val="21"/>
                      <w:szCs w:val="21"/>
                    </w:rPr>
                    <w:pict>
                      <v:line id="_x0000_s2054" o:spid="_x0000_s2054" o:spt="20" style="position:absolute;left:0pt;flip:x y;margin-left:-4.55pt;margin-top:18.1pt;height:20.65pt;width:110.05pt;z-index:251659264;mso-width-relative:page;mso-height-relative:page;" filled="f" stroked="t" coordsize="21600,21600">
                        <v:path arrowok="t"/>
                        <v:fill on="f" focussize="0,0"/>
                        <v:stroke weight="0.5pt"/>
                        <v:imagedata o:title=""/>
                        <o:lock v:ext="edit" aspectratio="f"/>
                      </v:line>
                    </w:pict>
                  </w:r>
                </w:p>
              </w:tc>
              <w:tc>
                <w:tcPr>
                  <w:tcW w:w="340" w:type="dxa"/>
                  <w:gridSpan w:val="3"/>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Ⅰ类</w:t>
                  </w:r>
                </w:p>
              </w:tc>
              <w:tc>
                <w:tcPr>
                  <w:tcW w:w="340" w:type="dxa"/>
                  <w:gridSpan w:val="3"/>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Ⅱ类</w:t>
                  </w:r>
                </w:p>
              </w:tc>
              <w:tc>
                <w:tcPr>
                  <w:tcW w:w="340" w:type="dxa"/>
                  <w:gridSpan w:val="3"/>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0" w:type="dxa"/>
                  <w:vMerge w:val="continue"/>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敏感</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较敏感</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0" w:type="dxa"/>
                  <w:shd w:val="clear" w:color="auto" w:fill="auto"/>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不敏感</w:t>
                  </w:r>
                </w:p>
              </w:tc>
              <w:tc>
                <w:tcPr>
                  <w:tcW w:w="340" w:type="dxa"/>
                  <w:shd w:val="clear" w:color="auto" w:fill="auto"/>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w:t>
                  </w:r>
                </w:p>
              </w:tc>
              <w:tc>
                <w:tcPr>
                  <w:tcW w:w="340" w:type="dxa"/>
                  <w:shd w:val="clear" w:color="auto" w:fill="auto"/>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shd w:val="clear" w:color="auto" w:fill="auto"/>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shd w:val="clear" w:color="auto" w:fill="auto"/>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w:t>
                  </w:r>
                </w:p>
              </w:tc>
              <w:tc>
                <w:tcPr>
                  <w:tcW w:w="340" w:type="dxa"/>
                  <w:shd w:val="clear" w:color="auto" w:fill="auto"/>
                  <w:noWrap w:val="0"/>
                  <w:vAlign w:val="center"/>
                </w:tcPr>
                <w:p>
                  <w:pPr>
                    <w:pStyle w:val="24"/>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shd w:val="clear" w:color="auto" w:fill="auto"/>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shd w:val="clear" w:color="auto" w:fill="auto"/>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三级</w:t>
                  </w:r>
                </w:p>
              </w:tc>
              <w:tc>
                <w:tcPr>
                  <w:tcW w:w="340" w:type="dxa"/>
                  <w:shd w:val="clear" w:color="auto" w:fill="FFFFFF"/>
                  <w:noWrap w:val="0"/>
                  <w:vAlign w:val="center"/>
                </w:tcPr>
                <w:p>
                  <w:pPr>
                    <w:pStyle w:val="24"/>
                    <w:spacing w:after="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p>
              </w:tc>
              <w:tc>
                <w:tcPr>
                  <w:tcW w:w="340" w:type="dxa"/>
                  <w:shd w:val="clear" w:color="auto" w:fill="F79646"/>
                  <w:noWrap w:val="0"/>
                  <w:vAlign w:val="center"/>
                </w:tcPr>
                <w:p>
                  <w:pPr>
                    <w:pStyle w:val="24"/>
                    <w:spacing w:after="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0" w:type="dxa"/>
                  <w:gridSpan w:val="10"/>
                  <w:noWrap w:val="0"/>
                  <w:vAlign w:val="center"/>
                </w:tcPr>
                <w:p>
                  <w:pPr>
                    <w:pStyle w:val="24"/>
                    <w:spacing w:after="0"/>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表示可不开展土壤环境影响评价工作</w:t>
                  </w:r>
                </w:p>
              </w:tc>
            </w:tr>
          </w:tbl>
          <w:p>
            <w:pPr>
              <w:adjustRightInd w:val="0"/>
              <w:snapToGrid w:val="0"/>
              <w:spacing w:line="480" w:lineRule="exact"/>
              <w:ind w:firstLine="480" w:firstLineChars="200"/>
            </w:pPr>
            <w:r>
              <w:rPr>
                <w:rFonts w:hint="default" w:ascii="Times New Roman" w:hAnsi="Times New Roman" w:cs="Times New Roman"/>
                <w:color w:val="auto"/>
                <w:sz w:val="24"/>
                <w:szCs w:val="22"/>
              </w:rPr>
              <w:t>故本项目土壤环境影响评价</w:t>
            </w:r>
            <w:r>
              <w:rPr>
                <w:rFonts w:hint="eastAsia" w:ascii="Times New Roman" w:hAnsi="Times New Roman" w:eastAsia="宋体" w:cs="Times New Roman"/>
                <w:color w:val="auto"/>
                <w:sz w:val="24"/>
                <w:szCs w:val="22"/>
                <w:lang w:eastAsia="zh-CN"/>
              </w:rPr>
              <w:t>可不开展</w:t>
            </w:r>
            <w:r>
              <w:rPr>
                <w:rFonts w:hint="default" w:ascii="Times New Roman" w:hAnsi="Times New Roman" w:cs="Times New Roman"/>
                <w:color w:val="auto"/>
                <w:sz w:val="24"/>
              </w:rPr>
              <w:t>。</w:t>
            </w:r>
          </w:p>
          <w:p>
            <w:pPr>
              <w:pStyle w:val="107"/>
              <w:jc w:val="both"/>
              <w:rPr>
                <w:rFonts w:hint="default" w:ascii="Times New Roman" w:hAnsi="Times New Roman" w:cs="Times New Roman"/>
                <w:color w:val="auto"/>
                <w:sz w:val="24"/>
                <w:szCs w:val="22"/>
              </w:rPr>
            </w:pPr>
          </w:p>
          <w:p>
            <w:pPr>
              <w:jc w:val="left"/>
            </w:pPr>
            <w:r>
              <w:rPr>
                <w:b/>
              </w:rPr>
              <w:t xml:space="preserve">主要环境保护目标（列出名单及保护级别）： </w:t>
            </w:r>
          </w:p>
          <w:p>
            <w:pPr>
              <w:ind w:firstLine="369" w:firstLineChars="175"/>
              <w:jc w:val="center"/>
              <w:rPr>
                <w:b/>
                <w:bCs/>
                <w:sz w:val="21"/>
                <w:szCs w:val="21"/>
              </w:rPr>
            </w:pPr>
            <w:r>
              <w:rPr>
                <w:b/>
                <w:bCs/>
                <w:sz w:val="21"/>
                <w:szCs w:val="21"/>
              </w:rPr>
              <w:t>表3-</w:t>
            </w:r>
            <w:r>
              <w:rPr>
                <w:rFonts w:hint="eastAsia"/>
                <w:b/>
                <w:bCs/>
                <w:sz w:val="21"/>
                <w:szCs w:val="21"/>
                <w:lang w:val="en-US" w:eastAsia="zh-CN"/>
              </w:rPr>
              <w:t>6</w:t>
            </w:r>
            <w:r>
              <w:rPr>
                <w:b/>
                <w:bCs/>
                <w:sz w:val="21"/>
                <w:szCs w:val="21"/>
              </w:rPr>
              <w:t>主要环境空气保护目标</w:t>
            </w:r>
          </w:p>
          <w:tbl>
            <w:tblPr>
              <w:tblStyle w:val="26"/>
              <w:tblW w:w="499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13"/>
              <w:gridCol w:w="2724"/>
              <w:gridCol w:w="936"/>
              <w:gridCol w:w="940"/>
              <w:gridCol w:w="1125"/>
              <w:gridCol w:w="1307"/>
              <w:gridCol w:w="942"/>
              <w:gridCol w:w="9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Merge w:val="restart"/>
                  <w:vAlign w:val="center"/>
                </w:tcPr>
                <w:p>
                  <w:pPr>
                    <w:spacing w:line="240" w:lineRule="auto"/>
                    <w:jc w:val="center"/>
                    <w:rPr>
                      <w:b/>
                      <w:sz w:val="21"/>
                      <w:szCs w:val="21"/>
                    </w:rPr>
                  </w:pPr>
                  <w:r>
                    <w:rPr>
                      <w:b/>
                      <w:sz w:val="21"/>
                      <w:szCs w:val="21"/>
                    </w:rPr>
                    <w:t>序号</w:t>
                  </w:r>
                </w:p>
              </w:tc>
              <w:tc>
                <w:tcPr>
                  <w:tcW w:w="1446" w:type="pct"/>
                  <w:vMerge w:val="restart"/>
                  <w:vAlign w:val="center"/>
                </w:tcPr>
                <w:p>
                  <w:pPr>
                    <w:spacing w:line="240" w:lineRule="auto"/>
                    <w:jc w:val="center"/>
                    <w:rPr>
                      <w:b/>
                      <w:sz w:val="21"/>
                      <w:szCs w:val="21"/>
                    </w:rPr>
                  </w:pPr>
                  <w:r>
                    <w:rPr>
                      <w:b/>
                      <w:sz w:val="21"/>
                      <w:szCs w:val="21"/>
                    </w:rPr>
                    <w:t>名称</w:t>
                  </w:r>
                </w:p>
              </w:tc>
              <w:tc>
                <w:tcPr>
                  <w:tcW w:w="996" w:type="pct"/>
                  <w:gridSpan w:val="2"/>
                  <w:vAlign w:val="center"/>
                </w:tcPr>
                <w:p>
                  <w:pPr>
                    <w:spacing w:line="240" w:lineRule="auto"/>
                    <w:jc w:val="center"/>
                    <w:rPr>
                      <w:b/>
                      <w:sz w:val="21"/>
                      <w:szCs w:val="21"/>
                    </w:rPr>
                  </w:pPr>
                  <w:r>
                    <w:rPr>
                      <w:b/>
                      <w:sz w:val="21"/>
                      <w:szCs w:val="21"/>
                    </w:rPr>
                    <w:t>坐标/m</w:t>
                  </w:r>
                </w:p>
              </w:tc>
              <w:tc>
                <w:tcPr>
                  <w:tcW w:w="597" w:type="pct"/>
                  <w:vMerge w:val="restart"/>
                  <w:vAlign w:val="center"/>
                </w:tcPr>
                <w:p>
                  <w:pPr>
                    <w:spacing w:line="240" w:lineRule="auto"/>
                    <w:jc w:val="center"/>
                    <w:rPr>
                      <w:b/>
                      <w:sz w:val="21"/>
                      <w:szCs w:val="21"/>
                    </w:rPr>
                  </w:pPr>
                  <w:r>
                    <w:rPr>
                      <w:b/>
                      <w:sz w:val="21"/>
                      <w:szCs w:val="21"/>
                    </w:rPr>
                    <w:t>保护对象</w:t>
                  </w:r>
                </w:p>
              </w:tc>
              <w:tc>
                <w:tcPr>
                  <w:tcW w:w="694" w:type="pct"/>
                  <w:vMerge w:val="restart"/>
                  <w:vAlign w:val="center"/>
                </w:tcPr>
                <w:p>
                  <w:pPr>
                    <w:spacing w:line="240" w:lineRule="auto"/>
                    <w:jc w:val="center"/>
                    <w:rPr>
                      <w:b/>
                      <w:sz w:val="21"/>
                      <w:szCs w:val="21"/>
                    </w:rPr>
                  </w:pPr>
                  <w:r>
                    <w:rPr>
                      <w:b/>
                      <w:sz w:val="21"/>
                      <w:szCs w:val="21"/>
                    </w:rPr>
                    <w:t>保护内容</w:t>
                  </w:r>
                </w:p>
              </w:tc>
              <w:tc>
                <w:tcPr>
                  <w:tcW w:w="500" w:type="pct"/>
                  <w:vMerge w:val="restart"/>
                  <w:vAlign w:val="center"/>
                </w:tcPr>
                <w:p>
                  <w:pPr>
                    <w:spacing w:line="240" w:lineRule="auto"/>
                    <w:jc w:val="center"/>
                    <w:rPr>
                      <w:b/>
                      <w:sz w:val="21"/>
                      <w:szCs w:val="21"/>
                    </w:rPr>
                  </w:pPr>
                  <w:r>
                    <w:rPr>
                      <w:b/>
                      <w:sz w:val="21"/>
                      <w:szCs w:val="21"/>
                    </w:rPr>
                    <w:t>环境功能区</w:t>
                  </w:r>
                </w:p>
              </w:tc>
              <w:tc>
                <w:tcPr>
                  <w:tcW w:w="491" w:type="pct"/>
                  <w:vMerge w:val="restart"/>
                  <w:vAlign w:val="center"/>
                </w:tcPr>
                <w:p>
                  <w:pPr>
                    <w:spacing w:line="240" w:lineRule="auto"/>
                    <w:jc w:val="center"/>
                    <w:rPr>
                      <w:b/>
                      <w:sz w:val="21"/>
                      <w:szCs w:val="21"/>
                    </w:rPr>
                  </w:pPr>
                  <w:r>
                    <w:rPr>
                      <w:b/>
                      <w:sz w:val="21"/>
                      <w:szCs w:val="21"/>
                    </w:rPr>
                    <w:t>相对距离/m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6" w:hRule="atLeast"/>
              </w:trPr>
              <w:tc>
                <w:tcPr>
                  <w:tcW w:w="273" w:type="pct"/>
                  <w:vMerge w:val="continue"/>
                  <w:vAlign w:val="center"/>
                </w:tcPr>
                <w:p>
                  <w:pPr>
                    <w:spacing w:line="240" w:lineRule="auto"/>
                    <w:jc w:val="center"/>
                    <w:rPr>
                      <w:sz w:val="21"/>
                      <w:szCs w:val="21"/>
                    </w:rPr>
                  </w:pPr>
                </w:p>
              </w:tc>
              <w:tc>
                <w:tcPr>
                  <w:tcW w:w="1446" w:type="pct"/>
                  <w:vMerge w:val="continue"/>
                  <w:vAlign w:val="center"/>
                </w:tcPr>
                <w:p>
                  <w:pPr>
                    <w:spacing w:line="240" w:lineRule="auto"/>
                    <w:jc w:val="center"/>
                    <w:rPr>
                      <w:sz w:val="21"/>
                      <w:szCs w:val="21"/>
                    </w:rPr>
                  </w:pPr>
                </w:p>
              </w:tc>
              <w:tc>
                <w:tcPr>
                  <w:tcW w:w="497" w:type="pct"/>
                  <w:vAlign w:val="center"/>
                </w:tcPr>
                <w:p>
                  <w:pPr>
                    <w:spacing w:line="240" w:lineRule="auto"/>
                    <w:jc w:val="center"/>
                    <w:rPr>
                      <w:b/>
                      <w:sz w:val="21"/>
                      <w:szCs w:val="21"/>
                    </w:rPr>
                  </w:pPr>
                  <w:r>
                    <w:rPr>
                      <w:b/>
                      <w:sz w:val="21"/>
                      <w:szCs w:val="21"/>
                    </w:rPr>
                    <w:t>X</w:t>
                  </w:r>
                </w:p>
              </w:tc>
              <w:tc>
                <w:tcPr>
                  <w:tcW w:w="499" w:type="pct"/>
                  <w:vAlign w:val="center"/>
                </w:tcPr>
                <w:p>
                  <w:pPr>
                    <w:spacing w:line="240" w:lineRule="auto"/>
                    <w:jc w:val="center"/>
                    <w:rPr>
                      <w:b/>
                      <w:sz w:val="21"/>
                      <w:szCs w:val="21"/>
                    </w:rPr>
                  </w:pPr>
                  <w:r>
                    <w:rPr>
                      <w:b/>
                      <w:sz w:val="21"/>
                      <w:szCs w:val="21"/>
                    </w:rPr>
                    <w:t>Y</w:t>
                  </w:r>
                </w:p>
              </w:tc>
              <w:tc>
                <w:tcPr>
                  <w:tcW w:w="597" w:type="pct"/>
                  <w:vMerge w:val="continue"/>
                  <w:vAlign w:val="center"/>
                </w:tcPr>
                <w:p>
                  <w:pPr>
                    <w:spacing w:line="240" w:lineRule="auto"/>
                    <w:jc w:val="center"/>
                    <w:rPr>
                      <w:sz w:val="21"/>
                      <w:szCs w:val="21"/>
                    </w:rPr>
                  </w:pPr>
                </w:p>
              </w:tc>
              <w:tc>
                <w:tcPr>
                  <w:tcW w:w="694" w:type="pct"/>
                  <w:vMerge w:val="continue"/>
                  <w:vAlign w:val="center"/>
                </w:tcPr>
                <w:p>
                  <w:pPr>
                    <w:spacing w:line="240" w:lineRule="auto"/>
                    <w:jc w:val="center"/>
                    <w:rPr>
                      <w:sz w:val="21"/>
                      <w:szCs w:val="21"/>
                    </w:rPr>
                  </w:pPr>
                </w:p>
              </w:tc>
              <w:tc>
                <w:tcPr>
                  <w:tcW w:w="500" w:type="pct"/>
                  <w:vMerge w:val="continue"/>
                  <w:vAlign w:val="center"/>
                </w:tcPr>
                <w:p>
                  <w:pPr>
                    <w:spacing w:line="240" w:lineRule="auto"/>
                    <w:jc w:val="center"/>
                    <w:rPr>
                      <w:sz w:val="21"/>
                      <w:szCs w:val="21"/>
                    </w:rPr>
                  </w:pPr>
                </w:p>
              </w:tc>
              <w:tc>
                <w:tcPr>
                  <w:tcW w:w="491" w:type="pct"/>
                  <w:vMerge w:val="continue"/>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1</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kern w:val="2"/>
                      <w:sz w:val="21"/>
                      <w:szCs w:val="21"/>
                      <w:lang w:val="en-US" w:eastAsia="zh-CN"/>
                    </w:rPr>
                  </w:pPr>
                  <w:r>
                    <w:rPr>
                      <w:rFonts w:hint="eastAsia" w:ascii="Times New Roman" w:hAnsi="Times New Roman" w:eastAsia="宋体"/>
                      <w:kern w:val="2"/>
                      <w:sz w:val="21"/>
                      <w:szCs w:val="21"/>
                      <w:lang w:val="en-US" w:eastAsia="zh-CN"/>
                    </w:rPr>
                    <w:t>阳山花苑</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730</w:t>
                  </w:r>
                </w:p>
              </w:tc>
              <w:tc>
                <w:tcPr>
                  <w:tcW w:w="597" w:type="pct"/>
                  <w:vAlign w:val="center"/>
                </w:tcPr>
                <w:p>
                  <w:pPr>
                    <w:spacing w:line="240" w:lineRule="auto"/>
                    <w:jc w:val="center"/>
                    <w:rPr>
                      <w:rFonts w:hint="eastAsia" w:eastAsia="宋体"/>
                      <w:sz w:val="21"/>
                      <w:szCs w:val="21"/>
                      <w:lang w:val="en-US" w:eastAsia="zh-CN"/>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12931户</w:t>
                  </w:r>
                </w:p>
              </w:tc>
              <w:tc>
                <w:tcPr>
                  <w:tcW w:w="500"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二类区</w:t>
                  </w:r>
                </w:p>
              </w:tc>
              <w:tc>
                <w:tcPr>
                  <w:tcW w:w="491"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730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2</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kern w:val="2"/>
                      <w:sz w:val="21"/>
                      <w:szCs w:val="21"/>
                      <w:lang w:val="en-US" w:eastAsia="zh-CN"/>
                    </w:rPr>
                  </w:pPr>
                  <w:r>
                    <w:rPr>
                      <w:rFonts w:hint="eastAsia" w:ascii="Times New Roman" w:hAnsi="Times New Roman" w:eastAsia="宋体"/>
                      <w:kern w:val="2"/>
                      <w:sz w:val="21"/>
                      <w:szCs w:val="21"/>
                      <w:lang w:val="en-US" w:eastAsia="zh-CN"/>
                    </w:rPr>
                    <w:t>苏州市阳山实验小学</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250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200</w:t>
                  </w:r>
                </w:p>
              </w:tc>
              <w:tc>
                <w:tcPr>
                  <w:tcW w:w="597" w:type="pct"/>
                  <w:vAlign w:val="center"/>
                </w:tcPr>
                <w:p>
                  <w:pPr>
                    <w:spacing w:line="240" w:lineRule="auto"/>
                    <w:jc w:val="center"/>
                    <w:rPr>
                      <w:rFonts w:hint="eastAsia" w:eastAsia="宋体"/>
                      <w:sz w:val="21"/>
                      <w:szCs w:val="21"/>
                      <w:lang w:val="en-US" w:eastAsia="zh-CN"/>
                    </w:rPr>
                  </w:pPr>
                  <w:r>
                    <w:rPr>
                      <w:rFonts w:hint="eastAsia"/>
                      <w:sz w:val="21"/>
                      <w:szCs w:val="21"/>
                      <w:lang w:val="en-US" w:eastAsia="zh-CN"/>
                    </w:rPr>
                    <w:t>学校</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约2000人</w:t>
                  </w:r>
                </w:p>
              </w:tc>
              <w:tc>
                <w:tcPr>
                  <w:tcW w:w="500"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二类区</w:t>
                  </w:r>
                </w:p>
              </w:tc>
              <w:tc>
                <w:tcPr>
                  <w:tcW w:w="491"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320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3</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kern w:val="2"/>
                      <w:sz w:val="21"/>
                      <w:szCs w:val="21"/>
                      <w:lang w:val="en-US" w:eastAsia="zh-CN"/>
                    </w:rPr>
                  </w:pPr>
                  <w:r>
                    <w:rPr>
                      <w:rFonts w:hint="eastAsia" w:ascii="Times New Roman" w:hAnsi="Times New Roman" w:eastAsia="宋体"/>
                      <w:kern w:val="2"/>
                      <w:sz w:val="21"/>
                      <w:szCs w:val="21"/>
                      <w:lang w:val="en-US" w:eastAsia="zh-CN"/>
                    </w:rPr>
                    <w:t>旭辉悦庭</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940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1100</w:t>
                  </w:r>
                </w:p>
              </w:tc>
              <w:tc>
                <w:tcPr>
                  <w:tcW w:w="597"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996户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4</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kern w:val="2"/>
                      <w:sz w:val="21"/>
                      <w:szCs w:val="21"/>
                      <w:lang w:val="en-US" w:eastAsia="zh-CN"/>
                    </w:rPr>
                  </w:pPr>
                  <w:r>
                    <w:rPr>
                      <w:rFonts w:hint="eastAsia" w:ascii="Times New Roman" w:hAnsi="Times New Roman" w:eastAsia="宋体"/>
                      <w:kern w:val="2"/>
                      <w:sz w:val="21"/>
                      <w:szCs w:val="21"/>
                      <w:lang w:val="en-US" w:eastAsia="zh-CN"/>
                    </w:rPr>
                    <w:t>文昌花园</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1300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850</w:t>
                  </w:r>
                </w:p>
              </w:tc>
              <w:tc>
                <w:tcPr>
                  <w:tcW w:w="597" w:type="pct"/>
                  <w:vAlign w:val="center"/>
                </w:tcPr>
                <w:p>
                  <w:pPr>
                    <w:spacing w:line="240" w:lineRule="auto"/>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1166户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1553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5</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水岸逸景花园</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1700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387</w:t>
                  </w:r>
                </w:p>
              </w:tc>
              <w:tc>
                <w:tcPr>
                  <w:tcW w:w="597" w:type="pct"/>
                  <w:vAlign w:val="center"/>
                </w:tcPr>
                <w:p>
                  <w:pPr>
                    <w:spacing w:line="240" w:lineRule="auto"/>
                    <w:jc w:val="center"/>
                    <w:rPr>
                      <w:sz w:val="21"/>
                      <w:szCs w:val="21"/>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558户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sz w:val="21"/>
                      <w:szCs w:val="21"/>
                    </w:rPr>
                  </w:pPr>
                  <w:r>
                    <w:rPr>
                      <w:sz w:val="21"/>
                      <w:szCs w:val="21"/>
                    </w:rPr>
                    <w:t>6</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美林青年公寓</w:t>
                  </w:r>
                </w:p>
              </w:tc>
              <w:tc>
                <w:tcPr>
                  <w:tcW w:w="497"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1400</w:t>
                  </w:r>
                </w:p>
              </w:tc>
              <w:tc>
                <w:tcPr>
                  <w:tcW w:w="499"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597" w:type="pct"/>
                  <w:vAlign w:val="center"/>
                </w:tcPr>
                <w:p>
                  <w:pPr>
                    <w:spacing w:line="240" w:lineRule="auto"/>
                    <w:jc w:val="center"/>
                    <w:rPr>
                      <w:sz w:val="21"/>
                      <w:szCs w:val="21"/>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774户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rFonts w:hint="eastAsia" w:eastAsia="宋体"/>
                      <w:sz w:val="21"/>
                      <w:szCs w:val="21"/>
                      <w:lang w:val="en-US" w:eastAsia="zh-CN"/>
                    </w:rPr>
                  </w:pPr>
                  <w:r>
                    <w:rPr>
                      <w:rFonts w:hint="eastAsia"/>
                      <w:sz w:val="21"/>
                      <w:szCs w:val="21"/>
                      <w:lang w:val="en-US" w:eastAsia="zh-CN"/>
                    </w:rPr>
                    <w:t>7</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鸿福花苑</w:t>
                  </w:r>
                </w:p>
              </w:tc>
              <w:tc>
                <w:tcPr>
                  <w:tcW w:w="497"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1700</w:t>
                  </w:r>
                </w:p>
              </w:tc>
              <w:tc>
                <w:tcPr>
                  <w:tcW w:w="499"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597" w:type="pct"/>
                  <w:vAlign w:val="center"/>
                </w:tcPr>
                <w:p>
                  <w:pPr>
                    <w:spacing w:line="240" w:lineRule="auto"/>
                    <w:jc w:val="center"/>
                    <w:rPr>
                      <w:sz w:val="21"/>
                      <w:szCs w:val="21"/>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124户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rFonts w:hint="eastAsia" w:eastAsia="宋体"/>
                      <w:sz w:val="21"/>
                      <w:szCs w:val="21"/>
                      <w:lang w:val="en-US" w:eastAsia="zh-CN"/>
                    </w:rPr>
                  </w:pPr>
                  <w:r>
                    <w:rPr>
                      <w:rFonts w:hint="eastAsia"/>
                      <w:sz w:val="21"/>
                      <w:szCs w:val="21"/>
                      <w:lang w:val="en-US" w:eastAsia="zh-CN"/>
                    </w:rPr>
                    <w:t>8</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名墅花园</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1400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-250</w:t>
                  </w:r>
                </w:p>
              </w:tc>
              <w:tc>
                <w:tcPr>
                  <w:tcW w:w="597" w:type="pct"/>
                  <w:vAlign w:val="center"/>
                </w:tcPr>
                <w:p>
                  <w:pPr>
                    <w:spacing w:line="240" w:lineRule="auto"/>
                    <w:jc w:val="center"/>
                    <w:rPr>
                      <w:sz w:val="21"/>
                      <w:szCs w:val="21"/>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423户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1422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73" w:type="pct"/>
                  <w:vAlign w:val="center"/>
                </w:tcPr>
                <w:p>
                  <w:pPr>
                    <w:spacing w:line="240" w:lineRule="auto"/>
                    <w:jc w:val="center"/>
                    <w:rPr>
                      <w:rFonts w:hint="eastAsia" w:eastAsia="宋体"/>
                      <w:sz w:val="21"/>
                      <w:szCs w:val="21"/>
                      <w:lang w:val="en-US" w:eastAsia="zh-CN"/>
                    </w:rPr>
                  </w:pPr>
                  <w:r>
                    <w:rPr>
                      <w:rFonts w:hint="eastAsia"/>
                      <w:sz w:val="21"/>
                      <w:szCs w:val="21"/>
                      <w:lang w:val="en-US" w:eastAsia="zh-CN"/>
                    </w:rPr>
                    <w:t>9</w:t>
                  </w:r>
                </w:p>
              </w:tc>
              <w:tc>
                <w:tcPr>
                  <w:tcW w:w="1446" w:type="pct"/>
                  <w:vAlign w:val="center"/>
                </w:tcPr>
                <w:p>
                  <w:pPr>
                    <w:pStyle w:val="51"/>
                    <w:adjustRightInd w:val="0"/>
                    <w:snapToGrid w:val="0"/>
                    <w:spacing w:line="240" w:lineRule="auto"/>
                    <w:ind w:left="-1" w:leftChars="-2" w:hanging="4" w:hangingChars="2"/>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新港名墅</w:t>
                  </w:r>
                </w:p>
              </w:tc>
              <w:tc>
                <w:tcPr>
                  <w:tcW w:w="497"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1600</w:t>
                  </w:r>
                </w:p>
              </w:tc>
              <w:tc>
                <w:tcPr>
                  <w:tcW w:w="499"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-500</w:t>
                  </w:r>
                </w:p>
              </w:tc>
              <w:tc>
                <w:tcPr>
                  <w:tcW w:w="597" w:type="pct"/>
                  <w:vAlign w:val="center"/>
                </w:tcPr>
                <w:p>
                  <w:pPr>
                    <w:spacing w:line="240" w:lineRule="auto"/>
                    <w:jc w:val="center"/>
                    <w:rPr>
                      <w:sz w:val="21"/>
                      <w:szCs w:val="21"/>
                    </w:rPr>
                  </w:pPr>
                  <w:r>
                    <w:rPr>
                      <w:rFonts w:hint="eastAsia"/>
                      <w:sz w:val="21"/>
                      <w:szCs w:val="21"/>
                      <w:lang w:val="en-US" w:eastAsia="zh-CN"/>
                    </w:rPr>
                    <w:t>居住区</w:t>
                  </w:r>
                </w:p>
              </w:tc>
              <w:tc>
                <w:tcPr>
                  <w:tcW w:w="694"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1258户</w:t>
                  </w:r>
                </w:p>
              </w:tc>
              <w:tc>
                <w:tcPr>
                  <w:tcW w:w="50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二类区</w:t>
                  </w:r>
                </w:p>
              </w:tc>
              <w:tc>
                <w:tcPr>
                  <w:tcW w:w="491" w:type="pct"/>
                  <w:vAlign w:val="center"/>
                </w:tcPr>
                <w:p>
                  <w:pPr>
                    <w:spacing w:line="240" w:lineRule="auto"/>
                    <w:jc w:val="center"/>
                    <w:rPr>
                      <w:rFonts w:hint="default" w:eastAsia="宋体"/>
                      <w:sz w:val="21"/>
                      <w:szCs w:val="21"/>
                      <w:lang w:val="en-US" w:eastAsia="zh-CN"/>
                    </w:rPr>
                  </w:pPr>
                  <w:r>
                    <w:rPr>
                      <w:rFonts w:hint="eastAsia"/>
                      <w:sz w:val="21"/>
                      <w:szCs w:val="21"/>
                      <w:lang w:val="en-US" w:eastAsia="zh-CN"/>
                    </w:rPr>
                    <w:t>1676</w:t>
                  </w:r>
                </w:p>
              </w:tc>
            </w:tr>
          </w:tbl>
          <w:p>
            <w:pPr>
              <w:ind w:firstLine="211" w:firstLineChars="100"/>
              <w:rPr>
                <w:b/>
              </w:rPr>
            </w:pPr>
            <w:r>
              <w:rPr>
                <w:b/>
                <w:sz w:val="21"/>
                <w:szCs w:val="21"/>
              </w:rPr>
              <w:t>*注：项目周围2000m</w:t>
            </w:r>
            <w:r>
              <w:rPr>
                <w:rFonts w:hint="eastAsia"/>
                <w:b/>
                <w:sz w:val="21"/>
                <w:szCs w:val="21"/>
              </w:rPr>
              <w:t>范围内，项目位置</w:t>
            </w:r>
            <w:r>
              <w:rPr>
                <w:rFonts w:hint="eastAsia"/>
                <w:b/>
                <w:sz w:val="21"/>
                <w:szCs w:val="21"/>
                <w:lang w:val="en-US" w:eastAsia="zh-CN"/>
              </w:rPr>
              <w:t>为</w:t>
            </w:r>
            <w:r>
              <w:rPr>
                <w:rFonts w:hint="eastAsia"/>
                <w:b/>
                <w:sz w:val="21"/>
                <w:szCs w:val="21"/>
              </w:rPr>
              <w:t>坐标</w:t>
            </w:r>
            <w:r>
              <w:rPr>
                <w:rFonts w:hint="eastAsia"/>
                <w:b/>
                <w:sz w:val="21"/>
                <w:szCs w:val="21"/>
                <w:lang w:val="en-US" w:eastAsia="zh-CN"/>
              </w:rPr>
              <w:t>原点</w:t>
            </w:r>
            <w:r>
              <w:rPr>
                <w:rFonts w:hint="eastAsia"/>
                <w:b/>
                <w:sz w:val="21"/>
                <w:szCs w:val="21"/>
              </w:rPr>
              <w:t>（</w:t>
            </w:r>
            <w:r>
              <w:rPr>
                <w:rFonts w:hint="eastAsia"/>
                <w:b/>
                <w:sz w:val="21"/>
                <w:szCs w:val="21"/>
                <w:lang w:val="en-US" w:eastAsia="zh-CN"/>
              </w:rPr>
              <w:t>0</w:t>
            </w:r>
            <w:r>
              <w:rPr>
                <w:rFonts w:hint="eastAsia"/>
                <w:b/>
                <w:sz w:val="21"/>
                <w:szCs w:val="21"/>
              </w:rPr>
              <w:t>，</w:t>
            </w:r>
            <w:r>
              <w:rPr>
                <w:rFonts w:hint="eastAsia"/>
                <w:b/>
                <w:sz w:val="21"/>
                <w:szCs w:val="21"/>
                <w:lang w:val="en-US" w:eastAsia="zh-CN"/>
              </w:rPr>
              <w:t>0</w:t>
            </w:r>
            <w:r>
              <w:rPr>
                <w:rFonts w:hint="eastAsia"/>
                <w:b/>
                <w:sz w:val="21"/>
                <w:szCs w:val="21"/>
              </w:rPr>
              <w:t>）</w:t>
            </w:r>
            <w:r>
              <w:rPr>
                <w:b/>
                <w:sz w:val="21"/>
                <w:szCs w:val="21"/>
              </w:rPr>
              <w:t>。</w:t>
            </w:r>
          </w:p>
          <w:p>
            <w:pPr>
              <w:ind w:firstLine="435"/>
              <w:jc w:val="center"/>
              <w:rPr>
                <w:b/>
                <w:sz w:val="21"/>
                <w:szCs w:val="21"/>
              </w:rPr>
            </w:pPr>
            <w:r>
              <w:rPr>
                <w:b/>
                <w:sz w:val="21"/>
                <w:szCs w:val="21"/>
              </w:rPr>
              <w:t>表3-</w:t>
            </w:r>
            <w:r>
              <w:rPr>
                <w:rFonts w:hint="eastAsia"/>
                <w:b/>
                <w:sz w:val="21"/>
                <w:szCs w:val="21"/>
                <w:lang w:val="en-US" w:eastAsia="zh-CN"/>
              </w:rPr>
              <w:t>7</w:t>
            </w:r>
            <w:r>
              <w:rPr>
                <w:b/>
                <w:sz w:val="21"/>
                <w:szCs w:val="21"/>
              </w:rPr>
              <w:t>本项目其他环境保护目标表</w:t>
            </w:r>
          </w:p>
          <w:tbl>
            <w:tblPr>
              <w:tblStyle w:val="26"/>
              <w:tblW w:w="94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930"/>
              <w:gridCol w:w="775"/>
              <w:gridCol w:w="899"/>
              <w:gridCol w:w="1325"/>
              <w:gridCol w:w="35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Align w:val="center"/>
                </w:tcPr>
                <w:p>
                  <w:pPr>
                    <w:spacing w:line="240" w:lineRule="auto"/>
                    <w:jc w:val="center"/>
                    <w:rPr>
                      <w:b/>
                      <w:sz w:val="21"/>
                      <w:szCs w:val="21"/>
                    </w:rPr>
                  </w:pPr>
                  <w:r>
                    <w:rPr>
                      <w:b/>
                      <w:sz w:val="21"/>
                      <w:szCs w:val="21"/>
                    </w:rPr>
                    <w:t>环境</w:t>
                  </w:r>
                </w:p>
                <w:p>
                  <w:pPr>
                    <w:spacing w:line="240" w:lineRule="auto"/>
                    <w:jc w:val="center"/>
                    <w:rPr>
                      <w:b/>
                      <w:sz w:val="21"/>
                      <w:szCs w:val="21"/>
                    </w:rPr>
                  </w:pPr>
                  <w:r>
                    <w:rPr>
                      <w:b/>
                      <w:sz w:val="21"/>
                      <w:szCs w:val="21"/>
                    </w:rPr>
                    <w:t>要素</w:t>
                  </w:r>
                </w:p>
              </w:tc>
              <w:tc>
                <w:tcPr>
                  <w:tcW w:w="1930" w:type="dxa"/>
                  <w:vAlign w:val="center"/>
                </w:tcPr>
                <w:p>
                  <w:pPr>
                    <w:spacing w:line="240" w:lineRule="auto"/>
                    <w:jc w:val="center"/>
                    <w:rPr>
                      <w:b/>
                      <w:sz w:val="21"/>
                      <w:szCs w:val="21"/>
                    </w:rPr>
                  </w:pPr>
                  <w:r>
                    <w:rPr>
                      <w:b/>
                      <w:sz w:val="21"/>
                      <w:szCs w:val="21"/>
                    </w:rPr>
                    <w:t>环境保护对象名称</w:t>
                  </w:r>
                </w:p>
              </w:tc>
              <w:tc>
                <w:tcPr>
                  <w:tcW w:w="775" w:type="dxa"/>
                  <w:vAlign w:val="center"/>
                </w:tcPr>
                <w:p>
                  <w:pPr>
                    <w:spacing w:line="240" w:lineRule="auto"/>
                    <w:jc w:val="center"/>
                    <w:rPr>
                      <w:b/>
                      <w:sz w:val="21"/>
                      <w:szCs w:val="21"/>
                    </w:rPr>
                  </w:pPr>
                  <w:r>
                    <w:rPr>
                      <w:b/>
                      <w:sz w:val="21"/>
                      <w:szCs w:val="21"/>
                    </w:rPr>
                    <w:t>方位</w:t>
                  </w:r>
                </w:p>
              </w:tc>
              <w:tc>
                <w:tcPr>
                  <w:tcW w:w="899" w:type="dxa"/>
                  <w:vAlign w:val="center"/>
                </w:tcPr>
                <w:p>
                  <w:pPr>
                    <w:spacing w:line="240" w:lineRule="auto"/>
                    <w:jc w:val="center"/>
                    <w:rPr>
                      <w:b/>
                      <w:sz w:val="21"/>
                      <w:szCs w:val="21"/>
                    </w:rPr>
                  </w:pPr>
                  <w:r>
                    <w:rPr>
                      <w:b/>
                      <w:sz w:val="21"/>
                      <w:szCs w:val="21"/>
                    </w:rPr>
                    <w:t>距离</w:t>
                  </w:r>
                </w:p>
                <w:p>
                  <w:pPr>
                    <w:spacing w:line="240" w:lineRule="auto"/>
                    <w:jc w:val="center"/>
                    <w:rPr>
                      <w:b/>
                      <w:sz w:val="21"/>
                      <w:szCs w:val="21"/>
                    </w:rPr>
                  </w:pPr>
                  <w:r>
                    <w:rPr>
                      <w:b/>
                      <w:sz w:val="21"/>
                      <w:szCs w:val="21"/>
                    </w:rPr>
                    <w:t>（m）</w:t>
                  </w:r>
                </w:p>
              </w:tc>
              <w:tc>
                <w:tcPr>
                  <w:tcW w:w="1325" w:type="dxa"/>
                  <w:vAlign w:val="center"/>
                </w:tcPr>
                <w:p>
                  <w:pPr>
                    <w:spacing w:line="240" w:lineRule="auto"/>
                    <w:jc w:val="center"/>
                    <w:rPr>
                      <w:b/>
                      <w:sz w:val="21"/>
                      <w:szCs w:val="21"/>
                    </w:rPr>
                  </w:pPr>
                  <w:r>
                    <w:rPr>
                      <w:b/>
                      <w:sz w:val="21"/>
                      <w:szCs w:val="21"/>
                    </w:rPr>
                    <w:t>规模</w:t>
                  </w:r>
                </w:p>
              </w:tc>
              <w:tc>
                <w:tcPr>
                  <w:tcW w:w="3569" w:type="dxa"/>
                  <w:vAlign w:val="center"/>
                </w:tcPr>
                <w:p>
                  <w:pPr>
                    <w:tabs>
                      <w:tab w:val="left" w:pos="1400"/>
                    </w:tabs>
                    <w:spacing w:line="240" w:lineRule="auto"/>
                    <w:jc w:val="center"/>
                    <w:rPr>
                      <w:b/>
                      <w:sz w:val="21"/>
                      <w:szCs w:val="21"/>
                    </w:rPr>
                  </w:pPr>
                  <w:r>
                    <w:rPr>
                      <w:b/>
                      <w:sz w:val="21"/>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vAlign w:val="center"/>
                </w:tcPr>
                <w:p>
                  <w:pPr>
                    <w:spacing w:line="240" w:lineRule="auto"/>
                    <w:jc w:val="center"/>
                    <w:rPr>
                      <w:rFonts w:hint="eastAsia" w:eastAsia="宋体"/>
                      <w:sz w:val="21"/>
                      <w:szCs w:val="21"/>
                      <w:lang w:val="en-US" w:eastAsia="zh-CN"/>
                    </w:rPr>
                  </w:pPr>
                  <w:r>
                    <w:rPr>
                      <w:rFonts w:hint="eastAsia"/>
                      <w:sz w:val="21"/>
                      <w:szCs w:val="21"/>
                      <w:lang w:val="en-US" w:eastAsia="zh-CN"/>
                    </w:rPr>
                    <w:t>水环境</w:t>
                  </w:r>
                </w:p>
              </w:tc>
              <w:tc>
                <w:tcPr>
                  <w:tcW w:w="1930" w:type="dxa"/>
                  <w:vAlign w:val="center"/>
                </w:tcPr>
                <w:p>
                  <w:pPr>
                    <w:spacing w:line="240" w:lineRule="auto"/>
                    <w:ind w:left="-1" w:leftChars="-2" w:hanging="4" w:hangingChars="2"/>
                    <w:jc w:val="center"/>
                    <w:rPr>
                      <w:sz w:val="21"/>
                      <w:szCs w:val="21"/>
                    </w:rPr>
                  </w:pPr>
                  <w:r>
                    <w:rPr>
                      <w:sz w:val="21"/>
                      <w:szCs w:val="21"/>
                    </w:rPr>
                    <w:t>太湖</w:t>
                  </w:r>
                </w:p>
              </w:tc>
              <w:tc>
                <w:tcPr>
                  <w:tcW w:w="775" w:type="dxa"/>
                  <w:vAlign w:val="center"/>
                </w:tcPr>
                <w:p>
                  <w:pPr>
                    <w:spacing w:line="240" w:lineRule="auto"/>
                    <w:jc w:val="center"/>
                    <w:rPr>
                      <w:sz w:val="21"/>
                      <w:szCs w:val="21"/>
                    </w:rPr>
                  </w:pPr>
                  <w:r>
                    <w:rPr>
                      <w:sz w:val="21"/>
                      <w:szCs w:val="21"/>
                    </w:rPr>
                    <w:t>W</w:t>
                  </w:r>
                </w:p>
              </w:tc>
              <w:tc>
                <w:tcPr>
                  <w:tcW w:w="899" w:type="dxa"/>
                  <w:vAlign w:val="center"/>
                </w:tcPr>
                <w:p>
                  <w:pPr>
                    <w:spacing w:line="240" w:lineRule="auto"/>
                    <w:jc w:val="center"/>
                    <w:rPr>
                      <w:sz w:val="21"/>
                      <w:szCs w:val="21"/>
                    </w:rPr>
                  </w:pPr>
                  <w:r>
                    <w:rPr>
                      <w:rFonts w:hint="eastAsia"/>
                      <w:sz w:val="21"/>
                      <w:szCs w:val="21"/>
                      <w:lang w:val="en-US" w:eastAsia="zh-CN"/>
                    </w:rPr>
                    <w:t>138</w:t>
                  </w:r>
                  <w:r>
                    <w:rPr>
                      <w:sz w:val="21"/>
                      <w:szCs w:val="21"/>
                    </w:rPr>
                    <w:t>00</w:t>
                  </w:r>
                </w:p>
              </w:tc>
              <w:tc>
                <w:tcPr>
                  <w:tcW w:w="1325" w:type="dxa"/>
                  <w:vAlign w:val="center"/>
                </w:tcPr>
                <w:p>
                  <w:pPr>
                    <w:spacing w:line="240" w:lineRule="auto"/>
                    <w:ind w:left="16" w:leftChars="-38" w:right="-91" w:rightChars="-38" w:hanging="107" w:hangingChars="51"/>
                    <w:jc w:val="center"/>
                    <w:rPr>
                      <w:sz w:val="21"/>
                      <w:szCs w:val="21"/>
                    </w:rPr>
                  </w:pPr>
                  <w:r>
                    <w:rPr>
                      <w:sz w:val="21"/>
                      <w:szCs w:val="21"/>
                    </w:rPr>
                    <w:t>大湖</w:t>
                  </w:r>
                </w:p>
              </w:tc>
              <w:tc>
                <w:tcPr>
                  <w:tcW w:w="3569" w:type="dxa"/>
                  <w:vAlign w:val="center"/>
                </w:tcPr>
                <w:p>
                  <w:pPr>
                    <w:spacing w:line="240" w:lineRule="auto"/>
                    <w:ind w:left="16" w:leftChars="-38" w:right="-91" w:rightChars="-38" w:hanging="107" w:hangingChars="51"/>
                    <w:jc w:val="center"/>
                    <w:rPr>
                      <w:rFonts w:hint="eastAsia"/>
                      <w:sz w:val="21"/>
                      <w:szCs w:val="21"/>
                    </w:rPr>
                  </w:pPr>
                  <w:r>
                    <w:rPr>
                      <w:rFonts w:hint="eastAsia"/>
                      <w:sz w:val="21"/>
                      <w:szCs w:val="21"/>
                    </w:rPr>
                    <w:t>《地表水环境质量标准》</w:t>
                  </w:r>
                </w:p>
                <w:p>
                  <w:pPr>
                    <w:spacing w:line="240" w:lineRule="auto"/>
                    <w:ind w:left="16" w:leftChars="-38" w:right="-91" w:rightChars="-38" w:hanging="107" w:hangingChars="51"/>
                    <w:jc w:val="center"/>
                    <w:rPr>
                      <w:sz w:val="21"/>
                      <w:szCs w:val="21"/>
                    </w:rPr>
                  </w:pPr>
                  <w:r>
                    <w:rPr>
                      <w:rFonts w:hint="eastAsia"/>
                      <w:sz w:val="21"/>
                      <w:szCs w:val="21"/>
                    </w:rPr>
                    <w:t>（GB3838－2002）Ⅳ类标准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spacing w:line="240" w:lineRule="auto"/>
                    <w:jc w:val="center"/>
                    <w:rPr>
                      <w:sz w:val="21"/>
                      <w:szCs w:val="21"/>
                    </w:rPr>
                  </w:pPr>
                </w:p>
              </w:tc>
              <w:tc>
                <w:tcPr>
                  <w:tcW w:w="1930" w:type="dxa"/>
                  <w:vAlign w:val="center"/>
                </w:tcPr>
                <w:p>
                  <w:pPr>
                    <w:spacing w:line="240" w:lineRule="auto"/>
                    <w:ind w:left="-1" w:leftChars="-2" w:hanging="4" w:hangingChars="2"/>
                    <w:jc w:val="center"/>
                    <w:rPr>
                      <w:rFonts w:hint="eastAsia" w:eastAsia="宋体"/>
                      <w:sz w:val="21"/>
                      <w:szCs w:val="21"/>
                      <w:lang w:val="en-US" w:eastAsia="zh-CN"/>
                    </w:rPr>
                  </w:pPr>
                  <w:r>
                    <w:rPr>
                      <w:rFonts w:hint="eastAsia"/>
                      <w:sz w:val="21"/>
                      <w:szCs w:val="21"/>
                      <w:lang w:val="en-US" w:eastAsia="zh-CN"/>
                    </w:rPr>
                    <w:t>京杭运河</w:t>
                  </w:r>
                </w:p>
              </w:tc>
              <w:tc>
                <w:tcPr>
                  <w:tcW w:w="775" w:type="dxa"/>
                  <w:vAlign w:val="center"/>
                </w:tcPr>
                <w:p>
                  <w:pPr>
                    <w:spacing w:line="240" w:lineRule="auto"/>
                    <w:jc w:val="center"/>
                    <w:rPr>
                      <w:sz w:val="21"/>
                      <w:szCs w:val="21"/>
                    </w:rPr>
                  </w:pPr>
                  <w:r>
                    <w:rPr>
                      <w:sz w:val="21"/>
                      <w:szCs w:val="21"/>
                    </w:rPr>
                    <w:t>E</w:t>
                  </w:r>
                </w:p>
              </w:tc>
              <w:tc>
                <w:tcPr>
                  <w:tcW w:w="899" w:type="dxa"/>
                  <w:vAlign w:val="center"/>
                </w:tcPr>
                <w:p>
                  <w:pPr>
                    <w:spacing w:line="240" w:lineRule="auto"/>
                    <w:jc w:val="center"/>
                    <w:rPr>
                      <w:sz w:val="21"/>
                      <w:szCs w:val="21"/>
                    </w:rPr>
                  </w:pPr>
                  <w:r>
                    <w:rPr>
                      <w:sz w:val="21"/>
                      <w:szCs w:val="21"/>
                    </w:rPr>
                    <w:t>1</w:t>
                  </w:r>
                  <w:r>
                    <w:rPr>
                      <w:rFonts w:hint="eastAsia"/>
                      <w:sz w:val="21"/>
                      <w:szCs w:val="21"/>
                      <w:lang w:val="en-US" w:eastAsia="zh-CN"/>
                    </w:rPr>
                    <w:t>2</w:t>
                  </w:r>
                  <w:r>
                    <w:rPr>
                      <w:sz w:val="21"/>
                      <w:szCs w:val="21"/>
                    </w:rPr>
                    <w:t>00</w:t>
                  </w:r>
                </w:p>
              </w:tc>
              <w:tc>
                <w:tcPr>
                  <w:tcW w:w="1325" w:type="dxa"/>
                  <w:vAlign w:val="center"/>
                </w:tcPr>
                <w:p>
                  <w:pPr>
                    <w:spacing w:line="240" w:lineRule="auto"/>
                    <w:ind w:left="16" w:leftChars="-38" w:right="-91" w:rightChars="-38" w:hanging="107" w:hangingChars="51"/>
                    <w:jc w:val="center"/>
                    <w:rPr>
                      <w:sz w:val="21"/>
                      <w:szCs w:val="21"/>
                    </w:rPr>
                  </w:pPr>
                  <w:r>
                    <w:rPr>
                      <w:sz w:val="21"/>
                      <w:szCs w:val="21"/>
                    </w:rPr>
                    <w:t>中河</w:t>
                  </w:r>
                </w:p>
              </w:tc>
              <w:tc>
                <w:tcPr>
                  <w:tcW w:w="3569" w:type="dxa"/>
                  <w:vAlign w:val="center"/>
                </w:tcPr>
                <w:p>
                  <w:pPr>
                    <w:spacing w:line="240" w:lineRule="auto"/>
                    <w:ind w:left="16" w:leftChars="-38" w:right="-91" w:rightChars="-38" w:hanging="107" w:hangingChars="51"/>
                    <w:jc w:val="center"/>
                    <w:rPr>
                      <w:rFonts w:hint="eastAsia"/>
                      <w:sz w:val="21"/>
                      <w:szCs w:val="21"/>
                    </w:rPr>
                  </w:pPr>
                  <w:r>
                    <w:rPr>
                      <w:rFonts w:hint="eastAsia"/>
                      <w:sz w:val="21"/>
                      <w:szCs w:val="21"/>
                    </w:rPr>
                    <w:t>《地表水环境质量标准》</w:t>
                  </w:r>
                </w:p>
                <w:p>
                  <w:pPr>
                    <w:spacing w:line="240" w:lineRule="auto"/>
                    <w:ind w:left="16" w:leftChars="-38" w:right="-91" w:rightChars="-38" w:hanging="107" w:hangingChars="51"/>
                    <w:jc w:val="center"/>
                    <w:rPr>
                      <w:sz w:val="21"/>
                      <w:szCs w:val="21"/>
                    </w:rPr>
                  </w:pPr>
                  <w:r>
                    <w:rPr>
                      <w:rFonts w:hint="eastAsia"/>
                      <w:sz w:val="21"/>
                      <w:szCs w:val="21"/>
                    </w:rPr>
                    <w:t>（GB3838－2002）Ⅱ类标准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Align w:val="center"/>
                </w:tcPr>
                <w:p>
                  <w:pPr>
                    <w:spacing w:line="240" w:lineRule="auto"/>
                    <w:jc w:val="center"/>
                    <w:rPr>
                      <w:sz w:val="21"/>
                      <w:szCs w:val="21"/>
                    </w:rPr>
                  </w:pPr>
                  <w:r>
                    <w:rPr>
                      <w:sz w:val="21"/>
                      <w:szCs w:val="21"/>
                    </w:rPr>
                    <w:t>声环境</w:t>
                  </w:r>
                </w:p>
              </w:tc>
              <w:tc>
                <w:tcPr>
                  <w:tcW w:w="1930" w:type="dxa"/>
                  <w:vAlign w:val="center"/>
                </w:tcPr>
                <w:p>
                  <w:pPr>
                    <w:pStyle w:val="51"/>
                    <w:adjustRightInd w:val="0"/>
                    <w:snapToGrid w:val="0"/>
                    <w:spacing w:line="240" w:lineRule="auto"/>
                    <w:ind w:left="-1" w:leftChars="-2" w:hanging="4" w:hangingChars="2"/>
                    <w:rPr>
                      <w:rFonts w:ascii="Times New Roman" w:hAnsi="Times New Roman" w:eastAsia="宋体"/>
                      <w:kern w:val="2"/>
                      <w:sz w:val="21"/>
                      <w:szCs w:val="21"/>
                    </w:rPr>
                  </w:pPr>
                  <w:r>
                    <w:rPr>
                      <w:rFonts w:ascii="Times New Roman" w:hAnsi="Times New Roman" w:eastAsia="宋体"/>
                      <w:sz w:val="21"/>
                      <w:szCs w:val="21"/>
                    </w:rPr>
                    <w:t>厂界</w:t>
                  </w:r>
                </w:p>
              </w:tc>
              <w:tc>
                <w:tcPr>
                  <w:tcW w:w="775" w:type="dxa"/>
                  <w:vAlign w:val="center"/>
                </w:tcPr>
                <w:p>
                  <w:pPr>
                    <w:spacing w:line="240" w:lineRule="auto"/>
                    <w:jc w:val="center"/>
                    <w:rPr>
                      <w:sz w:val="21"/>
                      <w:szCs w:val="21"/>
                    </w:rPr>
                  </w:pPr>
                  <w:r>
                    <w:rPr>
                      <w:sz w:val="21"/>
                      <w:szCs w:val="21"/>
                    </w:rPr>
                    <w:t>四周</w:t>
                  </w:r>
                </w:p>
              </w:tc>
              <w:tc>
                <w:tcPr>
                  <w:tcW w:w="899" w:type="dxa"/>
                  <w:vAlign w:val="center"/>
                </w:tcPr>
                <w:p>
                  <w:pPr>
                    <w:spacing w:line="240" w:lineRule="auto"/>
                    <w:jc w:val="center"/>
                    <w:rPr>
                      <w:sz w:val="21"/>
                      <w:szCs w:val="21"/>
                    </w:rPr>
                  </w:pPr>
                  <w:r>
                    <w:rPr>
                      <w:sz w:val="21"/>
                      <w:szCs w:val="21"/>
                    </w:rPr>
                    <w:t>1</w:t>
                  </w:r>
                </w:p>
              </w:tc>
              <w:tc>
                <w:tcPr>
                  <w:tcW w:w="1325" w:type="dxa"/>
                  <w:vAlign w:val="center"/>
                </w:tcPr>
                <w:p>
                  <w:pPr>
                    <w:spacing w:line="240" w:lineRule="auto"/>
                    <w:ind w:left="16" w:leftChars="-38" w:right="-91" w:rightChars="-38" w:hanging="107" w:hangingChars="51"/>
                    <w:jc w:val="center"/>
                    <w:rPr>
                      <w:sz w:val="21"/>
                      <w:szCs w:val="21"/>
                    </w:rPr>
                  </w:pPr>
                  <w:r>
                    <w:rPr>
                      <w:sz w:val="21"/>
                      <w:szCs w:val="21"/>
                    </w:rPr>
                    <w:t>/</w:t>
                  </w:r>
                </w:p>
              </w:tc>
              <w:tc>
                <w:tcPr>
                  <w:tcW w:w="3569" w:type="dxa"/>
                  <w:vAlign w:val="center"/>
                </w:tcPr>
                <w:p>
                  <w:pPr>
                    <w:spacing w:line="240" w:lineRule="auto"/>
                    <w:ind w:left="16" w:leftChars="-38" w:right="-91" w:rightChars="-38" w:hanging="107" w:hangingChars="51"/>
                    <w:jc w:val="center"/>
                    <w:rPr>
                      <w:sz w:val="21"/>
                      <w:szCs w:val="21"/>
                    </w:rPr>
                  </w:pPr>
                  <w:r>
                    <w:rPr>
                      <w:sz w:val="21"/>
                      <w:szCs w:val="21"/>
                    </w:rPr>
                    <w:t>《声环境质量标准》（GB3096-2008）3类标准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Align w:val="center"/>
                </w:tcPr>
                <w:p>
                  <w:pPr>
                    <w:spacing w:line="240" w:lineRule="auto"/>
                    <w:jc w:val="center"/>
                    <w:rPr>
                      <w:sz w:val="21"/>
                      <w:szCs w:val="21"/>
                    </w:rPr>
                  </w:pPr>
                  <w:r>
                    <w:rPr>
                      <w:sz w:val="21"/>
                      <w:szCs w:val="21"/>
                    </w:rPr>
                    <w:t>生态环境</w:t>
                  </w:r>
                </w:p>
              </w:tc>
              <w:tc>
                <w:tcPr>
                  <w:tcW w:w="1930" w:type="dxa"/>
                  <w:vAlign w:val="center"/>
                </w:tcPr>
                <w:p>
                  <w:pPr>
                    <w:pStyle w:val="51"/>
                    <w:adjustRightInd w:val="0"/>
                    <w:snapToGrid w:val="0"/>
                    <w:spacing w:line="240" w:lineRule="auto"/>
                    <w:ind w:left="-1" w:leftChars="-2" w:hanging="4" w:hangingChars="2"/>
                    <w:rPr>
                      <w:rFonts w:ascii="Times New Roman" w:hAnsi="Times New Roman" w:eastAsia="宋体"/>
                      <w:sz w:val="21"/>
                      <w:szCs w:val="21"/>
                    </w:rPr>
                  </w:pPr>
                  <w:r>
                    <w:rPr>
                      <w:rFonts w:ascii="Times New Roman" w:hAnsi="Times New Roman" w:eastAsia="宋体"/>
                      <w:kern w:val="2"/>
                      <w:sz w:val="21"/>
                      <w:szCs w:val="21"/>
                    </w:rPr>
                    <w:t>江苏大阳山国家森林公园</w:t>
                  </w:r>
                </w:p>
              </w:tc>
              <w:tc>
                <w:tcPr>
                  <w:tcW w:w="775" w:type="dxa"/>
                  <w:vAlign w:val="center"/>
                </w:tcPr>
                <w:p>
                  <w:pPr>
                    <w:spacing w:line="240" w:lineRule="auto"/>
                    <w:jc w:val="center"/>
                    <w:rPr>
                      <w:rFonts w:hint="eastAsia" w:eastAsia="宋体"/>
                      <w:sz w:val="21"/>
                      <w:szCs w:val="21"/>
                      <w:lang w:eastAsia="zh-CN"/>
                    </w:rPr>
                  </w:pPr>
                  <w:r>
                    <w:rPr>
                      <w:rFonts w:hint="eastAsia"/>
                      <w:sz w:val="21"/>
                      <w:szCs w:val="21"/>
                      <w:lang w:val="en-US" w:eastAsia="zh-CN"/>
                    </w:rPr>
                    <w:t>W</w:t>
                  </w:r>
                </w:p>
              </w:tc>
              <w:tc>
                <w:tcPr>
                  <w:tcW w:w="899" w:type="dxa"/>
                  <w:vAlign w:val="center"/>
                </w:tcPr>
                <w:p>
                  <w:pPr>
                    <w:spacing w:line="240" w:lineRule="auto"/>
                    <w:jc w:val="center"/>
                    <w:rPr>
                      <w:sz w:val="21"/>
                      <w:szCs w:val="21"/>
                    </w:rPr>
                  </w:pPr>
                  <w:r>
                    <w:rPr>
                      <w:rFonts w:hint="eastAsia"/>
                      <w:sz w:val="21"/>
                      <w:szCs w:val="21"/>
                      <w:lang w:val="en-US" w:eastAsia="zh-CN"/>
                    </w:rPr>
                    <w:t>8</w:t>
                  </w:r>
                  <w:r>
                    <w:rPr>
                      <w:sz w:val="21"/>
                      <w:szCs w:val="21"/>
                    </w:rPr>
                    <w:t>00</w:t>
                  </w:r>
                </w:p>
              </w:tc>
              <w:tc>
                <w:tcPr>
                  <w:tcW w:w="1325" w:type="dxa"/>
                  <w:vAlign w:val="center"/>
                </w:tcPr>
                <w:p>
                  <w:pPr>
                    <w:adjustRightInd w:val="0"/>
                    <w:snapToGrid w:val="0"/>
                    <w:spacing w:line="240" w:lineRule="auto"/>
                    <w:jc w:val="center"/>
                    <w:rPr>
                      <w:sz w:val="21"/>
                      <w:szCs w:val="21"/>
                    </w:rPr>
                  </w:pPr>
                  <w:r>
                    <w:rPr>
                      <w:sz w:val="21"/>
                      <w:szCs w:val="21"/>
                    </w:rPr>
                    <w:t>二级管控区10.3km</w:t>
                  </w:r>
                  <w:r>
                    <w:rPr>
                      <w:sz w:val="21"/>
                      <w:szCs w:val="21"/>
                      <w:vertAlign w:val="superscript"/>
                    </w:rPr>
                    <w:t>2</w:t>
                  </w:r>
                </w:p>
              </w:tc>
              <w:tc>
                <w:tcPr>
                  <w:tcW w:w="3569" w:type="dxa"/>
                  <w:vAlign w:val="center"/>
                </w:tcPr>
                <w:p>
                  <w:pPr>
                    <w:adjustRightInd w:val="0"/>
                    <w:snapToGrid w:val="0"/>
                    <w:spacing w:line="240" w:lineRule="auto"/>
                    <w:jc w:val="center"/>
                    <w:rPr>
                      <w:sz w:val="21"/>
                      <w:szCs w:val="21"/>
                    </w:rPr>
                  </w:pPr>
                  <w:r>
                    <w:rPr>
                      <w:sz w:val="21"/>
                      <w:szCs w:val="21"/>
                    </w:rPr>
                    <w:t>《江苏省生态红线区域保护规划》、《江苏省国家级生态保护红线规划》自然与人文景观保护</w:t>
                  </w:r>
                </w:p>
              </w:tc>
            </w:tr>
          </w:tbl>
          <w:p/>
        </w:tc>
      </w:tr>
    </w:tbl>
    <w:p>
      <w:pPr>
        <w:pStyle w:val="2"/>
      </w:pPr>
    </w:p>
    <w:p>
      <w:r>
        <w:br w:type="page"/>
      </w:r>
    </w:p>
    <w:p>
      <w:pPr>
        <w:pStyle w:val="3"/>
        <w:bidi w:val="0"/>
        <w:ind w:firstLine="420" w:firstLineChars="0"/>
        <w:rPr>
          <w:rFonts w:hint="default"/>
          <w:sz w:val="28"/>
          <w:szCs w:val="28"/>
        </w:rPr>
      </w:pPr>
      <w:bookmarkStart w:id="7" w:name="_Toc23074"/>
      <w:r>
        <w:rPr>
          <w:rFonts w:hint="eastAsia"/>
          <w:sz w:val="28"/>
          <w:szCs w:val="28"/>
          <w:lang w:val="en-US" w:eastAsia="zh-CN"/>
        </w:rPr>
        <w:t>四、</w:t>
      </w:r>
      <w:r>
        <w:rPr>
          <w:rFonts w:hint="default"/>
          <w:sz w:val="28"/>
          <w:szCs w:val="28"/>
        </w:rPr>
        <w:t>评价适用标准及总量控制指标</w:t>
      </w:r>
      <w:bookmarkEnd w:id="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jc w:val="center"/>
            </w:pPr>
            <w:r>
              <w:rPr>
                <w:b/>
                <w:bCs/>
              </w:rPr>
              <w:t>环境质量标准</w:t>
            </w:r>
          </w:p>
        </w:tc>
        <w:tc>
          <w:tcPr>
            <w:tcW w:w="9164" w:type="dxa"/>
            <w:noWrap w:val="0"/>
            <w:vAlign w:val="center"/>
          </w:tcPr>
          <w:p>
            <w:pPr>
              <w:spacing w:line="460" w:lineRule="exact"/>
              <w:ind w:firstLine="480" w:firstLineChars="200"/>
            </w:pPr>
            <w:r>
              <w:t>1、大气环境质量标准</w:t>
            </w:r>
          </w:p>
          <w:p>
            <w:pPr>
              <w:spacing w:line="460" w:lineRule="exact"/>
              <w:ind w:firstLine="480" w:firstLineChars="200"/>
            </w:pPr>
            <w:r>
              <w:t>本项目SO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等空气质量标准执行《环境空气质量标准》（GB3095-2012）二级标准，其他具体见下表。</w:t>
            </w:r>
          </w:p>
          <w:p>
            <w:pPr>
              <w:spacing w:line="440" w:lineRule="exact"/>
              <w:jc w:val="center"/>
              <w:rPr>
                <w:b/>
                <w:bCs/>
                <w:sz w:val="21"/>
                <w:szCs w:val="21"/>
              </w:rPr>
            </w:pPr>
            <w:r>
              <w:rPr>
                <w:b/>
                <w:bCs/>
                <w:sz w:val="21"/>
                <w:szCs w:val="21"/>
              </w:rPr>
              <w:t>表4-1 环境空气质量标准限值表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912"/>
              <w:gridCol w:w="1167"/>
              <w:gridCol w:w="833"/>
              <w:gridCol w:w="37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noWrap w:val="0"/>
                  <w:vAlign w:val="center"/>
                </w:tcPr>
                <w:p>
                  <w:pPr>
                    <w:spacing w:line="240" w:lineRule="auto"/>
                    <w:jc w:val="center"/>
                    <w:rPr>
                      <w:sz w:val="21"/>
                      <w:szCs w:val="21"/>
                    </w:rPr>
                  </w:pPr>
                  <w:r>
                    <w:rPr>
                      <w:sz w:val="21"/>
                      <w:szCs w:val="21"/>
                    </w:rPr>
                    <w:t>污染物</w:t>
                  </w:r>
                </w:p>
              </w:tc>
              <w:tc>
                <w:tcPr>
                  <w:tcW w:w="1912" w:type="dxa"/>
                  <w:noWrap w:val="0"/>
                  <w:vAlign w:val="center"/>
                </w:tcPr>
                <w:p>
                  <w:pPr>
                    <w:spacing w:line="240" w:lineRule="auto"/>
                    <w:jc w:val="center"/>
                    <w:rPr>
                      <w:sz w:val="21"/>
                      <w:szCs w:val="21"/>
                    </w:rPr>
                  </w:pPr>
                  <w:r>
                    <w:rPr>
                      <w:sz w:val="21"/>
                      <w:szCs w:val="21"/>
                    </w:rPr>
                    <w:t>取值时间</w:t>
                  </w:r>
                </w:p>
              </w:tc>
              <w:tc>
                <w:tcPr>
                  <w:tcW w:w="1167" w:type="dxa"/>
                  <w:noWrap w:val="0"/>
                  <w:vAlign w:val="center"/>
                </w:tcPr>
                <w:p>
                  <w:pPr>
                    <w:spacing w:line="240" w:lineRule="auto"/>
                    <w:jc w:val="center"/>
                    <w:rPr>
                      <w:sz w:val="21"/>
                      <w:szCs w:val="21"/>
                    </w:rPr>
                  </w:pPr>
                  <w:r>
                    <w:rPr>
                      <w:sz w:val="21"/>
                      <w:szCs w:val="21"/>
                    </w:rPr>
                    <w:t>标准限值</w:t>
                  </w:r>
                </w:p>
              </w:tc>
              <w:tc>
                <w:tcPr>
                  <w:tcW w:w="833" w:type="dxa"/>
                  <w:noWrap w:val="0"/>
                  <w:vAlign w:val="center"/>
                </w:tcPr>
                <w:p>
                  <w:pPr>
                    <w:spacing w:line="240" w:lineRule="auto"/>
                    <w:jc w:val="center"/>
                    <w:rPr>
                      <w:sz w:val="21"/>
                      <w:szCs w:val="21"/>
                    </w:rPr>
                  </w:pPr>
                  <w:r>
                    <w:rPr>
                      <w:sz w:val="21"/>
                      <w:szCs w:val="21"/>
                    </w:rPr>
                    <w:t>单位</w:t>
                  </w:r>
                </w:p>
              </w:tc>
              <w:tc>
                <w:tcPr>
                  <w:tcW w:w="3763" w:type="dxa"/>
                  <w:noWrap w:val="0"/>
                  <w:vAlign w:val="center"/>
                </w:tcPr>
                <w:p>
                  <w:pPr>
                    <w:spacing w:line="240" w:lineRule="auto"/>
                    <w:jc w:val="center"/>
                    <w:rPr>
                      <w:sz w:val="21"/>
                      <w:szCs w:val="21"/>
                    </w:rPr>
                  </w:pPr>
                  <w:r>
                    <w:rPr>
                      <w:sz w:val="21"/>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SO</w:t>
                  </w:r>
                  <w:r>
                    <w:rPr>
                      <w:sz w:val="21"/>
                      <w:szCs w:val="21"/>
                      <w:vertAlign w:val="subscript"/>
                    </w:rPr>
                    <w:t>2</w:t>
                  </w:r>
                </w:p>
              </w:tc>
              <w:tc>
                <w:tcPr>
                  <w:tcW w:w="1912" w:type="dxa"/>
                  <w:noWrap w:val="0"/>
                  <w:vAlign w:val="center"/>
                </w:tcPr>
                <w:p>
                  <w:pPr>
                    <w:spacing w:line="240" w:lineRule="auto"/>
                    <w:jc w:val="center"/>
                    <w:rPr>
                      <w:sz w:val="21"/>
                      <w:szCs w:val="21"/>
                    </w:rPr>
                  </w:pPr>
                  <w:r>
                    <w:rPr>
                      <w:sz w:val="21"/>
                      <w:szCs w:val="21"/>
                    </w:rPr>
                    <w:t>年平均</w:t>
                  </w:r>
                </w:p>
              </w:tc>
              <w:tc>
                <w:tcPr>
                  <w:tcW w:w="1167" w:type="dxa"/>
                  <w:noWrap w:val="0"/>
                  <w:vAlign w:val="center"/>
                </w:tcPr>
                <w:p>
                  <w:pPr>
                    <w:spacing w:line="240" w:lineRule="auto"/>
                    <w:jc w:val="center"/>
                    <w:rPr>
                      <w:sz w:val="21"/>
                      <w:szCs w:val="21"/>
                    </w:rPr>
                  </w:pPr>
                  <w:r>
                    <w:rPr>
                      <w:sz w:val="21"/>
                      <w:szCs w:val="21"/>
                    </w:rPr>
                    <w:t>60</w:t>
                  </w:r>
                </w:p>
              </w:tc>
              <w:tc>
                <w:tcPr>
                  <w:tcW w:w="833" w:type="dxa"/>
                  <w:vMerge w:val="restart"/>
                  <w:noWrap w:val="0"/>
                  <w:vAlign w:val="center"/>
                </w:tcPr>
                <w:p>
                  <w:pPr>
                    <w:spacing w:line="240" w:lineRule="auto"/>
                    <w:jc w:val="center"/>
                    <w:rPr>
                      <w:sz w:val="21"/>
                      <w:szCs w:val="21"/>
                    </w:rPr>
                  </w:pPr>
                  <w:r>
                    <w:rPr>
                      <w:sz w:val="21"/>
                      <w:szCs w:val="21"/>
                    </w:rPr>
                    <w:t>μg/m</w:t>
                  </w:r>
                  <w:r>
                    <w:rPr>
                      <w:sz w:val="21"/>
                      <w:szCs w:val="21"/>
                      <w:vertAlign w:val="superscript"/>
                    </w:rPr>
                    <w:t>3</w:t>
                  </w:r>
                </w:p>
              </w:tc>
              <w:tc>
                <w:tcPr>
                  <w:tcW w:w="3763" w:type="dxa"/>
                  <w:vMerge w:val="restart"/>
                  <w:noWrap w:val="0"/>
                  <w:vAlign w:val="center"/>
                </w:tcPr>
                <w:p>
                  <w:pPr>
                    <w:spacing w:line="240" w:lineRule="auto"/>
                    <w:jc w:val="center"/>
                    <w:rPr>
                      <w:sz w:val="21"/>
                      <w:szCs w:val="21"/>
                    </w:rPr>
                  </w:pPr>
                  <w:r>
                    <w:rPr>
                      <w:sz w:val="21"/>
                      <w:szCs w:val="21"/>
                    </w:rPr>
                    <w:t>《环境空气质量标准》</w:t>
                  </w:r>
                </w:p>
                <w:p>
                  <w:pPr>
                    <w:spacing w:line="240" w:lineRule="auto"/>
                    <w:jc w:val="center"/>
                    <w:rPr>
                      <w:sz w:val="21"/>
                      <w:szCs w:val="21"/>
                    </w:rPr>
                  </w:pPr>
                  <w:r>
                    <w:rPr>
                      <w:sz w:val="21"/>
                      <w:szCs w:val="21"/>
                    </w:rPr>
                    <w:t>（GB3095-2012）二级标准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24小时平均</w:t>
                  </w:r>
                </w:p>
              </w:tc>
              <w:tc>
                <w:tcPr>
                  <w:tcW w:w="1167" w:type="dxa"/>
                  <w:noWrap w:val="0"/>
                  <w:vAlign w:val="center"/>
                </w:tcPr>
                <w:p>
                  <w:pPr>
                    <w:spacing w:line="240" w:lineRule="auto"/>
                    <w:jc w:val="center"/>
                    <w:rPr>
                      <w:sz w:val="21"/>
                      <w:szCs w:val="21"/>
                    </w:rPr>
                  </w:pPr>
                  <w:r>
                    <w:rPr>
                      <w:sz w:val="21"/>
                      <w:szCs w:val="21"/>
                    </w:rPr>
                    <w:t>150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1小时平均</w:t>
                  </w:r>
                </w:p>
              </w:tc>
              <w:tc>
                <w:tcPr>
                  <w:tcW w:w="1167" w:type="dxa"/>
                  <w:noWrap w:val="0"/>
                  <w:vAlign w:val="center"/>
                </w:tcPr>
                <w:p>
                  <w:pPr>
                    <w:spacing w:line="240" w:lineRule="auto"/>
                    <w:jc w:val="center"/>
                    <w:rPr>
                      <w:sz w:val="21"/>
                      <w:szCs w:val="21"/>
                    </w:rPr>
                  </w:pPr>
                  <w:r>
                    <w:rPr>
                      <w:sz w:val="21"/>
                      <w:szCs w:val="21"/>
                    </w:rPr>
                    <w:t>500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NO</w:t>
                  </w:r>
                  <w:r>
                    <w:rPr>
                      <w:sz w:val="21"/>
                      <w:szCs w:val="21"/>
                      <w:vertAlign w:val="subscript"/>
                    </w:rPr>
                    <w:t>2</w:t>
                  </w:r>
                </w:p>
              </w:tc>
              <w:tc>
                <w:tcPr>
                  <w:tcW w:w="1912" w:type="dxa"/>
                  <w:noWrap w:val="0"/>
                  <w:vAlign w:val="center"/>
                </w:tcPr>
                <w:p>
                  <w:pPr>
                    <w:spacing w:line="240" w:lineRule="auto"/>
                    <w:jc w:val="center"/>
                    <w:rPr>
                      <w:sz w:val="21"/>
                      <w:szCs w:val="21"/>
                    </w:rPr>
                  </w:pPr>
                  <w:r>
                    <w:rPr>
                      <w:sz w:val="21"/>
                      <w:szCs w:val="21"/>
                    </w:rPr>
                    <w:t>年平均</w:t>
                  </w:r>
                </w:p>
              </w:tc>
              <w:tc>
                <w:tcPr>
                  <w:tcW w:w="1167" w:type="dxa"/>
                  <w:noWrap w:val="0"/>
                  <w:vAlign w:val="center"/>
                </w:tcPr>
                <w:p>
                  <w:pPr>
                    <w:spacing w:line="240" w:lineRule="auto"/>
                    <w:jc w:val="center"/>
                    <w:rPr>
                      <w:sz w:val="21"/>
                      <w:szCs w:val="21"/>
                    </w:rPr>
                  </w:pPr>
                  <w:r>
                    <w:rPr>
                      <w:sz w:val="21"/>
                      <w:szCs w:val="21"/>
                    </w:rPr>
                    <w:t>40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24小时平均</w:t>
                  </w:r>
                </w:p>
              </w:tc>
              <w:tc>
                <w:tcPr>
                  <w:tcW w:w="1167" w:type="dxa"/>
                  <w:noWrap w:val="0"/>
                  <w:vAlign w:val="center"/>
                </w:tcPr>
                <w:p>
                  <w:pPr>
                    <w:spacing w:line="240" w:lineRule="auto"/>
                    <w:jc w:val="center"/>
                    <w:rPr>
                      <w:sz w:val="21"/>
                      <w:szCs w:val="21"/>
                    </w:rPr>
                  </w:pPr>
                  <w:r>
                    <w:rPr>
                      <w:sz w:val="21"/>
                      <w:szCs w:val="21"/>
                    </w:rPr>
                    <w:t>80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1小时平均</w:t>
                  </w:r>
                </w:p>
              </w:tc>
              <w:tc>
                <w:tcPr>
                  <w:tcW w:w="1167" w:type="dxa"/>
                  <w:noWrap w:val="0"/>
                  <w:vAlign w:val="center"/>
                </w:tcPr>
                <w:p>
                  <w:pPr>
                    <w:spacing w:line="240" w:lineRule="auto"/>
                    <w:jc w:val="center"/>
                    <w:rPr>
                      <w:sz w:val="21"/>
                      <w:szCs w:val="21"/>
                    </w:rPr>
                  </w:pPr>
                  <w:r>
                    <w:rPr>
                      <w:sz w:val="21"/>
                      <w:szCs w:val="21"/>
                    </w:rPr>
                    <w:t>200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CO</w:t>
                  </w:r>
                </w:p>
              </w:tc>
              <w:tc>
                <w:tcPr>
                  <w:tcW w:w="1912" w:type="dxa"/>
                  <w:noWrap w:val="0"/>
                  <w:vAlign w:val="center"/>
                </w:tcPr>
                <w:p>
                  <w:pPr>
                    <w:spacing w:line="240" w:lineRule="auto"/>
                    <w:jc w:val="center"/>
                    <w:rPr>
                      <w:sz w:val="21"/>
                      <w:szCs w:val="21"/>
                    </w:rPr>
                  </w:pPr>
                  <w:r>
                    <w:rPr>
                      <w:sz w:val="21"/>
                      <w:szCs w:val="21"/>
                    </w:rPr>
                    <w:t>24小时平均</w:t>
                  </w:r>
                </w:p>
              </w:tc>
              <w:tc>
                <w:tcPr>
                  <w:tcW w:w="1167" w:type="dxa"/>
                  <w:noWrap w:val="0"/>
                  <w:vAlign w:val="center"/>
                </w:tcPr>
                <w:p>
                  <w:pPr>
                    <w:spacing w:line="240" w:lineRule="auto"/>
                    <w:jc w:val="center"/>
                    <w:rPr>
                      <w:sz w:val="21"/>
                      <w:szCs w:val="21"/>
                    </w:rPr>
                  </w:pPr>
                  <w:r>
                    <w:rPr>
                      <w:sz w:val="21"/>
                      <w:szCs w:val="21"/>
                    </w:rPr>
                    <w:t>4</w:t>
                  </w:r>
                </w:p>
              </w:tc>
              <w:tc>
                <w:tcPr>
                  <w:tcW w:w="833" w:type="dxa"/>
                  <w:vMerge w:val="restart"/>
                  <w:noWrap w:val="0"/>
                  <w:vAlign w:val="center"/>
                </w:tcPr>
                <w:p>
                  <w:pPr>
                    <w:spacing w:line="240" w:lineRule="auto"/>
                    <w:jc w:val="center"/>
                    <w:rPr>
                      <w:sz w:val="21"/>
                      <w:szCs w:val="21"/>
                    </w:rPr>
                  </w:pPr>
                  <w:r>
                    <w:rPr>
                      <w:sz w:val="21"/>
                      <w:szCs w:val="21"/>
                    </w:rPr>
                    <w:t>mg/m</w:t>
                  </w:r>
                  <w:r>
                    <w:rPr>
                      <w:sz w:val="21"/>
                      <w:szCs w:val="21"/>
                      <w:vertAlign w:val="superscript"/>
                    </w:rPr>
                    <w:t>3</w:t>
                  </w: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1小时平均</w:t>
                  </w:r>
                </w:p>
              </w:tc>
              <w:tc>
                <w:tcPr>
                  <w:tcW w:w="1167" w:type="dxa"/>
                  <w:noWrap w:val="0"/>
                  <w:vAlign w:val="center"/>
                </w:tcPr>
                <w:p>
                  <w:pPr>
                    <w:spacing w:line="240" w:lineRule="auto"/>
                    <w:jc w:val="center"/>
                    <w:rPr>
                      <w:sz w:val="21"/>
                      <w:szCs w:val="21"/>
                    </w:rPr>
                  </w:pPr>
                  <w:r>
                    <w:rPr>
                      <w:sz w:val="21"/>
                      <w:szCs w:val="21"/>
                    </w:rPr>
                    <w:t>10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O</w:t>
                  </w:r>
                  <w:r>
                    <w:rPr>
                      <w:sz w:val="21"/>
                      <w:szCs w:val="21"/>
                      <w:vertAlign w:val="subscript"/>
                    </w:rPr>
                    <w:t>3</w:t>
                  </w:r>
                </w:p>
              </w:tc>
              <w:tc>
                <w:tcPr>
                  <w:tcW w:w="1912" w:type="dxa"/>
                  <w:noWrap w:val="0"/>
                  <w:vAlign w:val="center"/>
                </w:tcPr>
                <w:p>
                  <w:pPr>
                    <w:spacing w:line="240" w:lineRule="auto"/>
                    <w:jc w:val="center"/>
                    <w:rPr>
                      <w:sz w:val="21"/>
                      <w:szCs w:val="21"/>
                    </w:rPr>
                  </w:pPr>
                  <w:r>
                    <w:rPr>
                      <w:sz w:val="21"/>
                      <w:szCs w:val="21"/>
                    </w:rPr>
                    <w:t>日最大8小时平均</w:t>
                  </w:r>
                </w:p>
              </w:tc>
              <w:tc>
                <w:tcPr>
                  <w:tcW w:w="1167" w:type="dxa"/>
                  <w:noWrap w:val="0"/>
                  <w:vAlign w:val="center"/>
                </w:tcPr>
                <w:p>
                  <w:pPr>
                    <w:spacing w:line="240" w:lineRule="auto"/>
                    <w:jc w:val="center"/>
                    <w:rPr>
                      <w:sz w:val="21"/>
                      <w:szCs w:val="21"/>
                    </w:rPr>
                  </w:pPr>
                  <w:r>
                    <w:rPr>
                      <w:sz w:val="21"/>
                      <w:szCs w:val="21"/>
                    </w:rPr>
                    <w:t>160</w:t>
                  </w:r>
                </w:p>
              </w:tc>
              <w:tc>
                <w:tcPr>
                  <w:tcW w:w="833" w:type="dxa"/>
                  <w:vMerge w:val="restart"/>
                  <w:noWrap w:val="0"/>
                  <w:vAlign w:val="center"/>
                </w:tcPr>
                <w:p>
                  <w:pPr>
                    <w:spacing w:line="240" w:lineRule="auto"/>
                    <w:jc w:val="center"/>
                    <w:rPr>
                      <w:sz w:val="21"/>
                      <w:szCs w:val="21"/>
                    </w:rPr>
                  </w:pPr>
                  <w:r>
                    <w:rPr>
                      <w:sz w:val="21"/>
                      <w:szCs w:val="21"/>
                    </w:rPr>
                    <w:t>μg/m</w:t>
                  </w:r>
                  <w:r>
                    <w:rPr>
                      <w:sz w:val="21"/>
                      <w:szCs w:val="21"/>
                      <w:vertAlign w:val="superscript"/>
                    </w:rPr>
                    <w:t>3</w:t>
                  </w: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1小时平均</w:t>
                  </w:r>
                </w:p>
              </w:tc>
              <w:tc>
                <w:tcPr>
                  <w:tcW w:w="1167" w:type="dxa"/>
                  <w:noWrap w:val="0"/>
                  <w:vAlign w:val="center"/>
                </w:tcPr>
                <w:p>
                  <w:pPr>
                    <w:spacing w:line="240" w:lineRule="auto"/>
                    <w:jc w:val="center"/>
                    <w:rPr>
                      <w:sz w:val="21"/>
                      <w:szCs w:val="21"/>
                    </w:rPr>
                  </w:pPr>
                  <w:r>
                    <w:rPr>
                      <w:sz w:val="21"/>
                      <w:szCs w:val="21"/>
                    </w:rPr>
                    <w:t>200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PM</w:t>
                  </w:r>
                  <w:r>
                    <w:rPr>
                      <w:sz w:val="21"/>
                      <w:szCs w:val="21"/>
                      <w:vertAlign w:val="subscript"/>
                    </w:rPr>
                    <w:t>10</w:t>
                  </w:r>
                </w:p>
              </w:tc>
              <w:tc>
                <w:tcPr>
                  <w:tcW w:w="1912" w:type="dxa"/>
                  <w:noWrap w:val="0"/>
                  <w:vAlign w:val="center"/>
                </w:tcPr>
                <w:p>
                  <w:pPr>
                    <w:spacing w:line="240" w:lineRule="auto"/>
                    <w:jc w:val="center"/>
                    <w:rPr>
                      <w:sz w:val="21"/>
                      <w:szCs w:val="21"/>
                    </w:rPr>
                  </w:pPr>
                  <w:r>
                    <w:rPr>
                      <w:sz w:val="21"/>
                      <w:szCs w:val="21"/>
                    </w:rPr>
                    <w:t>年平均</w:t>
                  </w:r>
                </w:p>
              </w:tc>
              <w:tc>
                <w:tcPr>
                  <w:tcW w:w="1167" w:type="dxa"/>
                  <w:noWrap w:val="0"/>
                  <w:vAlign w:val="center"/>
                </w:tcPr>
                <w:p>
                  <w:pPr>
                    <w:spacing w:line="240" w:lineRule="auto"/>
                    <w:jc w:val="center"/>
                    <w:rPr>
                      <w:sz w:val="21"/>
                      <w:szCs w:val="21"/>
                    </w:rPr>
                  </w:pPr>
                  <w:r>
                    <w:rPr>
                      <w:sz w:val="21"/>
                      <w:szCs w:val="21"/>
                    </w:rPr>
                    <w:t>70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24小时平均</w:t>
                  </w:r>
                </w:p>
              </w:tc>
              <w:tc>
                <w:tcPr>
                  <w:tcW w:w="1167" w:type="dxa"/>
                  <w:noWrap w:val="0"/>
                  <w:vAlign w:val="center"/>
                </w:tcPr>
                <w:p>
                  <w:pPr>
                    <w:spacing w:line="240" w:lineRule="auto"/>
                    <w:jc w:val="center"/>
                    <w:rPr>
                      <w:sz w:val="21"/>
                      <w:szCs w:val="21"/>
                    </w:rPr>
                  </w:pPr>
                  <w:r>
                    <w:rPr>
                      <w:sz w:val="21"/>
                      <w:szCs w:val="21"/>
                    </w:rPr>
                    <w:t>150</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noWrap w:val="0"/>
                  <w:vAlign w:val="center"/>
                </w:tcPr>
                <w:p>
                  <w:pPr>
                    <w:spacing w:line="240" w:lineRule="auto"/>
                    <w:jc w:val="center"/>
                    <w:rPr>
                      <w:sz w:val="21"/>
                      <w:szCs w:val="21"/>
                    </w:rPr>
                  </w:pPr>
                  <w:r>
                    <w:rPr>
                      <w:sz w:val="21"/>
                      <w:szCs w:val="21"/>
                    </w:rPr>
                    <w:t>PM</w:t>
                  </w:r>
                  <w:r>
                    <w:rPr>
                      <w:sz w:val="21"/>
                      <w:szCs w:val="21"/>
                      <w:vertAlign w:val="subscript"/>
                    </w:rPr>
                    <w:t>2.5</w:t>
                  </w:r>
                </w:p>
              </w:tc>
              <w:tc>
                <w:tcPr>
                  <w:tcW w:w="1912" w:type="dxa"/>
                  <w:noWrap w:val="0"/>
                  <w:vAlign w:val="center"/>
                </w:tcPr>
                <w:p>
                  <w:pPr>
                    <w:spacing w:line="240" w:lineRule="auto"/>
                    <w:jc w:val="center"/>
                    <w:rPr>
                      <w:sz w:val="21"/>
                      <w:szCs w:val="21"/>
                    </w:rPr>
                  </w:pPr>
                  <w:r>
                    <w:rPr>
                      <w:sz w:val="21"/>
                      <w:szCs w:val="21"/>
                    </w:rPr>
                    <w:t>年平均</w:t>
                  </w:r>
                </w:p>
              </w:tc>
              <w:tc>
                <w:tcPr>
                  <w:tcW w:w="1167" w:type="dxa"/>
                  <w:noWrap w:val="0"/>
                  <w:vAlign w:val="center"/>
                </w:tcPr>
                <w:p>
                  <w:pPr>
                    <w:spacing w:line="240" w:lineRule="auto"/>
                    <w:jc w:val="center"/>
                    <w:rPr>
                      <w:sz w:val="21"/>
                      <w:szCs w:val="21"/>
                    </w:rPr>
                  </w:pPr>
                  <w:r>
                    <w:rPr>
                      <w:sz w:val="21"/>
                      <w:szCs w:val="21"/>
                    </w:rPr>
                    <w:t>35</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noWrap w:val="0"/>
                  <w:vAlign w:val="center"/>
                </w:tcPr>
                <w:p>
                  <w:pPr>
                    <w:spacing w:line="240" w:lineRule="auto"/>
                    <w:jc w:val="center"/>
                    <w:rPr>
                      <w:sz w:val="21"/>
                      <w:szCs w:val="21"/>
                    </w:rPr>
                  </w:pPr>
                </w:p>
              </w:tc>
              <w:tc>
                <w:tcPr>
                  <w:tcW w:w="1912" w:type="dxa"/>
                  <w:noWrap w:val="0"/>
                  <w:vAlign w:val="center"/>
                </w:tcPr>
                <w:p>
                  <w:pPr>
                    <w:spacing w:line="240" w:lineRule="auto"/>
                    <w:jc w:val="center"/>
                    <w:rPr>
                      <w:sz w:val="21"/>
                      <w:szCs w:val="21"/>
                    </w:rPr>
                  </w:pPr>
                  <w:r>
                    <w:rPr>
                      <w:sz w:val="21"/>
                      <w:szCs w:val="21"/>
                    </w:rPr>
                    <w:t>24小时平均</w:t>
                  </w:r>
                </w:p>
              </w:tc>
              <w:tc>
                <w:tcPr>
                  <w:tcW w:w="1167" w:type="dxa"/>
                  <w:noWrap w:val="0"/>
                  <w:vAlign w:val="center"/>
                </w:tcPr>
                <w:p>
                  <w:pPr>
                    <w:spacing w:line="240" w:lineRule="auto"/>
                    <w:jc w:val="center"/>
                    <w:rPr>
                      <w:sz w:val="21"/>
                      <w:szCs w:val="21"/>
                    </w:rPr>
                  </w:pPr>
                  <w:r>
                    <w:rPr>
                      <w:sz w:val="21"/>
                      <w:szCs w:val="21"/>
                    </w:rPr>
                    <w:t>75</w:t>
                  </w:r>
                </w:p>
              </w:tc>
              <w:tc>
                <w:tcPr>
                  <w:tcW w:w="833" w:type="dxa"/>
                  <w:vMerge w:val="continue"/>
                  <w:noWrap w:val="0"/>
                  <w:vAlign w:val="center"/>
                </w:tcPr>
                <w:p>
                  <w:pPr>
                    <w:spacing w:line="240" w:lineRule="auto"/>
                    <w:jc w:val="center"/>
                    <w:rPr>
                      <w:sz w:val="21"/>
                      <w:szCs w:val="21"/>
                    </w:rPr>
                  </w:pPr>
                </w:p>
              </w:tc>
              <w:tc>
                <w:tcPr>
                  <w:tcW w:w="3763"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noWrap w:val="0"/>
                  <w:vAlign w:val="center"/>
                </w:tcPr>
                <w:p>
                  <w:pPr>
                    <w:spacing w:line="240" w:lineRule="auto"/>
                    <w:jc w:val="center"/>
                    <w:rPr>
                      <w:sz w:val="21"/>
                      <w:szCs w:val="21"/>
                    </w:rPr>
                  </w:pPr>
                  <w:r>
                    <w:rPr>
                      <w:sz w:val="21"/>
                      <w:szCs w:val="21"/>
                    </w:rPr>
                    <w:t>非甲烷总烃</w:t>
                  </w:r>
                </w:p>
              </w:tc>
              <w:tc>
                <w:tcPr>
                  <w:tcW w:w="1912" w:type="dxa"/>
                  <w:noWrap w:val="0"/>
                  <w:vAlign w:val="center"/>
                </w:tcPr>
                <w:p>
                  <w:pPr>
                    <w:spacing w:line="240" w:lineRule="auto"/>
                    <w:jc w:val="center"/>
                    <w:rPr>
                      <w:sz w:val="21"/>
                      <w:szCs w:val="21"/>
                    </w:rPr>
                  </w:pPr>
                  <w:r>
                    <w:rPr>
                      <w:sz w:val="21"/>
                      <w:szCs w:val="21"/>
                    </w:rPr>
                    <w:t>1次值</w:t>
                  </w:r>
                </w:p>
              </w:tc>
              <w:tc>
                <w:tcPr>
                  <w:tcW w:w="1167" w:type="dxa"/>
                  <w:noWrap w:val="0"/>
                  <w:vAlign w:val="center"/>
                </w:tcPr>
                <w:p>
                  <w:pPr>
                    <w:spacing w:line="240" w:lineRule="auto"/>
                    <w:jc w:val="center"/>
                    <w:rPr>
                      <w:color w:val="FF0000"/>
                      <w:sz w:val="21"/>
                      <w:szCs w:val="21"/>
                    </w:rPr>
                  </w:pPr>
                  <w:r>
                    <w:rPr>
                      <w:sz w:val="21"/>
                      <w:szCs w:val="21"/>
                    </w:rPr>
                    <w:t>2.0</w:t>
                  </w:r>
                </w:p>
              </w:tc>
              <w:tc>
                <w:tcPr>
                  <w:tcW w:w="833" w:type="dxa"/>
                  <w:noWrap w:val="0"/>
                  <w:vAlign w:val="center"/>
                </w:tcPr>
                <w:p>
                  <w:pPr>
                    <w:spacing w:line="240" w:lineRule="auto"/>
                    <w:jc w:val="center"/>
                    <w:rPr>
                      <w:sz w:val="21"/>
                      <w:szCs w:val="21"/>
                    </w:rPr>
                  </w:pPr>
                  <w:r>
                    <w:rPr>
                      <w:sz w:val="21"/>
                      <w:szCs w:val="21"/>
                    </w:rPr>
                    <w:t>mg/m</w:t>
                  </w:r>
                  <w:r>
                    <w:rPr>
                      <w:sz w:val="21"/>
                      <w:szCs w:val="21"/>
                      <w:vertAlign w:val="superscript"/>
                    </w:rPr>
                    <w:t>3</w:t>
                  </w:r>
                </w:p>
              </w:tc>
              <w:tc>
                <w:tcPr>
                  <w:tcW w:w="3763" w:type="dxa"/>
                  <w:noWrap w:val="0"/>
                  <w:vAlign w:val="center"/>
                </w:tcPr>
                <w:p>
                  <w:pPr>
                    <w:spacing w:line="240" w:lineRule="auto"/>
                    <w:jc w:val="center"/>
                    <w:rPr>
                      <w:sz w:val="21"/>
                      <w:szCs w:val="21"/>
                    </w:rPr>
                  </w:pPr>
                  <w:r>
                    <w:rPr>
                      <w:sz w:val="21"/>
                      <w:szCs w:val="21"/>
                    </w:rPr>
                    <w:t>参照《大气污染物综合排放标准详解》</w:t>
                  </w:r>
                </w:p>
              </w:tc>
            </w:tr>
          </w:tbl>
          <w:p>
            <w:pPr>
              <w:spacing w:line="460" w:lineRule="exact"/>
              <w:ind w:firstLine="480" w:firstLineChars="200"/>
            </w:pPr>
            <w:r>
              <w:t>2、水环境质量标准</w:t>
            </w:r>
          </w:p>
          <w:p>
            <w:pPr>
              <w:spacing w:line="460" w:lineRule="exact"/>
              <w:ind w:firstLine="480" w:firstLineChars="200"/>
            </w:pPr>
            <w:r>
              <w:t>京杭运河苏州高新区段执行《地表水环境质量标准》(GB3838-2002)Ⅳ类水质标准（2020年）。</w:t>
            </w:r>
          </w:p>
          <w:p>
            <w:pPr>
              <w:spacing w:line="240" w:lineRule="auto"/>
              <w:jc w:val="center"/>
              <w:rPr>
                <w:b/>
                <w:bCs/>
                <w:sz w:val="21"/>
                <w:szCs w:val="21"/>
              </w:rPr>
            </w:pPr>
            <w:r>
              <w:rPr>
                <w:b/>
                <w:bCs/>
                <w:sz w:val="21"/>
                <w:szCs w:val="21"/>
              </w:rPr>
              <w:t>表4-2  环境质量标准（pH无量纲，其余mg/L）</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94"/>
              <w:gridCol w:w="1263"/>
              <w:gridCol w:w="1008"/>
              <w:gridCol w:w="1081"/>
              <w:gridCol w:w="882"/>
              <w:gridCol w:w="839"/>
              <w:gridCol w:w="11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28" w:hRule="atLeast"/>
                <w:jc w:val="center"/>
              </w:trPr>
              <w:tc>
                <w:tcPr>
                  <w:tcW w:w="1877" w:type="dxa"/>
                  <w:noWrap w:val="0"/>
                  <w:vAlign w:val="center"/>
                </w:tcPr>
                <w:p>
                  <w:pPr>
                    <w:spacing w:line="240" w:lineRule="auto"/>
                    <w:jc w:val="center"/>
                    <w:rPr>
                      <w:sz w:val="21"/>
                      <w:szCs w:val="21"/>
                    </w:rPr>
                  </w:pPr>
                  <w:r>
                    <w:rPr>
                      <w:sz w:val="21"/>
                      <w:szCs w:val="21"/>
                    </w:rPr>
                    <w:t>污染物</w:t>
                  </w:r>
                </w:p>
              </w:tc>
              <w:tc>
                <w:tcPr>
                  <w:tcW w:w="894" w:type="dxa"/>
                  <w:noWrap w:val="0"/>
                  <w:vAlign w:val="center"/>
                </w:tcPr>
                <w:p>
                  <w:pPr>
                    <w:spacing w:line="240" w:lineRule="auto"/>
                    <w:jc w:val="center"/>
                    <w:rPr>
                      <w:sz w:val="21"/>
                      <w:szCs w:val="21"/>
                    </w:rPr>
                  </w:pPr>
                  <w:r>
                    <w:rPr>
                      <w:sz w:val="21"/>
                      <w:szCs w:val="21"/>
                    </w:rPr>
                    <w:t>pH</w:t>
                  </w:r>
                </w:p>
              </w:tc>
              <w:tc>
                <w:tcPr>
                  <w:tcW w:w="1263" w:type="dxa"/>
                  <w:noWrap w:val="0"/>
                  <w:vAlign w:val="center"/>
                </w:tcPr>
                <w:p>
                  <w:pPr>
                    <w:spacing w:line="240" w:lineRule="auto"/>
                    <w:jc w:val="center"/>
                    <w:rPr>
                      <w:sz w:val="21"/>
                      <w:szCs w:val="21"/>
                    </w:rPr>
                  </w:pPr>
                  <w:r>
                    <w:rPr>
                      <w:sz w:val="21"/>
                      <w:szCs w:val="21"/>
                    </w:rPr>
                    <w:t>COD</w:t>
                  </w:r>
                </w:p>
              </w:tc>
              <w:tc>
                <w:tcPr>
                  <w:tcW w:w="1008" w:type="dxa"/>
                  <w:noWrap w:val="0"/>
                  <w:vAlign w:val="center"/>
                </w:tcPr>
                <w:p>
                  <w:pPr>
                    <w:spacing w:line="240" w:lineRule="auto"/>
                    <w:jc w:val="center"/>
                    <w:rPr>
                      <w:sz w:val="21"/>
                      <w:szCs w:val="21"/>
                    </w:rPr>
                  </w:pPr>
                  <w:r>
                    <w:rPr>
                      <w:sz w:val="21"/>
                      <w:szCs w:val="21"/>
                    </w:rPr>
                    <w:t>氨氮</w:t>
                  </w:r>
                </w:p>
              </w:tc>
              <w:tc>
                <w:tcPr>
                  <w:tcW w:w="1081" w:type="dxa"/>
                  <w:noWrap w:val="0"/>
                  <w:vAlign w:val="center"/>
                </w:tcPr>
                <w:p>
                  <w:pPr>
                    <w:spacing w:line="240" w:lineRule="auto"/>
                    <w:jc w:val="center"/>
                    <w:rPr>
                      <w:sz w:val="21"/>
                      <w:szCs w:val="21"/>
                    </w:rPr>
                  </w:pPr>
                  <w:r>
                    <w:rPr>
                      <w:sz w:val="21"/>
                      <w:szCs w:val="21"/>
                    </w:rPr>
                    <w:t>总磷</w:t>
                  </w:r>
                </w:p>
              </w:tc>
              <w:tc>
                <w:tcPr>
                  <w:tcW w:w="882" w:type="dxa"/>
                  <w:noWrap w:val="0"/>
                  <w:vAlign w:val="center"/>
                </w:tcPr>
                <w:p>
                  <w:pPr>
                    <w:spacing w:line="240" w:lineRule="auto"/>
                    <w:jc w:val="center"/>
                    <w:rPr>
                      <w:sz w:val="21"/>
                      <w:szCs w:val="21"/>
                    </w:rPr>
                  </w:pPr>
                  <w:r>
                    <w:rPr>
                      <w:sz w:val="21"/>
                      <w:szCs w:val="21"/>
                    </w:rPr>
                    <w:t>SS</w:t>
                  </w:r>
                </w:p>
              </w:tc>
              <w:tc>
                <w:tcPr>
                  <w:tcW w:w="839" w:type="dxa"/>
                  <w:noWrap w:val="0"/>
                  <w:vAlign w:val="center"/>
                </w:tcPr>
                <w:p>
                  <w:pPr>
                    <w:spacing w:line="240" w:lineRule="auto"/>
                    <w:jc w:val="center"/>
                    <w:rPr>
                      <w:sz w:val="21"/>
                      <w:szCs w:val="21"/>
                    </w:rPr>
                  </w:pPr>
                  <w:r>
                    <w:rPr>
                      <w:sz w:val="21"/>
                      <w:szCs w:val="21"/>
                    </w:rPr>
                    <w:t>总氮</w:t>
                  </w:r>
                </w:p>
              </w:tc>
              <w:tc>
                <w:tcPr>
                  <w:tcW w:w="1104" w:type="dxa"/>
                  <w:noWrap w:val="0"/>
                  <w:vAlign w:val="center"/>
                </w:tcPr>
                <w:p>
                  <w:pPr>
                    <w:spacing w:line="240" w:lineRule="auto"/>
                    <w:jc w:val="center"/>
                    <w:rPr>
                      <w:sz w:val="21"/>
                      <w:szCs w:val="21"/>
                    </w:rPr>
                  </w:pPr>
                  <w:r>
                    <w:rPr>
                      <w:sz w:val="21"/>
                      <w:szCs w:val="21"/>
                    </w:rPr>
                    <w:t>石油类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877" w:type="dxa"/>
                  <w:noWrap w:val="0"/>
                  <w:vAlign w:val="center"/>
                </w:tcPr>
                <w:p>
                  <w:pPr>
                    <w:spacing w:line="240" w:lineRule="auto"/>
                    <w:ind w:left="-107" w:right="-43" w:rightChars="-18"/>
                    <w:jc w:val="center"/>
                    <w:rPr>
                      <w:sz w:val="21"/>
                      <w:szCs w:val="21"/>
                    </w:rPr>
                  </w:pPr>
                  <w:r>
                    <w:rPr>
                      <w:sz w:val="21"/>
                      <w:szCs w:val="21"/>
                    </w:rPr>
                    <w:t>Ⅳ类标准限值</w:t>
                  </w:r>
                </w:p>
              </w:tc>
              <w:tc>
                <w:tcPr>
                  <w:tcW w:w="894" w:type="dxa"/>
                  <w:noWrap w:val="0"/>
                  <w:vAlign w:val="center"/>
                </w:tcPr>
                <w:p>
                  <w:pPr>
                    <w:spacing w:line="240" w:lineRule="auto"/>
                    <w:jc w:val="center"/>
                    <w:rPr>
                      <w:sz w:val="21"/>
                      <w:szCs w:val="21"/>
                    </w:rPr>
                  </w:pPr>
                  <w:r>
                    <w:rPr>
                      <w:sz w:val="21"/>
                      <w:szCs w:val="21"/>
                    </w:rPr>
                    <w:t>6-9</w:t>
                  </w:r>
                </w:p>
              </w:tc>
              <w:tc>
                <w:tcPr>
                  <w:tcW w:w="1263" w:type="dxa"/>
                  <w:noWrap w:val="0"/>
                  <w:vAlign w:val="center"/>
                </w:tcPr>
                <w:p>
                  <w:pPr>
                    <w:spacing w:line="240" w:lineRule="auto"/>
                    <w:jc w:val="center"/>
                    <w:rPr>
                      <w:sz w:val="21"/>
                      <w:szCs w:val="21"/>
                    </w:rPr>
                  </w:pPr>
                  <w:r>
                    <w:rPr>
                      <w:sz w:val="21"/>
                      <w:szCs w:val="21"/>
                    </w:rPr>
                    <w:t>30</w:t>
                  </w:r>
                </w:p>
              </w:tc>
              <w:tc>
                <w:tcPr>
                  <w:tcW w:w="1008" w:type="dxa"/>
                  <w:noWrap w:val="0"/>
                  <w:vAlign w:val="center"/>
                </w:tcPr>
                <w:p>
                  <w:pPr>
                    <w:spacing w:line="240" w:lineRule="auto"/>
                    <w:jc w:val="center"/>
                    <w:rPr>
                      <w:sz w:val="21"/>
                      <w:szCs w:val="21"/>
                    </w:rPr>
                  </w:pPr>
                  <w:r>
                    <w:rPr>
                      <w:sz w:val="21"/>
                      <w:szCs w:val="21"/>
                    </w:rPr>
                    <w:t>1.5</w:t>
                  </w:r>
                </w:p>
              </w:tc>
              <w:tc>
                <w:tcPr>
                  <w:tcW w:w="1081" w:type="dxa"/>
                  <w:noWrap w:val="0"/>
                  <w:vAlign w:val="center"/>
                </w:tcPr>
                <w:p>
                  <w:pPr>
                    <w:spacing w:line="240" w:lineRule="auto"/>
                    <w:jc w:val="center"/>
                    <w:rPr>
                      <w:sz w:val="21"/>
                      <w:szCs w:val="21"/>
                    </w:rPr>
                  </w:pPr>
                  <w:r>
                    <w:rPr>
                      <w:sz w:val="21"/>
                      <w:szCs w:val="21"/>
                    </w:rPr>
                    <w:t>0.3</w:t>
                  </w:r>
                </w:p>
              </w:tc>
              <w:tc>
                <w:tcPr>
                  <w:tcW w:w="882" w:type="dxa"/>
                  <w:noWrap w:val="0"/>
                  <w:vAlign w:val="center"/>
                </w:tcPr>
                <w:p>
                  <w:pPr>
                    <w:spacing w:line="240" w:lineRule="auto"/>
                    <w:jc w:val="center"/>
                    <w:rPr>
                      <w:sz w:val="21"/>
                      <w:szCs w:val="21"/>
                    </w:rPr>
                  </w:pPr>
                  <w:r>
                    <w:rPr>
                      <w:sz w:val="21"/>
                      <w:szCs w:val="21"/>
                    </w:rPr>
                    <w:t>60</w:t>
                  </w:r>
                </w:p>
              </w:tc>
              <w:tc>
                <w:tcPr>
                  <w:tcW w:w="839" w:type="dxa"/>
                  <w:noWrap w:val="0"/>
                  <w:vAlign w:val="center"/>
                </w:tcPr>
                <w:p>
                  <w:pPr>
                    <w:spacing w:line="240" w:lineRule="auto"/>
                    <w:jc w:val="center"/>
                    <w:rPr>
                      <w:sz w:val="21"/>
                      <w:szCs w:val="21"/>
                    </w:rPr>
                  </w:pPr>
                  <w:r>
                    <w:rPr>
                      <w:sz w:val="21"/>
                      <w:szCs w:val="21"/>
                    </w:rPr>
                    <w:t>1.5</w:t>
                  </w:r>
                </w:p>
              </w:tc>
              <w:tc>
                <w:tcPr>
                  <w:tcW w:w="1104" w:type="dxa"/>
                  <w:noWrap w:val="0"/>
                  <w:vAlign w:val="center"/>
                </w:tcPr>
                <w:p>
                  <w:pPr>
                    <w:spacing w:line="240" w:lineRule="auto"/>
                    <w:jc w:val="center"/>
                    <w:rPr>
                      <w:sz w:val="21"/>
                      <w:szCs w:val="21"/>
                    </w:rPr>
                  </w:pPr>
                  <w:r>
                    <w:rPr>
                      <w:sz w:val="21"/>
                      <w:szCs w:val="21"/>
                    </w:rPr>
                    <w:t>0.5</w:t>
                  </w:r>
                </w:p>
              </w:tc>
            </w:tr>
          </w:tbl>
          <w:p>
            <w:pPr>
              <w:spacing w:line="280" w:lineRule="exact"/>
            </w:pPr>
            <w:r>
              <w:t>注：*SS参照水利部《地表水资源标准》（SL63-94）四级标准</w:t>
            </w:r>
          </w:p>
          <w:p>
            <w:pPr>
              <w:spacing w:line="500" w:lineRule="exact"/>
              <w:ind w:firstLine="480" w:firstLineChars="200"/>
            </w:pPr>
            <w:r>
              <w:t>（3）声环境质量标准</w:t>
            </w:r>
          </w:p>
          <w:p>
            <w:pPr>
              <w:spacing w:line="500" w:lineRule="exact"/>
              <w:ind w:firstLine="480" w:firstLineChars="200"/>
            </w:pPr>
            <w:r>
              <w:t>项目位于高新区3类声环境功能区，声环境执行《声环境质量标准》（GB3096-2008）表1中3类标准。</w:t>
            </w:r>
          </w:p>
          <w:p>
            <w:pPr>
              <w:spacing w:line="240" w:lineRule="auto"/>
              <w:jc w:val="center"/>
              <w:rPr>
                <w:b/>
                <w:sz w:val="21"/>
                <w:szCs w:val="21"/>
              </w:rPr>
            </w:pPr>
            <w:r>
              <w:rPr>
                <w:b/>
                <w:sz w:val="21"/>
                <w:szCs w:val="21"/>
              </w:rPr>
              <w:t>表4-3 声环境质量标准限值表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3920"/>
              <w:gridCol w:w="1169"/>
              <w:gridCol w:w="921"/>
              <w:gridCol w:w="532"/>
              <w:gridCol w:w="5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vMerge w:val="restart"/>
                  <w:noWrap w:val="0"/>
                  <w:vAlign w:val="center"/>
                </w:tcPr>
                <w:p>
                  <w:pPr>
                    <w:spacing w:line="240" w:lineRule="auto"/>
                    <w:jc w:val="center"/>
                    <w:rPr>
                      <w:sz w:val="21"/>
                      <w:szCs w:val="21"/>
                    </w:rPr>
                  </w:pPr>
                  <w:r>
                    <w:rPr>
                      <w:sz w:val="21"/>
                      <w:szCs w:val="21"/>
                    </w:rPr>
                    <w:t>区域名</w:t>
                  </w:r>
                </w:p>
              </w:tc>
              <w:tc>
                <w:tcPr>
                  <w:tcW w:w="3920" w:type="dxa"/>
                  <w:vMerge w:val="restart"/>
                  <w:noWrap w:val="0"/>
                  <w:vAlign w:val="center"/>
                </w:tcPr>
                <w:p>
                  <w:pPr>
                    <w:spacing w:line="240" w:lineRule="auto"/>
                    <w:jc w:val="center"/>
                    <w:rPr>
                      <w:sz w:val="21"/>
                      <w:szCs w:val="21"/>
                    </w:rPr>
                  </w:pPr>
                  <w:r>
                    <w:rPr>
                      <w:sz w:val="21"/>
                      <w:szCs w:val="21"/>
                    </w:rPr>
                    <w:t>执行标准</w:t>
                  </w:r>
                </w:p>
              </w:tc>
              <w:tc>
                <w:tcPr>
                  <w:tcW w:w="1169" w:type="dxa"/>
                  <w:vMerge w:val="restart"/>
                  <w:noWrap w:val="0"/>
                  <w:vAlign w:val="center"/>
                </w:tcPr>
                <w:p>
                  <w:pPr>
                    <w:spacing w:line="240" w:lineRule="auto"/>
                    <w:jc w:val="center"/>
                    <w:rPr>
                      <w:sz w:val="21"/>
                      <w:szCs w:val="21"/>
                    </w:rPr>
                  </w:pPr>
                  <w:r>
                    <w:rPr>
                      <w:sz w:val="21"/>
                      <w:szCs w:val="21"/>
                    </w:rPr>
                    <w:t>级别</w:t>
                  </w:r>
                </w:p>
              </w:tc>
              <w:tc>
                <w:tcPr>
                  <w:tcW w:w="921" w:type="dxa"/>
                  <w:vMerge w:val="restart"/>
                  <w:noWrap w:val="0"/>
                  <w:vAlign w:val="center"/>
                </w:tcPr>
                <w:p>
                  <w:pPr>
                    <w:spacing w:line="240" w:lineRule="auto"/>
                    <w:jc w:val="center"/>
                    <w:rPr>
                      <w:sz w:val="21"/>
                      <w:szCs w:val="21"/>
                    </w:rPr>
                  </w:pPr>
                  <w:r>
                    <w:rPr>
                      <w:sz w:val="21"/>
                      <w:szCs w:val="21"/>
                    </w:rPr>
                    <w:t>单位</w:t>
                  </w:r>
                </w:p>
              </w:tc>
              <w:tc>
                <w:tcPr>
                  <w:tcW w:w="1117" w:type="dxa"/>
                  <w:gridSpan w:val="2"/>
                  <w:noWrap w:val="0"/>
                  <w:vAlign w:val="center"/>
                </w:tcPr>
                <w:p>
                  <w:pPr>
                    <w:spacing w:line="240" w:lineRule="auto"/>
                    <w:jc w:val="center"/>
                    <w:rPr>
                      <w:sz w:val="21"/>
                      <w:szCs w:val="21"/>
                    </w:rPr>
                  </w:pPr>
                  <w:r>
                    <w:rPr>
                      <w:sz w:val="21"/>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vMerge w:val="continue"/>
                  <w:noWrap w:val="0"/>
                  <w:vAlign w:val="center"/>
                </w:tcPr>
                <w:p>
                  <w:pPr>
                    <w:spacing w:line="240" w:lineRule="auto"/>
                    <w:jc w:val="center"/>
                    <w:rPr>
                      <w:sz w:val="21"/>
                      <w:szCs w:val="21"/>
                    </w:rPr>
                  </w:pPr>
                </w:p>
              </w:tc>
              <w:tc>
                <w:tcPr>
                  <w:tcW w:w="3920" w:type="dxa"/>
                  <w:vMerge w:val="continue"/>
                  <w:noWrap w:val="0"/>
                  <w:vAlign w:val="center"/>
                </w:tcPr>
                <w:p>
                  <w:pPr>
                    <w:spacing w:line="240" w:lineRule="auto"/>
                    <w:jc w:val="center"/>
                    <w:rPr>
                      <w:sz w:val="21"/>
                      <w:szCs w:val="21"/>
                    </w:rPr>
                  </w:pPr>
                </w:p>
              </w:tc>
              <w:tc>
                <w:tcPr>
                  <w:tcW w:w="1169" w:type="dxa"/>
                  <w:vMerge w:val="continue"/>
                  <w:noWrap w:val="0"/>
                  <w:vAlign w:val="center"/>
                </w:tcPr>
                <w:p>
                  <w:pPr>
                    <w:spacing w:line="240" w:lineRule="auto"/>
                    <w:jc w:val="center"/>
                    <w:rPr>
                      <w:sz w:val="21"/>
                      <w:szCs w:val="21"/>
                    </w:rPr>
                  </w:pPr>
                </w:p>
              </w:tc>
              <w:tc>
                <w:tcPr>
                  <w:tcW w:w="921" w:type="dxa"/>
                  <w:vMerge w:val="continue"/>
                  <w:noWrap w:val="0"/>
                  <w:vAlign w:val="center"/>
                </w:tcPr>
                <w:p>
                  <w:pPr>
                    <w:spacing w:line="240" w:lineRule="auto"/>
                    <w:jc w:val="center"/>
                    <w:rPr>
                      <w:sz w:val="21"/>
                      <w:szCs w:val="21"/>
                    </w:rPr>
                  </w:pPr>
                </w:p>
              </w:tc>
              <w:tc>
                <w:tcPr>
                  <w:tcW w:w="532" w:type="dxa"/>
                  <w:noWrap w:val="0"/>
                  <w:vAlign w:val="center"/>
                </w:tcPr>
                <w:p>
                  <w:pPr>
                    <w:spacing w:line="240" w:lineRule="auto"/>
                    <w:jc w:val="center"/>
                    <w:rPr>
                      <w:sz w:val="21"/>
                      <w:szCs w:val="21"/>
                    </w:rPr>
                  </w:pPr>
                  <w:r>
                    <w:rPr>
                      <w:sz w:val="21"/>
                      <w:szCs w:val="21"/>
                    </w:rPr>
                    <w:t>昼</w:t>
                  </w:r>
                </w:p>
              </w:tc>
              <w:tc>
                <w:tcPr>
                  <w:tcW w:w="585" w:type="dxa"/>
                  <w:noWrap w:val="0"/>
                  <w:vAlign w:val="center"/>
                </w:tcPr>
                <w:p>
                  <w:pPr>
                    <w:spacing w:line="240" w:lineRule="auto"/>
                    <w:jc w:val="center"/>
                    <w:rPr>
                      <w:sz w:val="21"/>
                      <w:szCs w:val="21"/>
                    </w:rPr>
                  </w:pPr>
                  <w:r>
                    <w:rPr>
                      <w:sz w:val="21"/>
                      <w:szCs w:val="21"/>
                    </w:rPr>
                    <w:t>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noWrap w:val="0"/>
                  <w:vAlign w:val="center"/>
                </w:tcPr>
                <w:p>
                  <w:pPr>
                    <w:spacing w:line="240" w:lineRule="auto"/>
                    <w:jc w:val="center"/>
                    <w:rPr>
                      <w:sz w:val="21"/>
                      <w:szCs w:val="21"/>
                    </w:rPr>
                  </w:pPr>
                  <w:r>
                    <w:rPr>
                      <w:sz w:val="21"/>
                      <w:szCs w:val="21"/>
                    </w:rPr>
                    <w:t>项目所在地区域</w:t>
                  </w:r>
                </w:p>
              </w:tc>
              <w:tc>
                <w:tcPr>
                  <w:tcW w:w="3920" w:type="dxa"/>
                  <w:noWrap w:val="0"/>
                  <w:vAlign w:val="center"/>
                </w:tcPr>
                <w:p>
                  <w:pPr>
                    <w:spacing w:line="240" w:lineRule="auto"/>
                    <w:jc w:val="center"/>
                    <w:rPr>
                      <w:sz w:val="21"/>
                      <w:szCs w:val="21"/>
                    </w:rPr>
                  </w:pPr>
                  <w:r>
                    <w:rPr>
                      <w:sz w:val="21"/>
                      <w:szCs w:val="21"/>
                    </w:rPr>
                    <w:t>《</w:t>
                  </w:r>
                  <w:r>
                    <w:rPr>
                      <w:sz w:val="21"/>
                      <w:szCs w:val="21"/>
                    </w:rPr>
                    <w:fldChar w:fldCharType="begin"/>
                  </w:r>
                  <w:r>
                    <w:rPr>
                      <w:sz w:val="21"/>
                      <w:szCs w:val="21"/>
                    </w:rPr>
                    <w:instrText xml:space="preserve"> HYPERLINK "http://www.zhb.gov.cn/info/bgw/bgg/200809/W020080917334259620241.pdf" \t "_self" </w:instrText>
                  </w:r>
                  <w:r>
                    <w:rPr>
                      <w:sz w:val="21"/>
                      <w:szCs w:val="21"/>
                    </w:rPr>
                    <w:fldChar w:fldCharType="separate"/>
                  </w:r>
                  <w:r>
                    <w:rPr>
                      <w:rStyle w:val="32"/>
                      <w:bCs/>
                      <w:color w:val="auto"/>
                      <w:sz w:val="21"/>
                      <w:szCs w:val="21"/>
                      <w:u w:val="none"/>
                    </w:rPr>
                    <w:t>声环境质量标准》（GB3096-2008）</w:t>
                  </w:r>
                  <w:r>
                    <w:rPr>
                      <w:sz w:val="21"/>
                      <w:szCs w:val="21"/>
                    </w:rPr>
                    <w:fldChar w:fldCharType="end"/>
                  </w:r>
                </w:p>
              </w:tc>
              <w:tc>
                <w:tcPr>
                  <w:tcW w:w="1169" w:type="dxa"/>
                  <w:noWrap w:val="0"/>
                  <w:vAlign w:val="center"/>
                </w:tcPr>
                <w:p>
                  <w:pPr>
                    <w:spacing w:line="240" w:lineRule="auto"/>
                    <w:jc w:val="center"/>
                    <w:rPr>
                      <w:sz w:val="21"/>
                      <w:szCs w:val="21"/>
                    </w:rPr>
                  </w:pPr>
                  <w:r>
                    <w:rPr>
                      <w:sz w:val="21"/>
                      <w:szCs w:val="21"/>
                    </w:rPr>
                    <w:t>3类标准</w:t>
                  </w:r>
                </w:p>
              </w:tc>
              <w:tc>
                <w:tcPr>
                  <w:tcW w:w="921" w:type="dxa"/>
                  <w:noWrap w:val="0"/>
                  <w:vAlign w:val="center"/>
                </w:tcPr>
                <w:p>
                  <w:pPr>
                    <w:spacing w:line="240" w:lineRule="auto"/>
                    <w:jc w:val="center"/>
                    <w:rPr>
                      <w:sz w:val="21"/>
                      <w:szCs w:val="21"/>
                    </w:rPr>
                  </w:pPr>
                  <w:r>
                    <w:rPr>
                      <w:sz w:val="21"/>
                      <w:szCs w:val="21"/>
                    </w:rPr>
                    <w:t>dB(A)</w:t>
                  </w:r>
                </w:p>
              </w:tc>
              <w:tc>
                <w:tcPr>
                  <w:tcW w:w="532" w:type="dxa"/>
                  <w:noWrap w:val="0"/>
                  <w:vAlign w:val="center"/>
                </w:tcPr>
                <w:p>
                  <w:pPr>
                    <w:spacing w:line="240" w:lineRule="auto"/>
                    <w:jc w:val="center"/>
                    <w:rPr>
                      <w:sz w:val="21"/>
                      <w:szCs w:val="21"/>
                    </w:rPr>
                  </w:pPr>
                  <w:r>
                    <w:rPr>
                      <w:sz w:val="21"/>
                      <w:szCs w:val="21"/>
                    </w:rPr>
                    <w:t>65</w:t>
                  </w:r>
                </w:p>
              </w:tc>
              <w:tc>
                <w:tcPr>
                  <w:tcW w:w="585" w:type="dxa"/>
                  <w:noWrap w:val="0"/>
                  <w:vAlign w:val="center"/>
                </w:tcPr>
                <w:p>
                  <w:pPr>
                    <w:spacing w:line="240" w:lineRule="auto"/>
                    <w:jc w:val="center"/>
                    <w:rPr>
                      <w:sz w:val="21"/>
                      <w:szCs w:val="21"/>
                    </w:rPr>
                  </w:pPr>
                  <w:r>
                    <w:rPr>
                      <w:sz w:val="21"/>
                      <w:szCs w:val="21"/>
                    </w:rPr>
                    <w:t>55</w:t>
                  </w:r>
                </w:p>
              </w:tc>
            </w:tr>
          </w:tbl>
          <w:p>
            <w:pPr>
              <w:pStyle w:val="2"/>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jc w:val="center"/>
              <w:rPr>
                <w:rFonts w:hint="default" w:eastAsia="宋体"/>
                <w:b/>
                <w:bCs/>
                <w:lang w:val="en-US" w:eastAsia="zh-CN"/>
              </w:rPr>
            </w:pPr>
            <w:r>
              <w:rPr>
                <w:rFonts w:hint="eastAsia"/>
                <w:b/>
                <w:bCs/>
                <w:lang w:val="en-US" w:eastAsia="zh-CN"/>
              </w:rPr>
              <w:t>污染物排放标准</w:t>
            </w:r>
          </w:p>
        </w:tc>
        <w:tc>
          <w:tcPr>
            <w:tcW w:w="9164" w:type="dxa"/>
            <w:noWrap w:val="0"/>
            <w:vAlign w:val="center"/>
          </w:tcPr>
          <w:p>
            <w:pPr>
              <w:spacing w:line="460" w:lineRule="exact"/>
              <w:ind w:firstLine="482" w:firstLineChars="200"/>
              <w:rPr>
                <w:b/>
                <w:bCs/>
              </w:rPr>
            </w:pPr>
            <w:r>
              <w:rPr>
                <w:b/>
                <w:bCs/>
              </w:rPr>
              <w:t>1、废水</w:t>
            </w:r>
          </w:p>
          <w:p>
            <w:pPr>
              <w:ind w:firstLine="480" w:firstLineChars="200"/>
              <w:rPr>
                <w:rFonts w:hint="default" w:ascii="Times New Roman" w:hAnsi="Times New Roman" w:cs="Times New Roman"/>
              </w:rPr>
            </w:pPr>
            <w:r>
              <w:rPr>
                <w:rFonts w:hint="default" w:ascii="Times New Roman" w:hAnsi="Times New Roman" w:cs="Times New Roman"/>
              </w:rPr>
              <w:t>本项目营运期污水接管排入</w:t>
            </w:r>
            <w:r>
              <w:rPr>
                <w:rFonts w:hint="default" w:ascii="Times New Roman" w:hAnsi="Times New Roman" w:cs="Times New Roman"/>
                <w:lang w:eastAsia="zh-CN"/>
              </w:rPr>
              <w:t>科技城净水厂</w:t>
            </w:r>
            <w:r>
              <w:rPr>
                <w:rFonts w:hint="default" w:ascii="Times New Roman" w:hAnsi="Times New Roman" w:cs="Times New Roman"/>
              </w:rPr>
              <w:t>处理，尾水排入浒</w:t>
            </w:r>
            <w:r>
              <w:rPr>
                <w:rFonts w:hint="eastAsia" w:cs="Times New Roman"/>
                <w:lang w:val="en-US" w:eastAsia="zh-CN"/>
              </w:rPr>
              <w:t>东</w:t>
            </w:r>
            <w:r>
              <w:rPr>
                <w:rFonts w:hint="default" w:ascii="Times New Roman" w:hAnsi="Times New Roman" w:cs="Times New Roman"/>
              </w:rPr>
              <w:t>运河。项目污水排口</w:t>
            </w:r>
            <w:r>
              <w:rPr>
                <w:rFonts w:hint="default" w:ascii="Times New Roman" w:hAnsi="Times New Roman" w:cs="Times New Roman"/>
                <w:color w:val="auto"/>
                <w:sz w:val="24"/>
                <w:szCs w:val="24"/>
              </w:rPr>
              <w:t>执行《污水综合排放标准》(GB8978-1996)三级标准，其中氨氮、总磷执行《污水排入城镇下水道水质标准》(GB/T31962-2015)，出水水质执行《太湖地区城镇污水处理厂及重点</w:t>
            </w:r>
            <w:r>
              <w:rPr>
                <w:rFonts w:hint="default" w:ascii="Times New Roman" w:hAnsi="Times New Roman" w:cs="Times New Roman"/>
                <w:color w:val="auto"/>
                <w:sz w:val="24"/>
                <w:szCs w:val="24"/>
                <w:lang w:eastAsia="zh-CN"/>
              </w:rPr>
              <w:t>工业</w:t>
            </w:r>
            <w:r>
              <w:rPr>
                <w:rFonts w:hint="default" w:ascii="Times New Roman" w:hAnsi="Times New Roman" w:cs="Times New Roman"/>
                <w:color w:val="auto"/>
                <w:sz w:val="24"/>
                <w:szCs w:val="24"/>
              </w:rPr>
              <w:t>行业主要水污染物排放限值》(DB32/1072-20</w:t>
            </w: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)，其中SS、pH执行《城镇污水处理厂污染物排放标准》（GB18918-2002）表1一级A标准。</w:t>
            </w:r>
            <w:r>
              <w:rPr>
                <w:rFonts w:hint="default" w:ascii="Times New Roman" w:hAnsi="Times New Roman" w:cs="Times New Roman"/>
              </w:rPr>
              <w:t>具体标准限值见表4-</w:t>
            </w:r>
            <w:r>
              <w:rPr>
                <w:rFonts w:hint="eastAsia" w:cs="Times New Roman"/>
                <w:lang w:val="en-US" w:eastAsia="zh-CN"/>
              </w:rPr>
              <w:t>4</w:t>
            </w:r>
            <w:r>
              <w:rPr>
                <w:rFonts w:hint="default" w:ascii="Times New Roman" w:hAnsi="Times New Roman" w:cs="Times New Roman"/>
              </w:rPr>
              <w:t>。</w:t>
            </w:r>
          </w:p>
          <w:p>
            <w:pPr>
              <w:jc w:val="center"/>
              <w:rPr>
                <w:rFonts w:hint="default" w:ascii="Times New Roman" w:hAnsi="Times New Roman" w:cs="Times New Roman"/>
                <w:b/>
                <w:bCs/>
              </w:rPr>
            </w:pPr>
            <w:r>
              <w:rPr>
                <w:rFonts w:hint="default" w:ascii="Times New Roman" w:hAnsi="Times New Roman" w:cs="Times New Roman"/>
                <w:b/>
                <w:bCs/>
              </w:rPr>
              <w:t>表4-</w:t>
            </w:r>
            <w:r>
              <w:rPr>
                <w:rFonts w:hint="eastAsia" w:cs="Times New Roman"/>
                <w:b/>
                <w:bCs/>
                <w:lang w:val="en-US" w:eastAsia="zh-CN"/>
              </w:rPr>
              <w:t>4</w:t>
            </w:r>
            <w:r>
              <w:rPr>
                <w:rFonts w:hint="default" w:ascii="Times New Roman" w:hAnsi="Times New Roman" w:cs="Times New Roman"/>
                <w:b/>
                <w:bCs/>
              </w:rPr>
              <w:t xml:space="preserve"> 废污水排放标准限值表</w:t>
            </w:r>
          </w:p>
          <w:tbl>
            <w:tblPr>
              <w:tblStyle w:val="2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962"/>
              <w:gridCol w:w="1187"/>
              <w:gridCol w:w="1464"/>
              <w:gridCol w:w="974"/>
              <w:gridCol w:w="15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排放口名</w:t>
                  </w:r>
                </w:p>
              </w:tc>
              <w:tc>
                <w:tcPr>
                  <w:tcW w:w="2962"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c>
                <w:tcPr>
                  <w:tcW w:w="1187"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取值表号及级别</w:t>
                  </w:r>
                </w:p>
              </w:tc>
              <w:tc>
                <w:tcPr>
                  <w:tcW w:w="1464"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污染物指标</w:t>
                  </w:r>
                </w:p>
              </w:tc>
              <w:tc>
                <w:tcPr>
                  <w:tcW w:w="974"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1503" w:type="dxa"/>
                  <w:tcBorders>
                    <w:bottom w:val="single" w:color="auto" w:sz="12" w:space="0"/>
                    <w:tl2br w:val="nil"/>
                    <w:tr2bl w:val="nil"/>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restart"/>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厂排口</w:t>
                  </w:r>
                </w:p>
              </w:tc>
              <w:tc>
                <w:tcPr>
                  <w:tcW w:w="2962" w:type="dxa"/>
                  <w:vMerge w:val="restart"/>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w:t>
                  </w:r>
                </w:p>
              </w:tc>
              <w:tc>
                <w:tcPr>
                  <w:tcW w:w="1187" w:type="dxa"/>
                  <w:vMerge w:val="restart"/>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表4三级标准</w:t>
                  </w:r>
                </w:p>
              </w:tc>
              <w:tc>
                <w:tcPr>
                  <w:tcW w:w="1464" w:type="dxa"/>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974" w:type="dxa"/>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无量钢</w:t>
                  </w:r>
                </w:p>
              </w:tc>
              <w:tc>
                <w:tcPr>
                  <w:tcW w:w="1503" w:type="dxa"/>
                  <w:tcBorders>
                    <w:top w:val="single" w:color="auto" w:sz="12" w:space="0"/>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974" w:type="dxa"/>
                  <w:vMerge w:val="restart"/>
                  <w:tcBorders>
                    <w:tl2br w:val="nil"/>
                    <w:tr2bl w:val="nil"/>
                  </w:tcBorders>
                  <w:noWrap w:val="0"/>
                  <w:vAlign w:val="center"/>
                </w:tcPr>
                <w:p>
                  <w:pPr>
                    <w:pStyle w:val="2"/>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mg/L</w:t>
                  </w: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974" w:type="dxa"/>
                  <w:vMerge w:val="continue"/>
                  <w:tcBorders>
                    <w:tl2br w:val="nil"/>
                    <w:tr2bl w:val="nil"/>
                  </w:tcBorders>
                  <w:noWrap w:val="0"/>
                  <w:vAlign w:val="center"/>
                </w:tcPr>
                <w:p>
                  <w:pPr>
                    <w:pStyle w:val="2"/>
                    <w:spacing w:line="240" w:lineRule="auto"/>
                    <w:ind w:firstLine="0" w:firstLineChars="0"/>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74" w:type="dxa"/>
                  <w:vMerge w:val="continue"/>
                  <w:tcBorders>
                    <w:tl2br w:val="nil"/>
                    <w:tr2bl w:val="nil"/>
                  </w:tcBorders>
                  <w:noWrap w:val="0"/>
                  <w:vAlign w:val="center"/>
                </w:tcPr>
                <w:p>
                  <w:pPr>
                    <w:pStyle w:val="2"/>
                    <w:spacing w:line="240" w:lineRule="auto"/>
                    <w:ind w:firstLine="0" w:firstLineChars="0"/>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总磷</w:t>
                  </w:r>
                </w:p>
              </w:tc>
              <w:tc>
                <w:tcPr>
                  <w:tcW w:w="974" w:type="dxa"/>
                  <w:vMerge w:val="continue"/>
                  <w:tcBorders>
                    <w:tl2br w:val="nil"/>
                    <w:tr2bl w:val="nil"/>
                  </w:tcBorders>
                  <w:noWrap w:val="0"/>
                  <w:vAlign w:val="center"/>
                </w:tcPr>
                <w:p>
                  <w:pPr>
                    <w:pStyle w:val="2"/>
                    <w:spacing w:line="240" w:lineRule="auto"/>
                    <w:ind w:firstLine="0" w:firstLineChars="0"/>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污水处理厂排口</w:t>
                  </w:r>
                </w:p>
              </w:tc>
              <w:tc>
                <w:tcPr>
                  <w:tcW w:w="296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《城镇污水处理厂污染物排放标准》</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（GB18918-2002）</w:t>
                  </w:r>
                </w:p>
              </w:tc>
              <w:tc>
                <w:tcPr>
                  <w:tcW w:w="1187"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表1一级A标准</w:t>
                  </w: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97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无量钢</w:t>
                  </w: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974"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mg/L</w:t>
                  </w: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《关于高质量推进城乡生活</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污水治理三年行动计划的实</w:t>
                  </w:r>
                </w:p>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施意见》</w:t>
                  </w:r>
                </w:p>
              </w:tc>
              <w:tc>
                <w:tcPr>
                  <w:tcW w:w="1187" w:type="dxa"/>
                  <w:vMerge w:val="restart"/>
                  <w:tcBorders>
                    <w:tl2br w:val="nil"/>
                    <w:tr2bl w:val="nil"/>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苏州特别排放</w:t>
                  </w:r>
                </w:p>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限值标准</w:t>
                  </w: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974"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74"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w:t>
                  </w:r>
                  <w:r>
                    <w:rPr>
                      <w:rFonts w:hint="eastAsia" w:cs="Times New Roman"/>
                      <w:color w:val="auto"/>
                      <w:sz w:val="21"/>
                      <w:szCs w:val="21"/>
                      <w:lang w:val="en-US" w:eastAsia="zh-CN"/>
                    </w:rPr>
                    <w:t>3</w:t>
                  </w: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3"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2962"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187"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464" w:type="dxa"/>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总磷</w:t>
                  </w:r>
                </w:p>
              </w:tc>
              <w:tc>
                <w:tcPr>
                  <w:tcW w:w="974" w:type="dxa"/>
                  <w:vMerge w:val="continue"/>
                  <w:tcBorders>
                    <w:tl2br w:val="nil"/>
                    <w:tr2bl w:val="nil"/>
                  </w:tcBorders>
                  <w:noWrap w:val="0"/>
                  <w:vAlign w:val="center"/>
                </w:tcPr>
                <w:p>
                  <w:pPr>
                    <w:spacing w:line="240" w:lineRule="auto"/>
                    <w:jc w:val="center"/>
                    <w:rPr>
                      <w:rFonts w:hint="default" w:ascii="Times New Roman" w:hAnsi="Times New Roman" w:cs="Times New Roman"/>
                      <w:color w:val="auto"/>
                      <w:sz w:val="21"/>
                      <w:szCs w:val="21"/>
                    </w:rPr>
                  </w:pPr>
                </w:p>
              </w:tc>
              <w:tc>
                <w:tcPr>
                  <w:tcW w:w="1503" w:type="dxa"/>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0.</w:t>
                  </w:r>
                  <w:r>
                    <w:rPr>
                      <w:rFonts w:hint="eastAsia" w:cs="Times New Roman"/>
                      <w:color w:val="auto"/>
                      <w:sz w:val="21"/>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注：1、括号外数值为水温＞12℃时的控制指标，括号内数值为水温≤12℃时的控制指标。</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outlineLvl w:val="9"/>
              <w:rPr>
                <w:rFonts w:hint="eastAsia" w:ascii="Times New Roman" w:hAnsi="Times New Roman" w:eastAsia="宋体" w:cs="Times New Roman"/>
                <w:b/>
                <w:bCs/>
                <w:color w:val="auto"/>
                <w:sz w:val="18"/>
                <w:szCs w:val="18"/>
                <w:lang w:eastAsia="zh-CN"/>
              </w:rPr>
            </w:pPr>
            <w:r>
              <w:rPr>
                <w:rFonts w:hint="default" w:ascii="Times New Roman" w:hAnsi="Times New Roman" w:cs="Times New Roman"/>
                <w:b/>
                <w:bCs/>
                <w:color w:val="auto"/>
                <w:sz w:val="18"/>
                <w:szCs w:val="18"/>
              </w:rPr>
              <w:t>2 、 《 太 湖 地 区 城 镇 污 水 处 理 厂 及 重 点 工 业 行 业 主 要 水 污 染 物 排 放 限 值 》(DB32/T1072-2018）现有污水处理厂氨氮仍执行《太湖地区城镇污水处理厂及重点工业行业主要水污染物排放限值》(DB32/T1072-2007）中 5（8）mg/L 标准，自 2021 年 1 月 1 日起氨氮执行 4（6）mg/L 标准</w:t>
            </w:r>
            <w:r>
              <w:rPr>
                <w:rFonts w:hint="eastAsia" w:ascii="Times New Roman" w:hAnsi="Times New Roman" w:cs="Times New Roman"/>
                <w:b/>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outlineLvl w:val="9"/>
              <w:rPr>
                <w:rFonts w:hint="eastAsia" w:eastAsia="宋体"/>
                <w:sz w:val="21"/>
                <w:szCs w:val="21"/>
                <w:lang w:val="en-US" w:eastAsia="zh-CN"/>
              </w:rPr>
            </w:pPr>
            <w:r>
              <w:rPr>
                <w:rFonts w:hint="default" w:ascii="Times New Roman" w:hAnsi="Times New Roman" w:cs="Times New Roman"/>
                <w:b/>
                <w:bCs/>
                <w:color w:val="auto"/>
                <w:sz w:val="18"/>
                <w:szCs w:val="18"/>
              </w:rPr>
              <w:t>3、全市生活污水处理厂 2021 年 1 月 1 日起按照苏州特别限值标准考核，根据《城镇污水处理厂污染物排放标准》（GB18918-2002）表 4.1/4.2 款规定，取样频率为至少每 2h 一次，取24h混合样，以日均值计。</w:t>
            </w:r>
          </w:p>
          <w:p>
            <w:pPr>
              <w:spacing w:line="460" w:lineRule="exact"/>
              <w:ind w:firstLine="482" w:firstLineChars="200"/>
              <w:rPr>
                <w:b/>
                <w:bCs/>
              </w:rPr>
            </w:pPr>
            <w:r>
              <w:rPr>
                <w:b/>
                <w:bCs/>
              </w:rPr>
              <w:t>2、废气排放标准</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hAnsi="宋体"/>
              </w:rPr>
              <w:t xml:space="preserve"> </w:t>
            </w:r>
            <w:r>
              <w:rPr>
                <w:rFonts w:hint="eastAsia" w:ascii="宋体" w:hAnsi="宋体" w:eastAsia="宋体" w:cs="宋体"/>
                <w:color w:val="000000"/>
                <w:kern w:val="0"/>
                <w:sz w:val="24"/>
                <w:szCs w:val="24"/>
                <w:lang w:val="en-US" w:eastAsia="zh-CN" w:bidi="ar"/>
              </w:rPr>
              <w:t>本项目产生的主要污染物为非甲烷总烃、颗粒物，排放执行《大气污染物综合排放标准》（</w:t>
            </w:r>
            <w:r>
              <w:rPr>
                <w:rFonts w:hint="default" w:ascii="Times New Roman" w:hAnsi="Times New Roman" w:eastAsia="宋体" w:cs="Times New Roman"/>
                <w:color w:val="000000"/>
                <w:kern w:val="0"/>
                <w:sz w:val="24"/>
                <w:szCs w:val="24"/>
                <w:lang w:val="en-US" w:eastAsia="zh-CN" w:bidi="ar"/>
              </w:rPr>
              <w:t>GB16297-1996</w:t>
            </w:r>
            <w:r>
              <w:rPr>
                <w:rFonts w:hint="eastAsia" w:ascii="宋体" w:hAnsi="宋体" w:eastAsia="宋体" w:cs="宋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中排放标准。无组织非甲烷总烃执行《挥发性有机物无组织排放控制标准》（</w:t>
            </w:r>
            <w:r>
              <w:rPr>
                <w:rFonts w:hint="default" w:ascii="Times New Roman" w:hAnsi="Times New Roman" w:eastAsia="宋体" w:cs="Times New Roman"/>
                <w:color w:val="000000"/>
                <w:kern w:val="0"/>
                <w:sz w:val="24"/>
                <w:szCs w:val="24"/>
                <w:lang w:val="en-US" w:eastAsia="zh-CN" w:bidi="ar"/>
              </w:rPr>
              <w:t>GB37822-2019</w:t>
            </w:r>
            <w:r>
              <w:rPr>
                <w:rFonts w:hint="eastAsia" w:ascii="宋体" w:hAnsi="宋体" w:eastAsia="宋体" w:cs="宋体"/>
                <w:color w:val="000000"/>
                <w:kern w:val="0"/>
                <w:sz w:val="24"/>
                <w:szCs w:val="24"/>
                <w:lang w:val="en-US" w:eastAsia="zh-CN" w:bidi="ar"/>
              </w:rPr>
              <w:t xml:space="preserve">），具体标准值见表 </w:t>
            </w:r>
            <w:r>
              <w:rPr>
                <w:rFonts w:hint="default" w:ascii="Times New Roman" w:hAnsi="Times New Roman" w:eastAsia="宋体" w:cs="Times New Roman"/>
                <w:color w:val="000000"/>
                <w:kern w:val="0"/>
                <w:sz w:val="24"/>
                <w:szCs w:val="24"/>
                <w:lang w:val="en-US" w:eastAsia="zh-CN" w:bidi="ar"/>
              </w:rPr>
              <w:t>4-5</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表 </w:t>
            </w:r>
            <w:r>
              <w:rPr>
                <w:rFonts w:hint="default" w:ascii="Times New Roman" w:hAnsi="Times New Roman" w:eastAsia="宋体" w:cs="Times New Roman"/>
                <w:b/>
                <w:color w:val="000000"/>
                <w:kern w:val="0"/>
                <w:sz w:val="24"/>
                <w:szCs w:val="24"/>
                <w:lang w:val="en-US" w:eastAsia="zh-CN" w:bidi="ar"/>
              </w:rPr>
              <w:t xml:space="preserve">4-5 </w:t>
            </w:r>
            <w:r>
              <w:rPr>
                <w:rFonts w:hint="eastAsia" w:ascii="宋体" w:hAnsi="宋体" w:eastAsia="宋体" w:cs="宋体"/>
                <w:b/>
                <w:color w:val="000000"/>
                <w:kern w:val="0"/>
                <w:sz w:val="24"/>
                <w:szCs w:val="24"/>
                <w:lang w:val="en-US" w:eastAsia="zh-CN" w:bidi="ar"/>
              </w:rPr>
              <w:t>大气污染物排放标准</w:t>
            </w:r>
          </w:p>
          <w:tbl>
            <w:tblPr>
              <w:tblStyle w:val="27"/>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698"/>
              <w:gridCol w:w="943"/>
              <w:gridCol w:w="668"/>
              <w:gridCol w:w="1013"/>
              <w:gridCol w:w="2162"/>
              <w:gridCol w:w="2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污染因子</w:t>
                  </w:r>
                </w:p>
              </w:tc>
              <w:tc>
                <w:tcPr>
                  <w:tcW w:w="390"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最高允许排放浓度</w:t>
                  </w:r>
                </w:p>
              </w:tc>
              <w:tc>
                <w:tcPr>
                  <w:tcW w:w="900" w:type="pct"/>
                  <w:gridSpan w:val="2"/>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最高允许排放速率（kg/h）</w:t>
                  </w:r>
                </w:p>
              </w:tc>
              <w:tc>
                <w:tcPr>
                  <w:tcW w:w="1775" w:type="pct"/>
                  <w:gridSpan w:val="2"/>
                  <w:noWrap w:val="0"/>
                  <w:vAlign w:val="center"/>
                </w:tcPr>
                <w:p>
                  <w:pPr>
                    <w:bidi w:val="0"/>
                    <w:spacing w:line="240" w:lineRule="auto"/>
                    <w:jc w:val="center"/>
                    <w:rPr>
                      <w:rFonts w:hint="eastAsia"/>
                      <w:sz w:val="21"/>
                      <w:szCs w:val="21"/>
                      <w:vertAlign w:val="baseline"/>
                      <w:lang w:val="en-US" w:eastAsia="zh-CN"/>
                    </w:rPr>
                  </w:pPr>
                  <w:r>
                    <w:rPr>
                      <w:rFonts w:hint="eastAsia"/>
                      <w:sz w:val="21"/>
                      <w:szCs w:val="21"/>
                      <w:vertAlign w:val="baseline"/>
                      <w:lang w:val="en-US" w:eastAsia="zh-CN"/>
                    </w:rPr>
                    <w:t>无组织排放浓度限值</w:t>
                  </w:r>
                </w:p>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（mg/m</w:t>
                  </w:r>
                  <w:r>
                    <w:rPr>
                      <w:rFonts w:hint="eastAsia"/>
                      <w:sz w:val="21"/>
                      <w:szCs w:val="21"/>
                      <w:vertAlign w:val="superscript"/>
                      <w:lang w:val="en-US" w:eastAsia="zh-CN"/>
                    </w:rPr>
                    <w:t>3</w:t>
                  </w:r>
                  <w:r>
                    <w:rPr>
                      <w:rFonts w:hint="eastAsia"/>
                      <w:sz w:val="21"/>
                      <w:szCs w:val="21"/>
                      <w:vertAlign w:val="baseline"/>
                      <w:lang w:val="en-US" w:eastAsia="zh-CN"/>
                    </w:rPr>
                    <w:t>）</w:t>
                  </w:r>
                </w:p>
              </w:tc>
              <w:tc>
                <w:tcPr>
                  <w:tcW w:w="1187" w:type="pct"/>
                  <w:vMerge w:val="restart"/>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vMerge w:val="continue"/>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p>
              </w:tc>
              <w:tc>
                <w:tcPr>
                  <w:tcW w:w="390" w:type="pct"/>
                  <w:vMerge w:val="continue"/>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p>
              </w:tc>
              <w:tc>
                <w:tcPr>
                  <w:tcW w:w="527" w:type="pct"/>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排放高度（m）</w:t>
                  </w:r>
                </w:p>
              </w:tc>
              <w:tc>
                <w:tcPr>
                  <w:tcW w:w="373" w:type="pct"/>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二级</w:t>
                  </w:r>
                </w:p>
              </w:tc>
              <w:tc>
                <w:tcPr>
                  <w:tcW w:w="566" w:type="pct"/>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监控点</w:t>
                  </w:r>
                </w:p>
              </w:tc>
              <w:tc>
                <w:tcPr>
                  <w:tcW w:w="1208" w:type="pct"/>
                  <w:tcBorders>
                    <w:bottom w:val="single" w:color="auto" w:sz="12" w:space="0"/>
                  </w:tcBorders>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浓度</w:t>
                  </w:r>
                </w:p>
              </w:tc>
              <w:tc>
                <w:tcPr>
                  <w:tcW w:w="1187" w:type="pct"/>
                  <w:vMerge w:val="continue"/>
                  <w:tcBorders>
                    <w:top w:val="single" w:color="auto" w:sz="12" w:space="0"/>
                    <w:bottom w:val="single" w:color="auto" w:sz="12" w:space="0"/>
                  </w:tcBorders>
                  <w:noWrap w:val="0"/>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非甲烷总烃</w:t>
                  </w:r>
                </w:p>
              </w:tc>
              <w:tc>
                <w:tcPr>
                  <w:tcW w:w="390"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120</w:t>
                  </w:r>
                </w:p>
              </w:tc>
              <w:tc>
                <w:tcPr>
                  <w:tcW w:w="527"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15</w:t>
                  </w:r>
                </w:p>
              </w:tc>
              <w:tc>
                <w:tcPr>
                  <w:tcW w:w="373"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10</w:t>
                  </w:r>
                </w:p>
              </w:tc>
              <w:tc>
                <w:tcPr>
                  <w:tcW w:w="566" w:type="pct"/>
                  <w:vMerge w:val="restart"/>
                  <w:noWrap w:val="0"/>
                  <w:vAlign w:val="center"/>
                </w:tcPr>
                <w:p>
                  <w:pPr>
                    <w:bidi w:val="0"/>
                    <w:spacing w:line="240" w:lineRule="auto"/>
                    <w:jc w:val="center"/>
                    <w:rPr>
                      <w:rFonts w:hint="default"/>
                      <w:sz w:val="21"/>
                      <w:szCs w:val="21"/>
                      <w:vertAlign w:val="baseline"/>
                      <w:lang w:val="en-US" w:eastAsia="zh-CN"/>
                    </w:rPr>
                  </w:pPr>
                </w:p>
              </w:tc>
              <w:tc>
                <w:tcPr>
                  <w:tcW w:w="1208"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4.0</w:t>
                  </w:r>
                </w:p>
              </w:tc>
              <w:tc>
                <w:tcPr>
                  <w:tcW w:w="1187" w:type="pct"/>
                  <w:vMerge w:val="continue"/>
                  <w:noWrap w:val="0"/>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颗粒物</w:t>
                  </w:r>
                </w:p>
              </w:tc>
              <w:tc>
                <w:tcPr>
                  <w:tcW w:w="390"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120</w:t>
                  </w:r>
                </w:p>
              </w:tc>
              <w:tc>
                <w:tcPr>
                  <w:tcW w:w="527"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15</w:t>
                  </w:r>
                </w:p>
              </w:tc>
              <w:tc>
                <w:tcPr>
                  <w:tcW w:w="373"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3.5</w:t>
                  </w:r>
                </w:p>
              </w:tc>
              <w:tc>
                <w:tcPr>
                  <w:tcW w:w="566" w:type="pct"/>
                  <w:vMerge w:val="continue"/>
                  <w:noWrap w:val="0"/>
                  <w:vAlign w:val="center"/>
                </w:tcPr>
                <w:p>
                  <w:pPr>
                    <w:bidi w:val="0"/>
                    <w:spacing w:line="240" w:lineRule="auto"/>
                    <w:jc w:val="center"/>
                    <w:rPr>
                      <w:rFonts w:hint="default"/>
                      <w:sz w:val="21"/>
                      <w:szCs w:val="21"/>
                      <w:vertAlign w:val="baseline"/>
                      <w:lang w:val="en-US" w:eastAsia="zh-CN"/>
                    </w:rPr>
                  </w:pPr>
                </w:p>
              </w:tc>
              <w:tc>
                <w:tcPr>
                  <w:tcW w:w="1208" w:type="pc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1.0</w:t>
                  </w:r>
                </w:p>
              </w:tc>
              <w:tc>
                <w:tcPr>
                  <w:tcW w:w="1187" w:type="pct"/>
                  <w:vMerge w:val="continue"/>
                  <w:noWrap w:val="0"/>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NMHC</w:t>
                  </w:r>
                </w:p>
              </w:tc>
              <w:tc>
                <w:tcPr>
                  <w:tcW w:w="390"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527"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373"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566" w:type="pct"/>
                  <w:vMerge w:val="restart"/>
                  <w:noWrap w:val="0"/>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厂房外设置监控点</w:t>
                  </w:r>
                </w:p>
              </w:tc>
              <w:tc>
                <w:tcPr>
                  <w:tcW w:w="1208" w:type="pct"/>
                  <w:noWrap w:val="0"/>
                  <w:vAlign w:val="center"/>
                </w:tcPr>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6.0（监控点处 1h 平均浓度值）</w:t>
                  </w:r>
                </w:p>
              </w:tc>
              <w:tc>
                <w:tcPr>
                  <w:tcW w:w="1187" w:type="pct"/>
                  <w:vMerge w:val="restart"/>
                  <w:noWrap w:val="0"/>
                  <w:vAlign w:val="center"/>
                </w:tcPr>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《挥发性有机物无组织排放控制标准》（GB37822-2019）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pct"/>
                  <w:vMerge w:val="continue"/>
                  <w:noWrap w:val="0"/>
                  <w:vAlign w:val="center"/>
                </w:tcPr>
                <w:p>
                  <w:pPr>
                    <w:bidi w:val="0"/>
                    <w:spacing w:line="240" w:lineRule="auto"/>
                    <w:jc w:val="center"/>
                  </w:pPr>
                </w:p>
              </w:tc>
              <w:tc>
                <w:tcPr>
                  <w:tcW w:w="390" w:type="pct"/>
                  <w:vMerge w:val="continue"/>
                  <w:noWrap w:val="0"/>
                  <w:vAlign w:val="center"/>
                </w:tcPr>
                <w:p>
                  <w:pPr>
                    <w:bidi w:val="0"/>
                    <w:spacing w:line="240" w:lineRule="auto"/>
                    <w:jc w:val="center"/>
                  </w:pPr>
                </w:p>
              </w:tc>
              <w:tc>
                <w:tcPr>
                  <w:tcW w:w="527" w:type="pct"/>
                  <w:vMerge w:val="continue"/>
                  <w:noWrap w:val="0"/>
                  <w:vAlign w:val="center"/>
                </w:tcPr>
                <w:p>
                  <w:pPr>
                    <w:bidi w:val="0"/>
                    <w:spacing w:line="240" w:lineRule="auto"/>
                    <w:jc w:val="center"/>
                  </w:pPr>
                </w:p>
              </w:tc>
              <w:tc>
                <w:tcPr>
                  <w:tcW w:w="373" w:type="pct"/>
                  <w:vMerge w:val="continue"/>
                  <w:noWrap w:val="0"/>
                  <w:vAlign w:val="center"/>
                </w:tcPr>
                <w:p>
                  <w:pPr>
                    <w:bidi w:val="0"/>
                    <w:spacing w:line="240" w:lineRule="auto"/>
                    <w:jc w:val="center"/>
                  </w:pPr>
                </w:p>
              </w:tc>
              <w:tc>
                <w:tcPr>
                  <w:tcW w:w="566" w:type="pct"/>
                  <w:vMerge w:val="continue"/>
                  <w:noWrap w:val="0"/>
                  <w:vAlign w:val="center"/>
                </w:tcPr>
                <w:p>
                  <w:pPr>
                    <w:bidi w:val="0"/>
                    <w:spacing w:line="240" w:lineRule="auto"/>
                    <w:jc w:val="center"/>
                  </w:pPr>
                </w:p>
              </w:tc>
              <w:tc>
                <w:tcPr>
                  <w:tcW w:w="1208" w:type="pct"/>
                  <w:noWrap w:val="0"/>
                  <w:vAlign w:val="center"/>
                </w:tcPr>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20（监控点处任意一次浓度值）</w:t>
                  </w:r>
                </w:p>
              </w:tc>
              <w:tc>
                <w:tcPr>
                  <w:tcW w:w="1187" w:type="pct"/>
                  <w:vMerge w:val="continue"/>
                  <w:noWrap w:val="0"/>
                  <w:vAlign w:val="center"/>
                </w:tcPr>
                <w:p>
                  <w:pPr>
                    <w:bidi w:val="0"/>
                    <w:spacing w:line="240" w:lineRule="auto"/>
                    <w:jc w:val="center"/>
                    <w:rPr>
                      <w:rFonts w:hint="default"/>
                      <w:sz w:val="21"/>
                      <w:szCs w:val="21"/>
                      <w:vertAlign w:val="baseline"/>
                      <w:lang w:val="en-US" w:eastAsia="zh-CN"/>
                    </w:rPr>
                  </w:pPr>
                </w:p>
              </w:tc>
            </w:tr>
          </w:tbl>
          <w:p>
            <w:pPr>
              <w:jc w:val="left"/>
              <w:rPr>
                <w:bCs/>
              </w:rPr>
            </w:pPr>
            <w:r>
              <w:rPr>
                <w:b/>
                <w:bCs w:val="0"/>
              </w:rPr>
              <w:t>3、环境噪声排放标准</w:t>
            </w:r>
          </w:p>
          <w:p>
            <w:pPr>
              <w:spacing w:line="240" w:lineRule="auto"/>
              <w:jc w:val="center"/>
              <w:rPr>
                <w:b/>
                <w:color w:val="FF0000"/>
                <w:sz w:val="21"/>
                <w:szCs w:val="21"/>
              </w:rPr>
            </w:pPr>
            <w:r>
              <w:rPr>
                <w:b/>
                <w:sz w:val="21"/>
                <w:szCs w:val="21"/>
              </w:rPr>
              <w:t>表4-</w:t>
            </w:r>
            <w:r>
              <w:rPr>
                <w:rFonts w:hint="eastAsia"/>
                <w:b/>
                <w:sz w:val="21"/>
                <w:szCs w:val="21"/>
                <w:lang w:val="en-US" w:eastAsia="zh-CN"/>
              </w:rPr>
              <w:t>6</w:t>
            </w:r>
            <w:r>
              <w:rPr>
                <w:b/>
                <w:sz w:val="21"/>
                <w:szCs w:val="21"/>
              </w:rPr>
              <w:t xml:space="preserve"> 环境噪声排放标准</w:t>
            </w:r>
          </w:p>
          <w:tbl>
            <w:tblPr>
              <w:tblStyle w:val="26"/>
              <w:tblW w:w="893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26"/>
              <w:gridCol w:w="3121"/>
              <w:gridCol w:w="817"/>
              <w:gridCol w:w="1164"/>
              <w:gridCol w:w="1137"/>
              <w:gridCol w:w="11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4" w:hRule="atLeast"/>
                <w:jc w:val="center"/>
              </w:trPr>
              <w:tc>
                <w:tcPr>
                  <w:tcW w:w="1526" w:type="dxa"/>
                  <w:vMerge w:val="restart"/>
                  <w:noWrap w:val="0"/>
                  <w:vAlign w:val="center"/>
                </w:tcPr>
                <w:p>
                  <w:pPr>
                    <w:snapToGrid w:val="0"/>
                    <w:spacing w:line="240" w:lineRule="auto"/>
                    <w:jc w:val="center"/>
                    <w:rPr>
                      <w:sz w:val="21"/>
                      <w:szCs w:val="21"/>
                    </w:rPr>
                  </w:pPr>
                  <w:r>
                    <w:rPr>
                      <w:sz w:val="21"/>
                      <w:szCs w:val="21"/>
                    </w:rPr>
                    <w:t>厂界名</w:t>
                  </w:r>
                </w:p>
              </w:tc>
              <w:tc>
                <w:tcPr>
                  <w:tcW w:w="3121" w:type="dxa"/>
                  <w:vMerge w:val="restart"/>
                  <w:noWrap w:val="0"/>
                  <w:vAlign w:val="center"/>
                </w:tcPr>
                <w:p>
                  <w:pPr>
                    <w:snapToGrid w:val="0"/>
                    <w:spacing w:line="240" w:lineRule="auto"/>
                    <w:jc w:val="center"/>
                    <w:rPr>
                      <w:sz w:val="21"/>
                      <w:szCs w:val="21"/>
                    </w:rPr>
                  </w:pPr>
                  <w:r>
                    <w:rPr>
                      <w:sz w:val="21"/>
                      <w:szCs w:val="21"/>
                    </w:rPr>
                    <w:t>执行标准</w:t>
                  </w:r>
                </w:p>
              </w:tc>
              <w:tc>
                <w:tcPr>
                  <w:tcW w:w="817" w:type="dxa"/>
                  <w:vMerge w:val="restart"/>
                  <w:noWrap w:val="0"/>
                  <w:vAlign w:val="center"/>
                </w:tcPr>
                <w:p>
                  <w:pPr>
                    <w:snapToGrid w:val="0"/>
                    <w:spacing w:line="240" w:lineRule="auto"/>
                    <w:jc w:val="center"/>
                    <w:rPr>
                      <w:sz w:val="21"/>
                      <w:szCs w:val="21"/>
                    </w:rPr>
                  </w:pPr>
                  <w:r>
                    <w:rPr>
                      <w:sz w:val="21"/>
                      <w:szCs w:val="21"/>
                    </w:rPr>
                    <w:t>级别</w:t>
                  </w:r>
                </w:p>
              </w:tc>
              <w:tc>
                <w:tcPr>
                  <w:tcW w:w="1164" w:type="dxa"/>
                  <w:vMerge w:val="restart"/>
                  <w:noWrap w:val="0"/>
                  <w:vAlign w:val="center"/>
                </w:tcPr>
                <w:p>
                  <w:pPr>
                    <w:snapToGrid w:val="0"/>
                    <w:spacing w:line="240" w:lineRule="auto"/>
                    <w:jc w:val="center"/>
                    <w:rPr>
                      <w:sz w:val="21"/>
                      <w:szCs w:val="21"/>
                    </w:rPr>
                  </w:pPr>
                  <w:r>
                    <w:rPr>
                      <w:sz w:val="21"/>
                      <w:szCs w:val="21"/>
                    </w:rPr>
                    <w:t>单位</w:t>
                  </w:r>
                </w:p>
              </w:tc>
              <w:tc>
                <w:tcPr>
                  <w:tcW w:w="2308" w:type="dxa"/>
                  <w:gridSpan w:val="2"/>
                  <w:noWrap w:val="0"/>
                  <w:vAlign w:val="center"/>
                </w:tcPr>
                <w:p>
                  <w:pPr>
                    <w:snapToGrid w:val="0"/>
                    <w:spacing w:line="240" w:lineRule="auto"/>
                    <w:jc w:val="center"/>
                    <w:rPr>
                      <w:sz w:val="21"/>
                      <w:szCs w:val="21"/>
                    </w:rPr>
                  </w:pPr>
                  <w:r>
                    <w:rPr>
                      <w:sz w:val="21"/>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64" w:hRule="atLeast"/>
                <w:jc w:val="center"/>
              </w:trPr>
              <w:tc>
                <w:tcPr>
                  <w:tcW w:w="1526" w:type="dxa"/>
                  <w:vMerge w:val="continue"/>
                  <w:noWrap w:val="0"/>
                  <w:vAlign w:val="center"/>
                </w:tcPr>
                <w:p>
                  <w:pPr>
                    <w:snapToGrid w:val="0"/>
                    <w:spacing w:line="240" w:lineRule="auto"/>
                    <w:jc w:val="center"/>
                    <w:rPr>
                      <w:sz w:val="21"/>
                      <w:szCs w:val="21"/>
                    </w:rPr>
                  </w:pPr>
                </w:p>
              </w:tc>
              <w:tc>
                <w:tcPr>
                  <w:tcW w:w="3121" w:type="dxa"/>
                  <w:vMerge w:val="continue"/>
                  <w:noWrap w:val="0"/>
                  <w:vAlign w:val="center"/>
                </w:tcPr>
                <w:p>
                  <w:pPr>
                    <w:snapToGrid w:val="0"/>
                    <w:spacing w:line="240" w:lineRule="auto"/>
                    <w:jc w:val="center"/>
                    <w:rPr>
                      <w:sz w:val="21"/>
                      <w:szCs w:val="21"/>
                    </w:rPr>
                  </w:pPr>
                </w:p>
              </w:tc>
              <w:tc>
                <w:tcPr>
                  <w:tcW w:w="817" w:type="dxa"/>
                  <w:vMerge w:val="continue"/>
                  <w:noWrap w:val="0"/>
                  <w:vAlign w:val="center"/>
                </w:tcPr>
                <w:p>
                  <w:pPr>
                    <w:snapToGrid w:val="0"/>
                    <w:spacing w:line="240" w:lineRule="auto"/>
                    <w:jc w:val="center"/>
                    <w:rPr>
                      <w:sz w:val="21"/>
                      <w:szCs w:val="21"/>
                    </w:rPr>
                  </w:pPr>
                </w:p>
              </w:tc>
              <w:tc>
                <w:tcPr>
                  <w:tcW w:w="1164" w:type="dxa"/>
                  <w:vMerge w:val="continue"/>
                  <w:noWrap w:val="0"/>
                  <w:vAlign w:val="center"/>
                </w:tcPr>
                <w:p>
                  <w:pPr>
                    <w:snapToGrid w:val="0"/>
                    <w:spacing w:line="240" w:lineRule="auto"/>
                    <w:jc w:val="center"/>
                    <w:rPr>
                      <w:sz w:val="21"/>
                      <w:szCs w:val="21"/>
                    </w:rPr>
                  </w:pPr>
                </w:p>
              </w:tc>
              <w:tc>
                <w:tcPr>
                  <w:tcW w:w="1137" w:type="dxa"/>
                  <w:noWrap w:val="0"/>
                  <w:vAlign w:val="center"/>
                </w:tcPr>
                <w:p>
                  <w:pPr>
                    <w:snapToGrid w:val="0"/>
                    <w:spacing w:line="240" w:lineRule="auto"/>
                    <w:jc w:val="center"/>
                    <w:rPr>
                      <w:sz w:val="21"/>
                      <w:szCs w:val="21"/>
                    </w:rPr>
                  </w:pPr>
                  <w:r>
                    <w:rPr>
                      <w:sz w:val="21"/>
                      <w:szCs w:val="21"/>
                    </w:rPr>
                    <w:t>昼间</w:t>
                  </w:r>
                </w:p>
              </w:tc>
              <w:tc>
                <w:tcPr>
                  <w:tcW w:w="1171" w:type="dxa"/>
                  <w:noWrap w:val="0"/>
                  <w:vAlign w:val="center"/>
                </w:tcPr>
                <w:p>
                  <w:pPr>
                    <w:snapToGrid w:val="0"/>
                    <w:spacing w:line="240" w:lineRule="auto"/>
                    <w:jc w:val="center"/>
                    <w:rPr>
                      <w:sz w:val="21"/>
                      <w:szCs w:val="21"/>
                    </w:rPr>
                  </w:pPr>
                  <w:r>
                    <w:rPr>
                      <w:sz w:val="21"/>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1526" w:type="dxa"/>
                  <w:noWrap w:val="0"/>
                  <w:vAlign w:val="center"/>
                </w:tcPr>
                <w:p>
                  <w:pPr>
                    <w:snapToGrid w:val="0"/>
                    <w:spacing w:line="240" w:lineRule="auto"/>
                    <w:jc w:val="center"/>
                    <w:rPr>
                      <w:sz w:val="21"/>
                      <w:szCs w:val="21"/>
                    </w:rPr>
                  </w:pPr>
                  <w:r>
                    <w:rPr>
                      <w:sz w:val="21"/>
                      <w:szCs w:val="21"/>
                    </w:rPr>
                    <w:t>东、南、西、北厂界</w:t>
                  </w:r>
                </w:p>
              </w:tc>
              <w:tc>
                <w:tcPr>
                  <w:tcW w:w="3121" w:type="dxa"/>
                  <w:noWrap w:val="0"/>
                  <w:vAlign w:val="center"/>
                </w:tcPr>
                <w:p>
                  <w:pPr>
                    <w:snapToGrid w:val="0"/>
                    <w:spacing w:line="240" w:lineRule="auto"/>
                    <w:jc w:val="center"/>
                    <w:rPr>
                      <w:sz w:val="21"/>
                      <w:szCs w:val="21"/>
                    </w:rPr>
                  </w:pPr>
                  <w:r>
                    <w:rPr>
                      <w:sz w:val="21"/>
                      <w:szCs w:val="21"/>
                    </w:rPr>
                    <w:t>《工业企业厂界环境噪声排放标准》（GB12348-2008）</w:t>
                  </w:r>
                </w:p>
              </w:tc>
              <w:tc>
                <w:tcPr>
                  <w:tcW w:w="817" w:type="dxa"/>
                  <w:noWrap w:val="0"/>
                  <w:vAlign w:val="center"/>
                </w:tcPr>
                <w:p>
                  <w:pPr>
                    <w:snapToGrid w:val="0"/>
                    <w:spacing w:line="240" w:lineRule="auto"/>
                    <w:jc w:val="center"/>
                    <w:rPr>
                      <w:sz w:val="21"/>
                      <w:szCs w:val="21"/>
                    </w:rPr>
                  </w:pPr>
                  <w:r>
                    <w:rPr>
                      <w:sz w:val="21"/>
                      <w:szCs w:val="21"/>
                    </w:rPr>
                    <w:t>3</w:t>
                  </w:r>
                </w:p>
              </w:tc>
              <w:tc>
                <w:tcPr>
                  <w:tcW w:w="1164" w:type="dxa"/>
                  <w:noWrap w:val="0"/>
                  <w:vAlign w:val="center"/>
                </w:tcPr>
                <w:p>
                  <w:pPr>
                    <w:snapToGrid w:val="0"/>
                    <w:spacing w:line="240" w:lineRule="auto"/>
                    <w:jc w:val="center"/>
                    <w:rPr>
                      <w:sz w:val="21"/>
                      <w:szCs w:val="21"/>
                    </w:rPr>
                  </w:pPr>
                  <w:r>
                    <w:rPr>
                      <w:sz w:val="21"/>
                      <w:szCs w:val="21"/>
                    </w:rPr>
                    <w:t>dB(A)</w:t>
                  </w:r>
                </w:p>
              </w:tc>
              <w:tc>
                <w:tcPr>
                  <w:tcW w:w="1137" w:type="dxa"/>
                  <w:noWrap w:val="0"/>
                  <w:vAlign w:val="center"/>
                </w:tcPr>
                <w:p>
                  <w:pPr>
                    <w:snapToGrid w:val="0"/>
                    <w:spacing w:line="240" w:lineRule="auto"/>
                    <w:jc w:val="center"/>
                    <w:rPr>
                      <w:sz w:val="21"/>
                      <w:szCs w:val="21"/>
                    </w:rPr>
                  </w:pPr>
                  <w:r>
                    <w:rPr>
                      <w:sz w:val="21"/>
                      <w:szCs w:val="21"/>
                    </w:rPr>
                    <w:t>65</w:t>
                  </w:r>
                </w:p>
              </w:tc>
              <w:tc>
                <w:tcPr>
                  <w:tcW w:w="1171" w:type="dxa"/>
                  <w:noWrap w:val="0"/>
                  <w:vAlign w:val="center"/>
                </w:tcPr>
                <w:p>
                  <w:pPr>
                    <w:snapToGrid w:val="0"/>
                    <w:spacing w:line="240" w:lineRule="auto"/>
                    <w:jc w:val="center"/>
                    <w:rPr>
                      <w:sz w:val="21"/>
                      <w:szCs w:val="21"/>
                    </w:rPr>
                  </w:pPr>
                  <w:r>
                    <w:rPr>
                      <w:sz w:val="21"/>
                      <w:szCs w:val="21"/>
                    </w:rPr>
                    <w:t>55</w:t>
                  </w:r>
                </w:p>
              </w:tc>
            </w:tr>
          </w:tbl>
          <w:p>
            <w:pPr>
              <w:bidi w:val="0"/>
              <w:rPr>
                <w:b/>
                <w:bCs/>
              </w:rPr>
            </w:pPr>
            <w:r>
              <w:rPr>
                <w:b/>
                <w:bCs/>
              </w:rPr>
              <w:t xml:space="preserve">4、固废污染控制标准 </w:t>
            </w:r>
          </w:p>
          <w:p>
            <w:pPr>
              <w:bidi w:val="0"/>
              <w:ind w:firstLine="480" w:firstLineChars="200"/>
            </w:pPr>
            <w:r>
              <w:t>项目产生的一般工业固体废</w:t>
            </w:r>
            <w:r>
              <w:rPr>
                <w:rFonts w:ascii="Times New Roman" w:hAnsi="Times New Roman" w:cs="Times New Roman"/>
                <w:szCs w:val="28"/>
              </w:rPr>
              <w:t>物贮存按照《一般工业固体废物贮存、处置场污染控制标准》（GB18599-2001）及其修改单要求进行设置，危险固废应按照《危险废物贮存污染控制标准》（GB18597-2001）及其修改单要求进行设置、《关于修订&lt;危险废物贮存污染控制标准&gt;有关意见的复函》（环函[2010]264）及《危险废物收集储存运 输技术规范》（HJ2025-2012）中相关规定要求进行危险废物的包装、贮存设施的选址、设计、运行、安全防护、监测和关闭等要求进行合理的贮存。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jc w:val="center"/>
              <w:rPr>
                <w:rFonts w:hint="eastAsia"/>
                <w:b/>
                <w:bCs/>
                <w:lang w:val="en-US" w:eastAsia="zh-CN"/>
              </w:rPr>
            </w:pPr>
            <w:r>
              <w:t>总量控制指标</w:t>
            </w:r>
          </w:p>
        </w:tc>
        <w:tc>
          <w:tcPr>
            <w:tcW w:w="9164" w:type="dxa"/>
            <w:noWrap w:val="0"/>
            <w:vAlign w:val="center"/>
          </w:tcPr>
          <w:p>
            <w:pPr>
              <w:ind w:firstLine="480" w:firstLineChars="200"/>
              <w:jc w:val="left"/>
            </w:pPr>
            <w:r>
              <w:t>1、根据国务院关于印发《</w:t>
            </w:r>
            <w:r>
              <w:rPr>
                <w:rFonts w:hint="eastAsia"/>
                <w:lang w:eastAsia="zh-CN"/>
              </w:rPr>
              <w:t>“</w:t>
            </w:r>
            <w:r>
              <w:t>十三五</w:t>
            </w:r>
            <w:r>
              <w:rPr>
                <w:rFonts w:hint="eastAsia"/>
                <w:lang w:eastAsia="zh-CN"/>
              </w:rPr>
              <w:t>”</w:t>
            </w:r>
            <w:r>
              <w:t>生态环境保护规划的通知》国发[2016]65号，本项目大气污染物总量控制因子为</w:t>
            </w:r>
            <w:r>
              <w:rPr>
                <w:kern w:val="0"/>
              </w:rPr>
              <w:t>非甲烷总烃，考核因子为</w:t>
            </w:r>
            <w:r>
              <w:t>颗粒物，水污染物总量控制因子COD、氨氮、TP、TN，考核因子为SS。</w:t>
            </w:r>
          </w:p>
          <w:p>
            <w:pPr>
              <w:ind w:firstLine="480" w:firstLineChars="200"/>
              <w:jc w:val="left"/>
            </w:pPr>
            <w:r>
              <w:t>本项目污染物的总量控制指标见下表：</w:t>
            </w:r>
          </w:p>
          <w:p>
            <w:pPr>
              <w:jc w:val="center"/>
              <w:rPr>
                <w:b/>
                <w:color w:val="000000"/>
                <w:sz w:val="21"/>
                <w:szCs w:val="21"/>
              </w:rPr>
            </w:pPr>
            <w:r>
              <w:rPr>
                <w:b/>
                <w:bCs/>
                <w:color w:val="000000"/>
                <w:sz w:val="21"/>
                <w:szCs w:val="21"/>
              </w:rPr>
              <w:t>表4-</w:t>
            </w:r>
            <w:r>
              <w:rPr>
                <w:rFonts w:hint="eastAsia"/>
                <w:b/>
                <w:bCs/>
                <w:color w:val="000000"/>
                <w:sz w:val="21"/>
                <w:szCs w:val="21"/>
                <w:lang w:val="en-US" w:eastAsia="zh-CN"/>
              </w:rPr>
              <w:t>7</w:t>
            </w:r>
            <w:r>
              <w:rPr>
                <w:b/>
                <w:bCs/>
                <w:color w:val="000000"/>
                <w:sz w:val="21"/>
                <w:szCs w:val="21"/>
              </w:rPr>
              <w:t xml:space="preserve"> 本项目污染物排放总量</w:t>
            </w:r>
            <w:r>
              <w:rPr>
                <w:rFonts w:hint="eastAsia"/>
                <w:b/>
                <w:bCs/>
                <w:color w:val="000000"/>
                <w:sz w:val="21"/>
                <w:szCs w:val="21"/>
                <w:lang w:eastAsia="zh-CN"/>
              </w:rPr>
              <w:t>“</w:t>
            </w:r>
            <w:r>
              <w:rPr>
                <w:b/>
                <w:bCs/>
                <w:color w:val="000000"/>
                <w:sz w:val="21"/>
                <w:szCs w:val="21"/>
              </w:rPr>
              <w:t>三本帐</w:t>
            </w:r>
            <w:r>
              <w:rPr>
                <w:rFonts w:hint="eastAsia"/>
                <w:b/>
                <w:bCs/>
                <w:color w:val="000000"/>
                <w:sz w:val="21"/>
                <w:szCs w:val="21"/>
                <w:lang w:eastAsia="zh-CN"/>
              </w:rPr>
              <w:t>”</w:t>
            </w:r>
            <w:r>
              <w:rPr>
                <w:b/>
                <w:color w:val="000000"/>
                <w:sz w:val="21"/>
                <w:szCs w:val="21"/>
              </w:rPr>
              <w:t>（单位：t/a）</w:t>
            </w:r>
          </w:p>
          <w:tbl>
            <w:tblPr>
              <w:tblStyle w:val="26"/>
              <w:tblW w:w="90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
              <w:gridCol w:w="722"/>
              <w:gridCol w:w="1086"/>
              <w:gridCol w:w="883"/>
              <w:gridCol w:w="837"/>
              <w:gridCol w:w="837"/>
              <w:gridCol w:w="839"/>
              <w:gridCol w:w="923"/>
              <w:gridCol w:w="1292"/>
              <w:gridCol w:w="12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restart"/>
                  <w:noWrap w:val="0"/>
                  <w:vAlign w:val="center"/>
                </w:tcPr>
                <w:p>
                  <w:pPr>
                    <w:spacing w:line="240" w:lineRule="auto"/>
                    <w:jc w:val="center"/>
                    <w:rPr>
                      <w:rFonts w:hint="default"/>
                      <w:sz w:val="21"/>
                      <w:szCs w:val="21"/>
                    </w:rPr>
                  </w:pPr>
                  <w:r>
                    <w:rPr>
                      <w:rFonts w:hint="default"/>
                      <w:sz w:val="21"/>
                      <w:szCs w:val="21"/>
                    </w:rPr>
                    <w:t>种类</w:t>
                  </w:r>
                </w:p>
              </w:tc>
              <w:tc>
                <w:tcPr>
                  <w:tcW w:w="1086" w:type="dxa"/>
                  <w:vMerge w:val="restart"/>
                  <w:noWrap w:val="0"/>
                  <w:vAlign w:val="center"/>
                </w:tcPr>
                <w:p>
                  <w:pPr>
                    <w:spacing w:line="240" w:lineRule="auto"/>
                    <w:jc w:val="center"/>
                    <w:rPr>
                      <w:rFonts w:hint="default"/>
                      <w:sz w:val="21"/>
                      <w:szCs w:val="21"/>
                    </w:rPr>
                  </w:pPr>
                  <w:r>
                    <w:rPr>
                      <w:rFonts w:hint="default"/>
                      <w:sz w:val="21"/>
                      <w:szCs w:val="21"/>
                    </w:rPr>
                    <w:t>污染物名称</w:t>
                  </w:r>
                </w:p>
              </w:tc>
              <w:tc>
                <w:tcPr>
                  <w:tcW w:w="883" w:type="dxa"/>
                  <w:vMerge w:val="restart"/>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扩建前排放量</w:t>
                  </w:r>
                </w:p>
              </w:tc>
              <w:tc>
                <w:tcPr>
                  <w:tcW w:w="2513" w:type="dxa"/>
                  <w:gridSpan w:val="3"/>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本工程（改扩建）</w:t>
                  </w:r>
                </w:p>
              </w:tc>
              <w:tc>
                <w:tcPr>
                  <w:tcW w:w="923" w:type="dxa"/>
                  <w:vMerge w:val="restart"/>
                  <w:noWrap w:val="0"/>
                  <w:vAlign w:val="center"/>
                </w:tcPr>
                <w:p>
                  <w:pPr>
                    <w:spacing w:line="240" w:lineRule="auto"/>
                    <w:jc w:val="center"/>
                    <w:rPr>
                      <w:rFonts w:hint="default"/>
                      <w:sz w:val="21"/>
                      <w:szCs w:val="21"/>
                    </w:rPr>
                  </w:pPr>
                  <w:r>
                    <w:rPr>
                      <w:rFonts w:hint="eastAsia"/>
                      <w:sz w:val="21"/>
                      <w:szCs w:val="21"/>
                      <w:lang w:val="en-US" w:eastAsia="zh-CN"/>
                    </w:rPr>
                    <w:t>以老带新</w:t>
                  </w:r>
                  <w:r>
                    <w:rPr>
                      <w:rFonts w:hint="default"/>
                      <w:sz w:val="21"/>
                      <w:szCs w:val="21"/>
                    </w:rPr>
                    <w:t>削减量</w:t>
                  </w:r>
                </w:p>
              </w:tc>
              <w:tc>
                <w:tcPr>
                  <w:tcW w:w="1292" w:type="dxa"/>
                  <w:vMerge w:val="restart"/>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排放增减量</w:t>
                  </w:r>
                </w:p>
              </w:tc>
              <w:tc>
                <w:tcPr>
                  <w:tcW w:w="1243" w:type="dxa"/>
                  <w:vMerge w:val="restart"/>
                  <w:noWrap w:val="0"/>
                  <w:vAlign w:val="center"/>
                </w:tcPr>
                <w:p>
                  <w:pPr>
                    <w:spacing w:line="240" w:lineRule="auto"/>
                    <w:jc w:val="center"/>
                    <w:rPr>
                      <w:rFonts w:hint="default"/>
                      <w:sz w:val="21"/>
                      <w:szCs w:val="21"/>
                    </w:rPr>
                  </w:pPr>
                  <w:r>
                    <w:rPr>
                      <w:rFonts w:hint="eastAsia"/>
                      <w:sz w:val="21"/>
                      <w:szCs w:val="21"/>
                      <w:lang w:val="en-US" w:eastAsia="zh-CN"/>
                    </w:rPr>
                    <w:t>最终排放量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vMerge w:val="continue"/>
                  <w:noWrap w:val="0"/>
                  <w:vAlign w:val="center"/>
                </w:tcPr>
                <w:p>
                  <w:pPr>
                    <w:spacing w:line="240" w:lineRule="auto"/>
                    <w:jc w:val="center"/>
                    <w:rPr>
                      <w:rFonts w:hint="default"/>
                      <w:sz w:val="21"/>
                      <w:szCs w:val="21"/>
                    </w:rPr>
                  </w:pPr>
                </w:p>
              </w:tc>
              <w:tc>
                <w:tcPr>
                  <w:tcW w:w="883" w:type="dxa"/>
                  <w:vMerge w:val="continue"/>
                  <w:noWrap w:val="0"/>
                  <w:vAlign w:val="center"/>
                </w:tcPr>
                <w:p>
                  <w:pPr>
                    <w:spacing w:line="240" w:lineRule="auto"/>
                    <w:jc w:val="center"/>
                    <w:rPr>
                      <w:rFonts w:hint="default"/>
                      <w:sz w:val="21"/>
                      <w:szCs w:val="21"/>
                    </w:rPr>
                  </w:pP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产生量</w:t>
                  </w: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消减量</w:t>
                  </w:r>
                </w:p>
              </w:tc>
              <w:tc>
                <w:tcPr>
                  <w:tcW w:w="839"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排放量</w:t>
                  </w:r>
                </w:p>
              </w:tc>
              <w:tc>
                <w:tcPr>
                  <w:tcW w:w="923" w:type="dxa"/>
                  <w:vMerge w:val="continue"/>
                  <w:noWrap w:val="0"/>
                  <w:vAlign w:val="center"/>
                </w:tcPr>
                <w:p>
                  <w:pPr>
                    <w:spacing w:line="240" w:lineRule="auto"/>
                    <w:jc w:val="center"/>
                    <w:rPr>
                      <w:rFonts w:hint="default"/>
                      <w:sz w:val="21"/>
                      <w:szCs w:val="21"/>
                    </w:rPr>
                  </w:pPr>
                </w:p>
              </w:tc>
              <w:tc>
                <w:tcPr>
                  <w:tcW w:w="1292" w:type="dxa"/>
                  <w:vMerge w:val="continue"/>
                  <w:noWrap w:val="0"/>
                  <w:vAlign w:val="center"/>
                </w:tcPr>
                <w:p>
                  <w:pPr>
                    <w:spacing w:line="240" w:lineRule="auto"/>
                    <w:jc w:val="center"/>
                    <w:rPr>
                      <w:rFonts w:hint="default"/>
                      <w:sz w:val="21"/>
                      <w:szCs w:val="21"/>
                    </w:rPr>
                  </w:pPr>
                </w:p>
              </w:tc>
              <w:tc>
                <w:tcPr>
                  <w:tcW w:w="1243" w:type="dxa"/>
                  <w:vMerge w:val="continue"/>
                  <w:noWrap w:val="0"/>
                  <w:vAlign w:val="center"/>
                </w:tcPr>
                <w:p>
                  <w:pPr>
                    <w:spacing w:line="240" w:lineRule="auto"/>
                    <w:jc w:val="center"/>
                    <w:rPr>
                      <w:rFonts w:hint="default"/>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restart"/>
                  <w:noWrap w:val="0"/>
                  <w:vAlign w:val="center"/>
                </w:tcPr>
                <w:p>
                  <w:pPr>
                    <w:spacing w:line="240" w:lineRule="auto"/>
                    <w:jc w:val="center"/>
                    <w:rPr>
                      <w:rFonts w:hint="default"/>
                      <w:sz w:val="21"/>
                      <w:szCs w:val="21"/>
                    </w:rPr>
                  </w:pPr>
                  <w:r>
                    <w:rPr>
                      <w:rFonts w:hint="default"/>
                      <w:sz w:val="21"/>
                      <w:szCs w:val="21"/>
                    </w:rPr>
                    <w:t>生活污水</w:t>
                  </w:r>
                </w:p>
              </w:tc>
              <w:tc>
                <w:tcPr>
                  <w:tcW w:w="1086" w:type="dxa"/>
                  <w:noWrap w:val="0"/>
                  <w:vAlign w:val="center"/>
                </w:tcPr>
                <w:p>
                  <w:pPr>
                    <w:spacing w:line="240" w:lineRule="auto"/>
                    <w:jc w:val="center"/>
                    <w:rPr>
                      <w:rFonts w:hint="default"/>
                      <w:sz w:val="21"/>
                      <w:szCs w:val="21"/>
                    </w:rPr>
                  </w:pPr>
                  <w:r>
                    <w:rPr>
                      <w:rFonts w:hint="default"/>
                      <w:sz w:val="21"/>
                      <w:szCs w:val="21"/>
                    </w:rPr>
                    <w:t>排水量</w:t>
                  </w:r>
                </w:p>
              </w:tc>
              <w:tc>
                <w:tcPr>
                  <w:tcW w:w="88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260</w:t>
                  </w: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456</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456</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+456</w:t>
                  </w:r>
                </w:p>
              </w:tc>
              <w:tc>
                <w:tcPr>
                  <w:tcW w:w="124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COD</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0.098</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0.3032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SS</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0.05</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0.1868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氨氮</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0.0072</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0.02316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总磷</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0.00096</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0.003648</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0.003648</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t>
                  </w:r>
                  <w:r>
                    <w:rPr>
                      <w:rFonts w:hint="default"/>
                      <w:sz w:val="21"/>
                      <w:szCs w:val="21"/>
                      <w:lang w:val="en-US" w:eastAsia="zh-CN"/>
                    </w:rPr>
                    <w:t>0.003648</w:t>
                  </w:r>
                </w:p>
              </w:tc>
              <w:tc>
                <w:tcPr>
                  <w:tcW w:w="12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0.004608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restart"/>
                  <w:noWrap w:val="0"/>
                  <w:vAlign w:val="center"/>
                </w:tcPr>
                <w:p>
                  <w:pPr>
                    <w:spacing w:line="240" w:lineRule="auto"/>
                    <w:jc w:val="center"/>
                    <w:rPr>
                      <w:rFonts w:hint="default"/>
                      <w:sz w:val="21"/>
                      <w:szCs w:val="21"/>
                    </w:rPr>
                  </w:pPr>
                  <w:r>
                    <w:rPr>
                      <w:rFonts w:hint="default"/>
                      <w:sz w:val="21"/>
                      <w:szCs w:val="21"/>
                    </w:rPr>
                    <w:t>废气</w:t>
                  </w:r>
                </w:p>
              </w:tc>
              <w:tc>
                <w:tcPr>
                  <w:tcW w:w="722" w:type="dxa"/>
                  <w:vMerge w:val="restart"/>
                  <w:noWrap w:val="0"/>
                  <w:vAlign w:val="center"/>
                </w:tcPr>
                <w:p>
                  <w:pPr>
                    <w:spacing w:line="240" w:lineRule="auto"/>
                    <w:jc w:val="center"/>
                    <w:rPr>
                      <w:rFonts w:hint="default"/>
                      <w:sz w:val="21"/>
                      <w:szCs w:val="21"/>
                    </w:rPr>
                  </w:pPr>
                  <w:r>
                    <w:rPr>
                      <w:rFonts w:hint="default"/>
                      <w:sz w:val="21"/>
                      <w:szCs w:val="21"/>
                    </w:rPr>
                    <w:t>有组织</w:t>
                  </w:r>
                </w:p>
              </w:tc>
              <w:tc>
                <w:tcPr>
                  <w:tcW w:w="1086"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废气量m</w:t>
                  </w:r>
                  <w:r>
                    <w:rPr>
                      <w:rFonts w:hint="eastAsia"/>
                      <w:sz w:val="21"/>
                      <w:szCs w:val="21"/>
                      <w:vertAlign w:val="superscript"/>
                      <w:lang w:val="en-US" w:eastAsia="zh-CN"/>
                    </w:rPr>
                    <w:t>3</w:t>
                  </w:r>
                  <w:r>
                    <w:rPr>
                      <w:rFonts w:hint="eastAsia"/>
                      <w:sz w:val="21"/>
                      <w:szCs w:val="21"/>
                      <w:lang w:val="en-US" w:eastAsia="zh-CN"/>
                    </w:rPr>
                    <w:t>/a</w:t>
                  </w:r>
                </w:p>
              </w:tc>
              <w:tc>
                <w:tcPr>
                  <w:tcW w:w="88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960万</w:t>
                  </w:r>
                </w:p>
              </w:tc>
              <w:tc>
                <w:tcPr>
                  <w:tcW w:w="837" w:type="dxa"/>
                  <w:noWrap w:val="0"/>
                  <w:vAlign w:val="center"/>
                </w:tcPr>
                <w:p>
                  <w:pPr>
                    <w:spacing w:line="240" w:lineRule="auto"/>
                    <w:jc w:val="center"/>
                    <w:rPr>
                      <w:rFonts w:hint="default"/>
                      <w:sz w:val="21"/>
                      <w:szCs w:val="21"/>
                      <w:lang w:val="en-US" w:eastAsia="zh-CN"/>
                    </w:rPr>
                  </w:pPr>
                  <w:r>
                    <w:rPr>
                      <w:rFonts w:hint="eastAsia" w:cs="Times New Roman"/>
                      <w:kern w:val="2"/>
                      <w:sz w:val="21"/>
                      <w:szCs w:val="21"/>
                      <w:lang w:val="en-US" w:eastAsia="zh-CN" w:bidi="ar-SA"/>
                    </w:rPr>
                    <w:t>960万</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839"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960万</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+960万</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1920万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continue"/>
                  <w:noWrap w:val="0"/>
                  <w:vAlign w:val="center"/>
                </w:tcPr>
                <w:p>
                  <w:pPr>
                    <w:spacing w:line="240" w:lineRule="auto"/>
                    <w:jc w:val="center"/>
                    <w:rPr>
                      <w:rFonts w:hint="default"/>
                      <w:sz w:val="21"/>
                      <w:szCs w:val="21"/>
                    </w:rPr>
                  </w:pPr>
                </w:p>
              </w:tc>
              <w:tc>
                <w:tcPr>
                  <w:tcW w:w="722" w:type="dxa"/>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sz w:val="21"/>
                      <w:szCs w:val="21"/>
                    </w:rPr>
                    <w:t>非甲烷总烃</w:t>
                  </w:r>
                </w:p>
              </w:tc>
              <w:tc>
                <w:tcPr>
                  <w:tcW w:w="88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0.41</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1.365</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0.135</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0.14</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-0.14</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continue"/>
                  <w:noWrap w:val="0"/>
                  <w:vAlign w:val="center"/>
                </w:tcPr>
                <w:p>
                  <w:pPr>
                    <w:spacing w:line="240" w:lineRule="auto"/>
                    <w:jc w:val="center"/>
                    <w:rPr>
                      <w:rFonts w:hint="default"/>
                      <w:sz w:val="21"/>
                      <w:szCs w:val="21"/>
                    </w:rPr>
                  </w:pPr>
                </w:p>
              </w:tc>
              <w:tc>
                <w:tcPr>
                  <w:tcW w:w="722" w:type="dxa"/>
                  <w:vMerge w:val="restart"/>
                  <w:noWrap w:val="0"/>
                  <w:vAlign w:val="center"/>
                </w:tcPr>
                <w:p>
                  <w:pPr>
                    <w:spacing w:line="240" w:lineRule="auto"/>
                    <w:jc w:val="center"/>
                    <w:rPr>
                      <w:rFonts w:hint="default"/>
                      <w:sz w:val="21"/>
                      <w:szCs w:val="21"/>
                    </w:rPr>
                  </w:pPr>
                  <w:r>
                    <w:rPr>
                      <w:rFonts w:hint="default"/>
                      <w:sz w:val="21"/>
                      <w:szCs w:val="21"/>
                    </w:rPr>
                    <w:t>无组织</w:t>
                  </w:r>
                </w:p>
              </w:tc>
              <w:tc>
                <w:tcPr>
                  <w:tcW w:w="1086" w:type="dxa"/>
                  <w:noWrap w:val="0"/>
                  <w:vAlign w:val="center"/>
                </w:tcPr>
                <w:p>
                  <w:pPr>
                    <w:spacing w:line="240" w:lineRule="auto"/>
                    <w:jc w:val="center"/>
                    <w:rPr>
                      <w:rFonts w:hint="default"/>
                      <w:sz w:val="21"/>
                      <w:szCs w:val="21"/>
                    </w:rPr>
                  </w:pPr>
                  <w:r>
                    <w:rPr>
                      <w:rFonts w:hint="default"/>
                      <w:sz w:val="21"/>
                      <w:szCs w:val="21"/>
                    </w:rPr>
                    <w:t>非甲烷总烃</w:t>
                  </w:r>
                </w:p>
              </w:tc>
              <w:tc>
                <w:tcPr>
                  <w:tcW w:w="88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0.15</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0.15</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0.15</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+0.15</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noWrap w:val="0"/>
                  <w:vAlign w:val="center"/>
                </w:tcPr>
                <w:p>
                  <w:pPr>
                    <w:spacing w:line="240" w:lineRule="auto"/>
                    <w:jc w:val="center"/>
                    <w:rPr>
                      <w:rFonts w:hint="default"/>
                      <w:sz w:val="21"/>
                      <w:szCs w:val="21"/>
                    </w:rPr>
                  </w:pPr>
                </w:p>
              </w:tc>
              <w:tc>
                <w:tcPr>
                  <w:tcW w:w="722" w:type="dxa"/>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颗粒物</w:t>
                  </w:r>
                </w:p>
              </w:tc>
              <w:tc>
                <w:tcPr>
                  <w:tcW w:w="88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0.3</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0.2673</w:t>
                  </w:r>
                </w:p>
              </w:tc>
              <w:tc>
                <w:tcPr>
                  <w:tcW w:w="839"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0.0327</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+0.0327</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0.0327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restart"/>
                  <w:noWrap w:val="0"/>
                  <w:vAlign w:val="center"/>
                </w:tcPr>
                <w:p>
                  <w:pPr>
                    <w:snapToGrid w:val="0"/>
                    <w:spacing w:line="240" w:lineRule="auto"/>
                    <w:ind w:left="-120" w:leftChars="-50" w:right="-120" w:rightChars="-50"/>
                    <w:jc w:val="center"/>
                    <w:rPr>
                      <w:sz w:val="21"/>
                      <w:szCs w:val="21"/>
                    </w:rPr>
                  </w:pPr>
                  <w:r>
                    <w:rPr>
                      <w:sz w:val="21"/>
                      <w:szCs w:val="21"/>
                    </w:rPr>
                    <w:t>固</w:t>
                  </w:r>
                </w:p>
                <w:p>
                  <w:pPr>
                    <w:snapToGrid w:val="0"/>
                    <w:spacing w:line="240" w:lineRule="auto"/>
                    <w:ind w:left="-120" w:leftChars="-50" w:right="-120" w:rightChars="-50"/>
                    <w:jc w:val="center"/>
                    <w:rPr>
                      <w:sz w:val="21"/>
                      <w:szCs w:val="21"/>
                    </w:rPr>
                  </w:pPr>
                  <w:r>
                    <w:rPr>
                      <w:sz w:val="21"/>
                      <w:szCs w:val="21"/>
                    </w:rPr>
                    <w:t>体</w:t>
                  </w:r>
                </w:p>
                <w:p>
                  <w:pPr>
                    <w:snapToGrid w:val="0"/>
                    <w:spacing w:line="240" w:lineRule="auto"/>
                    <w:ind w:left="-120" w:leftChars="-50" w:right="-120" w:rightChars="-50"/>
                    <w:jc w:val="center"/>
                    <w:rPr>
                      <w:sz w:val="21"/>
                      <w:szCs w:val="21"/>
                    </w:rPr>
                  </w:pPr>
                  <w:r>
                    <w:rPr>
                      <w:sz w:val="21"/>
                      <w:szCs w:val="21"/>
                    </w:rPr>
                    <w:t>废</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sz w:val="21"/>
                      <w:szCs w:val="21"/>
                    </w:rPr>
                    <w:t>物</w:t>
                  </w:r>
                </w:p>
              </w:tc>
              <w:tc>
                <w:tcPr>
                  <w:tcW w:w="722" w:type="dxa"/>
                  <w:vMerge w:val="restart"/>
                  <w:noWrap w:val="0"/>
                  <w:vAlign w:val="center"/>
                </w:tcPr>
                <w:p>
                  <w:pPr>
                    <w:snapToGrid w:val="0"/>
                    <w:spacing w:line="240" w:lineRule="auto"/>
                    <w:ind w:left="-120" w:leftChars="-50" w:right="-120" w:rightChars="-50"/>
                    <w:jc w:val="center"/>
                    <w:rPr>
                      <w:rFonts w:hint="eastAsia"/>
                      <w:sz w:val="21"/>
                      <w:szCs w:val="21"/>
                      <w:lang w:val="en-US" w:eastAsia="zh-CN"/>
                    </w:rPr>
                  </w:pPr>
                  <w:r>
                    <w:rPr>
                      <w:rFonts w:hint="eastAsia"/>
                      <w:sz w:val="21"/>
                      <w:szCs w:val="21"/>
                      <w:lang w:val="en-US" w:eastAsia="zh-CN"/>
                    </w:rPr>
                    <w:t>一般</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固废</w:t>
                  </w:r>
                </w:p>
              </w:tc>
              <w:tc>
                <w:tcPr>
                  <w:tcW w:w="1086"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废包装</w:t>
                  </w:r>
                </w:p>
              </w:tc>
              <w:tc>
                <w:tcPr>
                  <w:tcW w:w="88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837"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837"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722" w:type="dxa"/>
                  <w:vMerge w:val="continue"/>
                </w:tcPr>
                <w:p>
                  <w:pPr>
                    <w:spacing w:line="240" w:lineRule="auto"/>
                    <w:jc w:val="center"/>
                    <w:rPr>
                      <w:rFonts w:hint="default"/>
                      <w:sz w:val="21"/>
                      <w:szCs w:val="21"/>
                    </w:rPr>
                  </w:pP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不合格品</w:t>
                  </w:r>
                </w:p>
              </w:tc>
              <w:tc>
                <w:tcPr>
                  <w:tcW w:w="0" w:type="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c>
                <w:tcPr>
                  <w:tcW w:w="837"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c>
                <w:tcPr>
                  <w:tcW w:w="839"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378" w:type="dxa"/>
                  <w:vMerge w:val="continue"/>
                </w:tcPr>
                <w:p>
                  <w:pPr>
                    <w:spacing w:line="240" w:lineRule="auto"/>
                    <w:jc w:val="center"/>
                    <w:rPr>
                      <w:rFonts w:hint="default"/>
                      <w:sz w:val="21"/>
                      <w:szCs w:val="21"/>
                    </w:rPr>
                  </w:pPr>
                </w:p>
              </w:tc>
              <w:tc>
                <w:tcPr>
                  <w:tcW w:w="722" w:type="dxa"/>
                  <w:vMerge w:val="continue"/>
                </w:tcPr>
                <w:p>
                  <w:pPr>
                    <w:spacing w:line="240" w:lineRule="auto"/>
                    <w:jc w:val="center"/>
                    <w:rPr>
                      <w:rFonts w:hint="default"/>
                      <w:sz w:val="21"/>
                      <w:szCs w:val="21"/>
                    </w:rPr>
                  </w:pPr>
                </w:p>
              </w:tc>
              <w:tc>
                <w:tcPr>
                  <w:tcW w:w="0" w:type="auto"/>
                  <w:vAlign w:val="center"/>
                </w:tcPr>
                <w:p>
                  <w:pPr>
                    <w:snapToGrid w:val="0"/>
                    <w:spacing w:line="240" w:lineRule="auto"/>
                    <w:jc w:val="center"/>
                    <w:rPr>
                      <w:rFonts w:hint="eastAsia"/>
                      <w:sz w:val="21"/>
                      <w:szCs w:val="21"/>
                      <w:lang w:val="en-US" w:eastAsia="zh-CN"/>
                    </w:rPr>
                  </w:pPr>
                  <w:r>
                    <w:rPr>
                      <w:rFonts w:hint="eastAsia"/>
                      <w:sz w:val="21"/>
                      <w:szCs w:val="21"/>
                      <w:lang w:val="en-US" w:eastAsia="zh-CN"/>
                    </w:rPr>
                    <w:t>布袋收尘</w:t>
                  </w:r>
                </w:p>
              </w:tc>
              <w:tc>
                <w:tcPr>
                  <w:tcW w:w="0" w:type="auto"/>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0" w:type="auto"/>
                  <w:vAlign w:val="center"/>
                </w:tcPr>
                <w:p>
                  <w:pPr>
                    <w:widowControl/>
                    <w:spacing w:line="240" w:lineRule="auto"/>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0.2673</w:t>
                  </w:r>
                </w:p>
              </w:tc>
              <w:tc>
                <w:tcPr>
                  <w:tcW w:w="837" w:type="dxa"/>
                  <w:vAlign w:val="center"/>
                </w:tcPr>
                <w:p>
                  <w:pPr>
                    <w:widowControl/>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0.2673</w:t>
                  </w:r>
                </w:p>
              </w:tc>
              <w:tc>
                <w:tcPr>
                  <w:tcW w:w="839"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0" w:type="auto"/>
                  <w:vAlign w:val="center"/>
                </w:tcPr>
                <w:p>
                  <w:pPr>
                    <w:snapToGrid w:val="0"/>
                    <w:spacing w:line="240" w:lineRule="auto"/>
                    <w:ind w:left="-120" w:leftChars="-50" w:right="-120" w:rightChars="-50"/>
                    <w:jc w:val="center"/>
                    <w:rPr>
                      <w:rFonts w:hint="eastAsia"/>
                      <w:sz w:val="21"/>
                      <w:szCs w:val="21"/>
                      <w:lang w:val="en-US" w:eastAsia="zh-CN"/>
                    </w:rPr>
                  </w:pPr>
                  <w:r>
                    <w:rPr>
                      <w:rFonts w:hint="eastAsia"/>
                      <w:sz w:val="21"/>
                      <w:szCs w:val="21"/>
                      <w:lang w:val="en-US" w:eastAsia="zh-CN"/>
                    </w:rPr>
                    <w:t>危险</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固废</w:t>
                  </w: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废活性炭</w:t>
                  </w:r>
                </w:p>
              </w:tc>
              <w:tc>
                <w:tcPr>
                  <w:tcW w:w="0" w:type="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837"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839"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1808" w:type="dxa"/>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生活垃圾</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c>
                <w:tcPr>
                  <w:tcW w:w="837" w:type="dxa"/>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c>
                <w:tcPr>
                  <w:tcW w:w="839"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bl>
          <w:p>
            <w:pPr>
              <w:widowControl/>
              <w:ind w:firstLine="420" w:firstLineChars="200"/>
              <w:jc w:val="left"/>
              <w:rPr>
                <w:kern w:val="0"/>
                <w:sz w:val="21"/>
                <w:szCs w:val="18"/>
              </w:rPr>
            </w:pPr>
            <w:r>
              <w:rPr>
                <w:kern w:val="0"/>
                <w:sz w:val="21"/>
                <w:szCs w:val="18"/>
              </w:rPr>
              <w:t>*注：本项目VOCs为非甲烷总烃。</w:t>
            </w:r>
          </w:p>
          <w:p>
            <w:pPr>
              <w:widowControl/>
              <w:ind w:firstLine="480" w:firstLineChars="200"/>
              <w:jc w:val="left"/>
              <w:rPr>
                <w:kern w:val="0"/>
              </w:rPr>
            </w:pPr>
            <w:r>
              <w:rPr>
                <w:kern w:val="0"/>
              </w:rPr>
              <w:t>2、总量控制途径</w:t>
            </w:r>
          </w:p>
          <w:p>
            <w:pPr>
              <w:widowControl/>
              <w:ind w:firstLine="480" w:firstLineChars="200"/>
              <w:jc w:val="left"/>
            </w:pPr>
            <w:r>
              <w:rPr>
                <w:kern w:val="0"/>
              </w:rPr>
              <w:t>本项目生活污水经污水管</w:t>
            </w:r>
            <w:r>
              <w:t>网排入苏州高新区污水处理厂，水污染物总量在苏州高新区污水处理厂削减总量内平衡；大气污染物非甲烷总烃总量指标在苏州高新区平衡。</w:t>
            </w:r>
          </w:p>
        </w:tc>
      </w:tr>
    </w:tbl>
    <w:p>
      <w:r>
        <w:br w:type="page"/>
      </w:r>
    </w:p>
    <w:p>
      <w:pPr>
        <w:pStyle w:val="3"/>
        <w:numPr>
          <w:ilvl w:val="0"/>
          <w:numId w:val="0"/>
        </w:numPr>
        <w:rPr>
          <w:rFonts w:hint="default"/>
        </w:rPr>
      </w:pPr>
      <w:bookmarkStart w:id="8" w:name="_Toc12991"/>
      <w:r>
        <w:rPr>
          <w:rFonts w:hint="eastAsia"/>
          <w:lang w:val="en-US" w:eastAsia="zh-CN"/>
        </w:rPr>
        <w:t>五、</w:t>
      </w:r>
      <w:r>
        <w:rPr>
          <w:rFonts w:hint="default"/>
        </w:rPr>
        <w:t>建设项目工程分析</w:t>
      </w:r>
      <w:bookmarkEnd w:id="8"/>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jc w:val="center"/>
        </w:trPr>
        <w:tc>
          <w:tcPr>
            <w:tcW w:w="9638" w:type="dxa"/>
            <w:tcBorders>
              <w:bottom w:val="single" w:color="auto" w:sz="12" w:space="0"/>
            </w:tcBorders>
            <w:noWrap w:val="0"/>
            <w:vAlign w:val="top"/>
          </w:tcPr>
          <w:p>
            <w:pPr>
              <w:rPr>
                <w:b/>
                <w:bCs/>
              </w:rPr>
            </w:pPr>
            <w:r>
              <w:rPr>
                <w:b/>
                <w:bCs/>
              </w:rPr>
              <w:t>工艺流程简述：</w:t>
            </w:r>
          </w:p>
          <w:p>
            <w:pPr>
              <w:pStyle w:val="2"/>
              <w:ind w:firstLine="0" w:firstLineChars="0"/>
              <w:rPr>
                <w:b/>
                <w:bCs/>
              </w:rPr>
            </w:pPr>
            <w:r>
              <w:rPr>
                <w:b/>
                <w:bCs/>
              </w:rPr>
              <w:t>车流维修：</w:t>
            </w:r>
          </w:p>
          <w:p>
            <w:pPr>
              <w:adjustRightInd w:val="0"/>
              <w:snapToGrid w:val="0"/>
              <w:ind w:left="-120" w:leftChars="-50" w:right="-120" w:rightChars="-50"/>
              <w:jc w:val="center"/>
              <w:rPr>
                <w:rFonts w:hint="eastAsia" w:eastAsia="宋体"/>
                <w:szCs w:val="20"/>
                <w:lang w:eastAsia="zh-CN"/>
              </w:rPr>
            </w:pPr>
            <w:r>
              <w:drawing>
                <wp:inline distT="0" distB="0" distL="114300" distR="114300">
                  <wp:extent cx="5905500" cy="8763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905500" cy="876300"/>
                          </a:xfrm>
                          <a:prstGeom prst="rect">
                            <a:avLst/>
                          </a:prstGeom>
                          <a:noFill/>
                          <a:ln>
                            <a:noFill/>
                          </a:ln>
                        </pic:spPr>
                      </pic:pic>
                    </a:graphicData>
                  </a:graphic>
                </wp:inline>
              </w:drawing>
            </w:r>
          </w:p>
          <w:p>
            <w:pPr>
              <w:spacing w:line="360" w:lineRule="auto"/>
              <w:jc w:val="center"/>
              <w:rPr>
                <w:rFonts w:hint="eastAsia"/>
                <w:b/>
                <w:bCs/>
                <w:sz w:val="21"/>
                <w:szCs w:val="21"/>
              </w:rPr>
            </w:pPr>
            <w:r>
              <w:rPr>
                <w:b/>
                <w:bCs/>
                <w:sz w:val="21"/>
                <w:szCs w:val="21"/>
              </w:rPr>
              <w:t>图5-</w:t>
            </w:r>
            <w:r>
              <w:rPr>
                <w:rFonts w:hint="eastAsia"/>
                <w:b/>
                <w:bCs/>
                <w:sz w:val="21"/>
                <w:szCs w:val="21"/>
                <w:lang w:val="en-US" w:eastAsia="zh-CN"/>
              </w:rPr>
              <w:t>1塑料制品</w:t>
            </w:r>
            <w:r>
              <w:rPr>
                <w:rFonts w:hint="eastAsia"/>
                <w:b/>
                <w:bCs/>
                <w:sz w:val="21"/>
                <w:szCs w:val="21"/>
              </w:rPr>
              <w:t>工艺流程</w:t>
            </w:r>
            <w:r>
              <w:rPr>
                <w:b/>
                <w:bCs/>
                <w:sz w:val="21"/>
                <w:szCs w:val="21"/>
              </w:rPr>
              <w:t>图</w:t>
            </w:r>
          </w:p>
          <w:p>
            <w:pPr>
              <w:adjustRightInd w:val="0"/>
              <w:snapToGrid w:val="0"/>
              <w:spacing w:before="156" w:beforeLines="50" w:line="360" w:lineRule="auto"/>
              <w:rPr>
                <w:rFonts w:hAnsi="宋体"/>
                <w:b/>
                <w:sz w:val="24"/>
              </w:rPr>
            </w:pPr>
            <w:r>
              <w:rPr>
                <w:rFonts w:hint="eastAsia" w:hAnsi="宋体"/>
                <w:b/>
                <w:sz w:val="24"/>
              </w:rPr>
              <w:t>工艺说明</w:t>
            </w:r>
            <w:r>
              <w:rPr>
                <w:rFonts w:hAnsi="宋体"/>
                <w:b/>
                <w:sz w:val="24"/>
              </w:rPr>
              <w:t>：</w:t>
            </w:r>
          </w:p>
          <w:p>
            <w:pPr>
              <w:adjustRightInd w:val="0"/>
              <w:snapToGrid w:val="0"/>
              <w:jc w:val="both"/>
              <w:rPr>
                <w:rFonts w:hint="eastAsia"/>
                <w:sz w:val="24"/>
              </w:rPr>
            </w:pPr>
            <w:r>
              <w:rPr>
                <w:rFonts w:hint="eastAsia"/>
                <w:b/>
                <w:bCs/>
                <w:sz w:val="24"/>
              </w:rPr>
              <w:t>混料：</w:t>
            </w:r>
            <w:r>
              <w:rPr>
                <w:rFonts w:hint="eastAsia"/>
                <w:sz w:val="24"/>
              </w:rPr>
              <w:t>项目首先将所需要的塑料粒子、弹性体和相应的色料母粒通过真空输送装置计量并输送入捏料机中进行混合，</w:t>
            </w:r>
            <w:r>
              <w:rPr>
                <w:rFonts w:hint="eastAsia"/>
                <w:sz w:val="24"/>
                <w:lang w:val="en-US" w:eastAsia="zh-CN"/>
              </w:rPr>
              <w:t>此过程产生颗粒物废气G1、噪声N1，产生粉尘废气集气罩收集，经布袋除尘装置，按照90%的收集率，99%的处理效率，由于排放量较小，经车间无组织排放</w:t>
            </w:r>
            <w:r>
              <w:rPr>
                <w:rFonts w:hint="eastAsia"/>
                <w:sz w:val="24"/>
              </w:rPr>
              <w:t>；</w:t>
            </w:r>
          </w:p>
          <w:p>
            <w:pPr>
              <w:adjustRightInd w:val="0"/>
              <w:snapToGrid w:val="0"/>
              <w:jc w:val="both"/>
              <w:rPr>
                <w:rFonts w:hint="eastAsia"/>
                <w:sz w:val="24"/>
              </w:rPr>
            </w:pPr>
            <w:r>
              <w:rPr>
                <w:rFonts w:hint="eastAsia"/>
                <w:b/>
                <w:bCs/>
                <w:sz w:val="24"/>
              </w:rPr>
              <w:t>挤出成型：</w:t>
            </w:r>
            <w:r>
              <w:rPr>
                <w:rFonts w:hint="eastAsia"/>
                <w:sz w:val="24"/>
              </w:rPr>
              <w:t>由于采用单螺杆挤出机，为预热后的粒子通过螺杆挤出，之后经风冷后成型。挤出过程加热、融熔、增压，温度约 120～160℃，约 0.1%的原料单体会挥发出（G1），主要为烃类气体，</w:t>
            </w:r>
            <w:r>
              <w:rPr>
                <w:rFonts w:hint="eastAsia"/>
                <w:sz w:val="24"/>
                <w:lang w:val="en-US" w:eastAsia="zh-CN"/>
              </w:rPr>
              <w:t>本项目新增塑料粒子1480t，</w:t>
            </w:r>
            <w:r>
              <w:rPr>
                <w:rFonts w:hint="eastAsia"/>
                <w:sz w:val="24"/>
              </w:rPr>
              <w:t>以非甲烷总烃计的量为</w:t>
            </w:r>
            <w:r>
              <w:rPr>
                <w:rFonts w:hint="eastAsia"/>
                <w:sz w:val="24"/>
                <w:lang w:val="en-US" w:eastAsia="zh-CN"/>
              </w:rPr>
              <w:t>1.5</w:t>
            </w:r>
            <w:r>
              <w:rPr>
                <w:rFonts w:hint="eastAsia"/>
                <w:sz w:val="24"/>
              </w:rPr>
              <w:t>t/a，经相应的吸风罩收集后集中通风，风量 4000m</w:t>
            </w:r>
            <w:r>
              <w:rPr>
                <w:rFonts w:hint="eastAsia"/>
                <w:sz w:val="24"/>
                <w:vertAlign w:val="superscript"/>
              </w:rPr>
              <w:t>3</w:t>
            </w:r>
            <w:r>
              <w:rPr>
                <w:rFonts w:hint="eastAsia"/>
                <w:sz w:val="24"/>
              </w:rPr>
              <w:t>/h，按照 90%的收集率，废气经</w:t>
            </w:r>
            <w:r>
              <w:rPr>
                <w:rFonts w:hint="eastAsia"/>
                <w:sz w:val="24"/>
                <w:lang w:val="en-US" w:eastAsia="zh-CN"/>
              </w:rPr>
              <w:t>低温等离子+</w:t>
            </w:r>
            <w:r>
              <w:rPr>
                <w:rFonts w:hint="eastAsia"/>
                <w:sz w:val="24"/>
              </w:rPr>
              <w:t xml:space="preserve">活性炭吸附处理，按照 </w:t>
            </w:r>
            <w:r>
              <w:rPr>
                <w:rFonts w:hint="eastAsia"/>
                <w:sz w:val="24"/>
                <w:lang w:val="en-US" w:eastAsia="zh-CN"/>
              </w:rPr>
              <w:t>9</w:t>
            </w:r>
            <w:r>
              <w:rPr>
                <w:rFonts w:hint="eastAsia"/>
                <w:sz w:val="24"/>
              </w:rPr>
              <w:t>0%的效率，最终达标尾气经 15 米高排气筒外排；</w:t>
            </w:r>
          </w:p>
          <w:p>
            <w:pPr>
              <w:pStyle w:val="2"/>
              <w:ind w:left="0" w:leftChars="0" w:firstLine="0" w:firstLineChars="0"/>
              <w:rPr>
                <w:rFonts w:hint="eastAsia" w:eastAsia="宋体"/>
                <w:lang w:val="en-US" w:eastAsia="zh-CN"/>
              </w:rPr>
            </w:pPr>
            <w:r>
              <w:rPr>
                <w:rFonts w:hint="eastAsia"/>
                <w:b/>
                <w:bCs/>
                <w:sz w:val="24"/>
              </w:rPr>
              <w:t>冷却</w:t>
            </w:r>
            <w:r>
              <w:rPr>
                <w:rFonts w:hint="eastAsia"/>
                <w:b/>
                <w:bCs/>
                <w:sz w:val="24"/>
                <w:lang w:eastAsia="zh-CN"/>
              </w:rPr>
              <w:t>：</w:t>
            </w:r>
            <w:r>
              <w:rPr>
                <w:rFonts w:hint="eastAsia"/>
                <w:sz w:val="24"/>
              </w:rPr>
              <w:t>项目单螺杆挤出机使用过程需要冷却水进行设备的间接冷却，冷却水经冷却塔冷却后循环回用。</w:t>
            </w:r>
          </w:p>
          <w:p>
            <w:pPr>
              <w:pStyle w:val="2"/>
              <w:ind w:firstLine="0" w:firstLineChars="0"/>
              <w:rPr>
                <w:b/>
                <w:bCs/>
              </w:rPr>
            </w:pPr>
            <w:r>
              <w:rPr>
                <w:rFonts w:hint="eastAsia"/>
                <w:b/>
                <w:bCs/>
                <w:sz w:val="24"/>
              </w:rPr>
              <w:t>检验：</w:t>
            </w:r>
            <w:r>
              <w:rPr>
                <w:rFonts w:hint="eastAsia"/>
                <w:b w:val="0"/>
                <w:bCs w:val="0"/>
                <w:sz w:val="24"/>
                <w:lang w:val="en-US" w:eastAsia="zh-CN"/>
              </w:rPr>
              <w:t>塑料管材</w:t>
            </w:r>
            <w:r>
              <w:rPr>
                <w:rFonts w:hint="eastAsia"/>
                <w:sz w:val="24"/>
              </w:rPr>
              <w:t>成型后产品经检验，合格的包装外运出厂，不合格的（S1）经回收外卖；</w:t>
            </w:r>
          </w:p>
          <w:p>
            <w:pPr>
              <w:pStyle w:val="2"/>
              <w:ind w:firstLine="0" w:firstLineChars="0"/>
              <w:rPr>
                <w:b/>
                <w:bCs/>
              </w:rPr>
            </w:pPr>
            <w:r>
              <w:rPr>
                <w:b/>
                <w:bCs/>
              </w:rPr>
              <w:t>主要污染工序：</w:t>
            </w:r>
          </w:p>
          <w:p>
            <w:pPr>
              <w:pStyle w:val="2"/>
              <w:numPr>
                <w:ilvl w:val="0"/>
                <w:numId w:val="3"/>
              </w:numPr>
              <w:ind w:firstLine="0" w:firstLineChars="0"/>
              <w:rPr>
                <w:b/>
                <w:bCs/>
              </w:rPr>
            </w:pPr>
            <w:r>
              <w:rPr>
                <w:b/>
                <w:bCs/>
              </w:rPr>
              <w:t>废水</w:t>
            </w:r>
          </w:p>
          <w:p>
            <w:pPr>
              <w:pStyle w:val="2"/>
              <w:ind w:firstLine="480"/>
            </w:pPr>
            <w:r>
              <w:t>本项目新增员工</w:t>
            </w:r>
            <w:r>
              <w:rPr>
                <w:rFonts w:hint="eastAsia"/>
                <w:lang w:val="en-US" w:eastAsia="zh-CN"/>
              </w:rPr>
              <w:t>后预计达到19</w:t>
            </w:r>
            <w:r>
              <w:t>人，年生产300天，用水量每人100L/d计算，生活用水共计</w:t>
            </w:r>
            <w:r>
              <w:rPr>
                <w:rFonts w:hint="eastAsia"/>
                <w:lang w:val="en-US" w:eastAsia="zh-CN"/>
              </w:rPr>
              <w:t>570</w:t>
            </w:r>
            <w:r>
              <w:t>t，产污系数按0.80计算，产生生活污水</w:t>
            </w:r>
            <w:r>
              <w:rPr>
                <w:rFonts w:hint="eastAsia"/>
                <w:lang w:val="en-US" w:eastAsia="zh-CN"/>
              </w:rPr>
              <w:t>456</w:t>
            </w:r>
            <w:r>
              <w:t>t/a，主要污染因子为COD、SS、NH</w:t>
            </w:r>
            <w:r>
              <w:rPr>
                <w:vertAlign w:val="subscript"/>
              </w:rPr>
              <w:t>3</w:t>
            </w:r>
            <w:r>
              <w:t>-N、TP、TN。</w:t>
            </w:r>
          </w:p>
          <w:p>
            <w:pPr>
              <w:pStyle w:val="2"/>
              <w:ind w:firstLine="0" w:firstLineChars="0"/>
              <w:jc w:val="center"/>
              <w:rPr>
                <w:b/>
                <w:bCs/>
                <w:sz w:val="21"/>
                <w:szCs w:val="21"/>
              </w:rPr>
            </w:pPr>
            <w:r>
              <w:rPr>
                <w:b/>
                <w:bCs/>
                <w:sz w:val="21"/>
                <w:szCs w:val="21"/>
              </w:rPr>
              <w:t>表5-1 水污染物产生和排放情况</w:t>
            </w:r>
          </w:p>
          <w:tbl>
            <w:tblPr>
              <w:tblStyle w:val="26"/>
              <w:tblW w:w="942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50"/>
              <w:gridCol w:w="930"/>
              <w:gridCol w:w="1233"/>
              <w:gridCol w:w="1233"/>
              <w:gridCol w:w="1233"/>
              <w:gridCol w:w="1236"/>
              <w:gridCol w:w="19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66" w:type="dxa"/>
                  <w:vMerge w:val="restart"/>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污染源</w:t>
                  </w:r>
                </w:p>
                <w:p>
                  <w:pPr>
                    <w:pStyle w:val="2"/>
                    <w:spacing w:line="240" w:lineRule="auto"/>
                    <w:ind w:firstLine="0" w:firstLineChars="0"/>
                    <w:jc w:val="center"/>
                    <w:rPr>
                      <w:sz w:val="21"/>
                      <w:szCs w:val="21"/>
                    </w:rPr>
                  </w:pPr>
                  <w:r>
                    <w:rPr>
                      <w:sz w:val="21"/>
                      <w:szCs w:val="21"/>
                    </w:rPr>
                    <w:t>名称</w:t>
                  </w:r>
                </w:p>
              </w:tc>
              <w:tc>
                <w:tcPr>
                  <w:tcW w:w="750" w:type="dxa"/>
                  <w:vMerge w:val="restart"/>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水量</w:t>
                  </w:r>
                </w:p>
                <w:p>
                  <w:pPr>
                    <w:pStyle w:val="2"/>
                    <w:spacing w:line="240" w:lineRule="auto"/>
                    <w:ind w:firstLine="0" w:firstLineChars="0"/>
                    <w:jc w:val="center"/>
                    <w:rPr>
                      <w:sz w:val="21"/>
                      <w:szCs w:val="21"/>
                    </w:rPr>
                  </w:pPr>
                  <w:r>
                    <w:rPr>
                      <w:sz w:val="21"/>
                      <w:szCs w:val="21"/>
                    </w:rPr>
                    <w:t>（t/a）</w:t>
                  </w:r>
                </w:p>
              </w:tc>
              <w:tc>
                <w:tcPr>
                  <w:tcW w:w="930" w:type="dxa"/>
                  <w:vMerge w:val="restart"/>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污染物名称</w:t>
                  </w:r>
                </w:p>
              </w:tc>
              <w:tc>
                <w:tcPr>
                  <w:tcW w:w="2466" w:type="dxa"/>
                  <w:gridSpan w:val="2"/>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产生情况</w:t>
                  </w:r>
                </w:p>
              </w:tc>
              <w:tc>
                <w:tcPr>
                  <w:tcW w:w="2469" w:type="dxa"/>
                  <w:gridSpan w:val="2"/>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排放情况</w:t>
                  </w:r>
                </w:p>
              </w:tc>
              <w:tc>
                <w:tcPr>
                  <w:tcW w:w="1941" w:type="dxa"/>
                  <w:vMerge w:val="restart"/>
                  <w:tcBorders>
                    <w:top w:val="single" w:color="auto" w:sz="12" w:space="0"/>
                    <w:bottom w:val="single" w:color="auto" w:sz="12" w:space="0"/>
                  </w:tcBorders>
                  <w:noWrap w:val="0"/>
                  <w:vAlign w:val="center"/>
                </w:tcPr>
                <w:p>
                  <w:pPr>
                    <w:pStyle w:val="2"/>
                    <w:spacing w:line="240" w:lineRule="auto"/>
                    <w:ind w:firstLine="0" w:firstLineChars="0"/>
                    <w:jc w:val="center"/>
                    <w:rPr>
                      <w:sz w:val="21"/>
                      <w:szCs w:val="21"/>
                    </w:rPr>
                  </w:pPr>
                  <w:r>
                    <w:rPr>
                      <w:sz w:val="21"/>
                      <w:szCs w:val="21"/>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6" w:type="dxa"/>
                  <w:vMerge w:val="continue"/>
                  <w:tcBorders>
                    <w:bottom w:val="single" w:color="auto" w:sz="12" w:space="0"/>
                  </w:tcBorders>
                  <w:noWrap w:val="0"/>
                  <w:vAlign w:val="center"/>
                </w:tcPr>
                <w:p>
                  <w:pPr>
                    <w:pStyle w:val="2"/>
                    <w:spacing w:line="240" w:lineRule="auto"/>
                    <w:jc w:val="center"/>
                    <w:rPr>
                      <w:sz w:val="21"/>
                      <w:szCs w:val="21"/>
                    </w:rPr>
                  </w:pPr>
                </w:p>
              </w:tc>
              <w:tc>
                <w:tcPr>
                  <w:tcW w:w="750" w:type="dxa"/>
                  <w:vMerge w:val="continue"/>
                  <w:tcBorders>
                    <w:bottom w:val="single" w:color="auto" w:sz="12" w:space="0"/>
                  </w:tcBorders>
                  <w:noWrap w:val="0"/>
                  <w:vAlign w:val="center"/>
                </w:tcPr>
                <w:p>
                  <w:pPr>
                    <w:pStyle w:val="2"/>
                    <w:spacing w:line="240" w:lineRule="auto"/>
                    <w:jc w:val="center"/>
                    <w:rPr>
                      <w:sz w:val="21"/>
                      <w:szCs w:val="21"/>
                    </w:rPr>
                  </w:pPr>
                </w:p>
              </w:tc>
              <w:tc>
                <w:tcPr>
                  <w:tcW w:w="930" w:type="dxa"/>
                  <w:vMerge w:val="continue"/>
                  <w:tcBorders>
                    <w:bottom w:val="single" w:color="auto" w:sz="12" w:space="0"/>
                  </w:tcBorders>
                  <w:noWrap w:val="0"/>
                  <w:vAlign w:val="center"/>
                </w:tcPr>
                <w:p>
                  <w:pPr>
                    <w:pStyle w:val="2"/>
                    <w:spacing w:line="240" w:lineRule="auto"/>
                    <w:jc w:val="center"/>
                    <w:rPr>
                      <w:sz w:val="21"/>
                      <w:szCs w:val="21"/>
                    </w:rPr>
                  </w:pPr>
                </w:p>
              </w:tc>
              <w:tc>
                <w:tcPr>
                  <w:tcW w:w="1233"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浓度mg/L</w:t>
                  </w:r>
                </w:p>
              </w:tc>
              <w:tc>
                <w:tcPr>
                  <w:tcW w:w="1233"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产生量t/a</w:t>
                  </w:r>
                </w:p>
              </w:tc>
              <w:tc>
                <w:tcPr>
                  <w:tcW w:w="1233"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浓度mg/L</w:t>
                  </w:r>
                </w:p>
              </w:tc>
              <w:tc>
                <w:tcPr>
                  <w:tcW w:w="1236"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产生量t/a</w:t>
                  </w:r>
                </w:p>
              </w:tc>
              <w:tc>
                <w:tcPr>
                  <w:tcW w:w="1941" w:type="dxa"/>
                  <w:vMerge w:val="continue"/>
                  <w:tcBorders>
                    <w:top w:val="single" w:color="auto" w:sz="12" w:space="0"/>
                    <w:bottom w:val="single" w:color="auto" w:sz="12" w:space="0"/>
                  </w:tcBorders>
                  <w:noWrap w:val="0"/>
                  <w:vAlign w:val="center"/>
                </w:tcPr>
                <w:p>
                  <w:pPr>
                    <w:pStyle w:val="2"/>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6" w:type="dxa"/>
                  <w:vMerge w:val="restart"/>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生活污水</w:t>
                  </w:r>
                </w:p>
              </w:tc>
              <w:tc>
                <w:tcPr>
                  <w:tcW w:w="750" w:type="dxa"/>
                  <w:vMerge w:val="restart"/>
                  <w:tcBorders>
                    <w:top w:val="single" w:color="auto" w:sz="12" w:space="0"/>
                  </w:tcBorders>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456</w:t>
                  </w:r>
                </w:p>
              </w:tc>
              <w:tc>
                <w:tcPr>
                  <w:tcW w:w="930" w:type="dxa"/>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COD</w:t>
                  </w:r>
                </w:p>
              </w:tc>
              <w:tc>
                <w:tcPr>
                  <w:tcW w:w="1233" w:type="dxa"/>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450</w:t>
                  </w:r>
                </w:p>
              </w:tc>
              <w:tc>
                <w:tcPr>
                  <w:tcW w:w="1233" w:type="dxa"/>
                  <w:tcBorders>
                    <w:top w:val="single" w:color="auto" w:sz="12" w:space="0"/>
                  </w:tcBorders>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0.2052</w:t>
                  </w:r>
                </w:p>
              </w:tc>
              <w:tc>
                <w:tcPr>
                  <w:tcW w:w="1233" w:type="dxa"/>
                  <w:tcBorders>
                    <w:top w:val="single" w:color="auto" w:sz="12" w:space="0"/>
                  </w:tcBorders>
                  <w:noWrap w:val="0"/>
                  <w:vAlign w:val="center"/>
                </w:tcPr>
                <w:p>
                  <w:pPr>
                    <w:pStyle w:val="2"/>
                    <w:spacing w:line="240" w:lineRule="auto"/>
                    <w:ind w:firstLine="0" w:firstLineChars="0"/>
                    <w:jc w:val="center"/>
                    <w:rPr>
                      <w:sz w:val="21"/>
                      <w:szCs w:val="21"/>
                    </w:rPr>
                  </w:pPr>
                  <w:r>
                    <w:rPr>
                      <w:sz w:val="21"/>
                      <w:szCs w:val="21"/>
                    </w:rPr>
                    <w:t>450</w:t>
                  </w:r>
                </w:p>
              </w:tc>
              <w:tc>
                <w:tcPr>
                  <w:tcW w:w="1236" w:type="dxa"/>
                  <w:tcBorders>
                    <w:top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1941" w:type="dxa"/>
                  <w:vMerge w:val="restart"/>
                  <w:tcBorders>
                    <w:top w:val="single" w:color="auto" w:sz="12" w:space="0"/>
                    <w:bottom w:val="single" w:color="auto" w:sz="12" w:space="0"/>
                  </w:tcBorders>
                  <w:noWrap w:val="0"/>
                  <w:vAlign w:val="center"/>
                </w:tcPr>
                <w:p>
                  <w:pPr>
                    <w:pStyle w:val="2"/>
                    <w:spacing w:line="240" w:lineRule="auto"/>
                    <w:ind w:firstLine="0" w:firstLineChars="0"/>
                    <w:jc w:val="center"/>
                    <w:rPr>
                      <w:sz w:val="21"/>
                      <w:szCs w:val="21"/>
                    </w:rPr>
                  </w:pPr>
                  <w:r>
                    <w:rPr>
                      <w:kern w:val="0"/>
                      <w:sz w:val="21"/>
                      <w:szCs w:val="18"/>
                    </w:rPr>
                    <w:t>苏州高新区</w:t>
                  </w:r>
                  <w:r>
                    <w:rPr>
                      <w:rFonts w:hint="eastAsia"/>
                      <w:kern w:val="0"/>
                      <w:sz w:val="21"/>
                      <w:szCs w:val="18"/>
                      <w:lang w:val="en-US" w:eastAsia="zh-CN"/>
                    </w:rPr>
                    <w:t>白荡水质净化厂</w:t>
                  </w:r>
                  <w:r>
                    <w:rPr>
                      <w:kern w:val="0"/>
                      <w:sz w:val="21"/>
                      <w:szCs w:val="18"/>
                    </w:rPr>
                    <w:t>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6" w:type="dxa"/>
                  <w:vMerge w:val="continue"/>
                  <w:noWrap w:val="0"/>
                  <w:vAlign w:val="center"/>
                </w:tcPr>
                <w:p>
                  <w:pPr>
                    <w:pStyle w:val="2"/>
                    <w:spacing w:line="240" w:lineRule="auto"/>
                    <w:ind w:firstLine="0" w:firstLineChars="0"/>
                    <w:jc w:val="center"/>
                    <w:rPr>
                      <w:sz w:val="21"/>
                      <w:szCs w:val="21"/>
                    </w:rPr>
                  </w:pPr>
                </w:p>
              </w:tc>
              <w:tc>
                <w:tcPr>
                  <w:tcW w:w="750" w:type="dxa"/>
                  <w:vMerge w:val="continue"/>
                  <w:noWrap w:val="0"/>
                  <w:vAlign w:val="center"/>
                </w:tcPr>
                <w:p>
                  <w:pPr>
                    <w:pStyle w:val="2"/>
                    <w:spacing w:line="240" w:lineRule="auto"/>
                    <w:ind w:firstLine="0" w:firstLineChars="0"/>
                    <w:jc w:val="center"/>
                    <w:rPr>
                      <w:sz w:val="21"/>
                      <w:szCs w:val="21"/>
                    </w:rPr>
                  </w:pPr>
                </w:p>
              </w:tc>
              <w:tc>
                <w:tcPr>
                  <w:tcW w:w="930" w:type="dxa"/>
                  <w:noWrap w:val="0"/>
                  <w:vAlign w:val="center"/>
                </w:tcPr>
                <w:p>
                  <w:pPr>
                    <w:pStyle w:val="2"/>
                    <w:spacing w:line="240" w:lineRule="auto"/>
                    <w:ind w:firstLine="0" w:firstLineChars="0"/>
                    <w:jc w:val="center"/>
                    <w:rPr>
                      <w:sz w:val="21"/>
                      <w:szCs w:val="21"/>
                    </w:rPr>
                  </w:pPr>
                  <w:r>
                    <w:rPr>
                      <w:sz w:val="21"/>
                      <w:szCs w:val="21"/>
                    </w:rPr>
                    <w:t>SS</w:t>
                  </w:r>
                </w:p>
              </w:tc>
              <w:tc>
                <w:tcPr>
                  <w:tcW w:w="1233" w:type="dxa"/>
                  <w:noWrap w:val="0"/>
                  <w:vAlign w:val="center"/>
                </w:tcPr>
                <w:p>
                  <w:pPr>
                    <w:pStyle w:val="2"/>
                    <w:spacing w:line="240" w:lineRule="auto"/>
                    <w:ind w:firstLine="0" w:firstLineChars="0"/>
                    <w:jc w:val="center"/>
                    <w:rPr>
                      <w:sz w:val="21"/>
                      <w:szCs w:val="21"/>
                    </w:rPr>
                  </w:pPr>
                  <w:r>
                    <w:rPr>
                      <w:sz w:val="21"/>
                      <w:szCs w:val="21"/>
                    </w:rPr>
                    <w:t>300</w:t>
                  </w:r>
                </w:p>
              </w:tc>
              <w:tc>
                <w:tcPr>
                  <w:tcW w:w="1233" w:type="dxa"/>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0.1368</w:t>
                  </w:r>
                </w:p>
              </w:tc>
              <w:tc>
                <w:tcPr>
                  <w:tcW w:w="1233" w:type="dxa"/>
                  <w:noWrap w:val="0"/>
                  <w:vAlign w:val="center"/>
                </w:tcPr>
                <w:p>
                  <w:pPr>
                    <w:pStyle w:val="2"/>
                    <w:spacing w:line="240" w:lineRule="auto"/>
                    <w:ind w:firstLine="0" w:firstLineChars="0"/>
                    <w:jc w:val="center"/>
                    <w:rPr>
                      <w:sz w:val="21"/>
                      <w:szCs w:val="21"/>
                    </w:rPr>
                  </w:pPr>
                  <w:r>
                    <w:rPr>
                      <w:sz w:val="21"/>
                      <w:szCs w:val="21"/>
                    </w:rPr>
                    <w:t>300</w:t>
                  </w:r>
                </w:p>
              </w:tc>
              <w:tc>
                <w:tcPr>
                  <w:tcW w:w="1236"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1941" w:type="dxa"/>
                  <w:vMerge w:val="continue"/>
                  <w:tcBorders>
                    <w:top w:val="single" w:color="auto" w:sz="12" w:space="0"/>
                    <w:bottom w:val="single" w:color="auto" w:sz="12" w:space="0"/>
                  </w:tcBorders>
                  <w:noWrap w:val="0"/>
                  <w:vAlign w:val="center"/>
                </w:tcPr>
                <w:p>
                  <w:pPr>
                    <w:pStyle w:val="2"/>
                    <w:spacing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6" w:type="dxa"/>
                  <w:vMerge w:val="continue"/>
                  <w:noWrap w:val="0"/>
                  <w:vAlign w:val="center"/>
                </w:tcPr>
                <w:p>
                  <w:pPr>
                    <w:pStyle w:val="2"/>
                    <w:spacing w:line="240" w:lineRule="auto"/>
                    <w:ind w:firstLine="0" w:firstLineChars="0"/>
                    <w:jc w:val="center"/>
                    <w:rPr>
                      <w:sz w:val="21"/>
                      <w:szCs w:val="21"/>
                    </w:rPr>
                  </w:pPr>
                </w:p>
              </w:tc>
              <w:tc>
                <w:tcPr>
                  <w:tcW w:w="750" w:type="dxa"/>
                  <w:vMerge w:val="continue"/>
                  <w:noWrap w:val="0"/>
                  <w:vAlign w:val="center"/>
                </w:tcPr>
                <w:p>
                  <w:pPr>
                    <w:pStyle w:val="2"/>
                    <w:spacing w:line="240" w:lineRule="auto"/>
                    <w:ind w:firstLine="0" w:firstLineChars="0"/>
                    <w:jc w:val="center"/>
                    <w:rPr>
                      <w:sz w:val="21"/>
                      <w:szCs w:val="21"/>
                    </w:rPr>
                  </w:pPr>
                </w:p>
              </w:tc>
              <w:tc>
                <w:tcPr>
                  <w:tcW w:w="930" w:type="dxa"/>
                  <w:noWrap w:val="0"/>
                  <w:vAlign w:val="center"/>
                </w:tcPr>
                <w:p>
                  <w:pPr>
                    <w:pStyle w:val="2"/>
                    <w:spacing w:line="240" w:lineRule="auto"/>
                    <w:ind w:firstLine="0" w:firstLineChars="0"/>
                    <w:jc w:val="center"/>
                    <w:rPr>
                      <w:sz w:val="21"/>
                      <w:szCs w:val="21"/>
                    </w:rPr>
                  </w:pPr>
                  <w:r>
                    <w:rPr>
                      <w:sz w:val="21"/>
                      <w:szCs w:val="21"/>
                    </w:rPr>
                    <w:t>氨氮</w:t>
                  </w:r>
                </w:p>
              </w:tc>
              <w:tc>
                <w:tcPr>
                  <w:tcW w:w="1233" w:type="dxa"/>
                  <w:noWrap w:val="0"/>
                  <w:vAlign w:val="center"/>
                </w:tcPr>
                <w:p>
                  <w:pPr>
                    <w:pStyle w:val="2"/>
                    <w:spacing w:line="240" w:lineRule="auto"/>
                    <w:ind w:firstLine="0" w:firstLineChars="0"/>
                    <w:jc w:val="center"/>
                    <w:rPr>
                      <w:sz w:val="21"/>
                      <w:szCs w:val="21"/>
                    </w:rPr>
                  </w:pPr>
                  <w:r>
                    <w:rPr>
                      <w:sz w:val="21"/>
                      <w:szCs w:val="21"/>
                    </w:rPr>
                    <w:t>35</w:t>
                  </w:r>
                </w:p>
              </w:tc>
              <w:tc>
                <w:tcPr>
                  <w:tcW w:w="1233" w:type="dxa"/>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0.01596</w:t>
                  </w:r>
                </w:p>
              </w:tc>
              <w:tc>
                <w:tcPr>
                  <w:tcW w:w="1233" w:type="dxa"/>
                  <w:noWrap w:val="0"/>
                  <w:vAlign w:val="center"/>
                </w:tcPr>
                <w:p>
                  <w:pPr>
                    <w:pStyle w:val="2"/>
                    <w:spacing w:line="240" w:lineRule="auto"/>
                    <w:ind w:firstLine="0" w:firstLineChars="0"/>
                    <w:jc w:val="center"/>
                    <w:rPr>
                      <w:sz w:val="21"/>
                      <w:szCs w:val="21"/>
                    </w:rPr>
                  </w:pPr>
                  <w:r>
                    <w:rPr>
                      <w:sz w:val="21"/>
                      <w:szCs w:val="21"/>
                    </w:rPr>
                    <w:t>35</w:t>
                  </w:r>
                </w:p>
              </w:tc>
              <w:tc>
                <w:tcPr>
                  <w:tcW w:w="1236"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1941" w:type="dxa"/>
                  <w:vMerge w:val="continue"/>
                  <w:tcBorders>
                    <w:top w:val="single" w:color="auto" w:sz="12" w:space="0"/>
                    <w:bottom w:val="single" w:color="auto" w:sz="12" w:space="0"/>
                  </w:tcBorders>
                  <w:noWrap w:val="0"/>
                  <w:vAlign w:val="center"/>
                </w:tcPr>
                <w:p>
                  <w:pPr>
                    <w:pStyle w:val="2"/>
                    <w:spacing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6" w:type="dxa"/>
                  <w:vMerge w:val="continue"/>
                  <w:tcBorders>
                    <w:bottom w:val="single" w:color="auto" w:sz="12" w:space="0"/>
                  </w:tcBorders>
                  <w:noWrap w:val="0"/>
                  <w:vAlign w:val="center"/>
                </w:tcPr>
                <w:p>
                  <w:pPr>
                    <w:pStyle w:val="2"/>
                    <w:spacing w:line="240" w:lineRule="auto"/>
                    <w:ind w:firstLine="0" w:firstLineChars="0"/>
                    <w:jc w:val="center"/>
                    <w:rPr>
                      <w:sz w:val="21"/>
                      <w:szCs w:val="21"/>
                    </w:rPr>
                  </w:pPr>
                </w:p>
              </w:tc>
              <w:tc>
                <w:tcPr>
                  <w:tcW w:w="750" w:type="dxa"/>
                  <w:vMerge w:val="continue"/>
                  <w:tcBorders>
                    <w:bottom w:val="single" w:color="auto" w:sz="12" w:space="0"/>
                  </w:tcBorders>
                  <w:noWrap w:val="0"/>
                  <w:vAlign w:val="center"/>
                </w:tcPr>
                <w:p>
                  <w:pPr>
                    <w:pStyle w:val="2"/>
                    <w:spacing w:line="240" w:lineRule="auto"/>
                    <w:ind w:firstLine="0" w:firstLineChars="0"/>
                    <w:jc w:val="center"/>
                    <w:rPr>
                      <w:sz w:val="21"/>
                      <w:szCs w:val="21"/>
                    </w:rPr>
                  </w:pPr>
                </w:p>
              </w:tc>
              <w:tc>
                <w:tcPr>
                  <w:tcW w:w="930"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TP</w:t>
                  </w:r>
                </w:p>
              </w:tc>
              <w:tc>
                <w:tcPr>
                  <w:tcW w:w="1233"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8</w:t>
                  </w:r>
                </w:p>
              </w:tc>
              <w:tc>
                <w:tcPr>
                  <w:tcW w:w="1233" w:type="dxa"/>
                  <w:tcBorders>
                    <w:bottom w:val="single" w:color="auto" w:sz="12" w:space="0"/>
                  </w:tcBorders>
                  <w:noWrap w:val="0"/>
                  <w:vAlign w:val="center"/>
                </w:tcPr>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0.003648</w:t>
                  </w:r>
                </w:p>
              </w:tc>
              <w:tc>
                <w:tcPr>
                  <w:tcW w:w="1233" w:type="dxa"/>
                  <w:tcBorders>
                    <w:bottom w:val="single" w:color="auto" w:sz="12" w:space="0"/>
                  </w:tcBorders>
                  <w:noWrap w:val="0"/>
                  <w:vAlign w:val="center"/>
                </w:tcPr>
                <w:p>
                  <w:pPr>
                    <w:pStyle w:val="2"/>
                    <w:spacing w:line="240" w:lineRule="auto"/>
                    <w:ind w:firstLine="0" w:firstLineChars="0"/>
                    <w:jc w:val="center"/>
                    <w:rPr>
                      <w:sz w:val="21"/>
                      <w:szCs w:val="21"/>
                    </w:rPr>
                  </w:pPr>
                  <w:r>
                    <w:rPr>
                      <w:sz w:val="21"/>
                      <w:szCs w:val="21"/>
                    </w:rPr>
                    <w:t>8</w:t>
                  </w:r>
                </w:p>
              </w:tc>
              <w:tc>
                <w:tcPr>
                  <w:tcW w:w="1236" w:type="dxa"/>
                  <w:tcBorders>
                    <w:bottom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0.003648</w:t>
                  </w:r>
                </w:p>
              </w:tc>
              <w:tc>
                <w:tcPr>
                  <w:tcW w:w="1941" w:type="dxa"/>
                  <w:vMerge w:val="continue"/>
                  <w:tcBorders>
                    <w:top w:val="single" w:color="auto" w:sz="12" w:space="0"/>
                    <w:bottom w:val="single" w:color="auto" w:sz="12" w:space="0"/>
                  </w:tcBorders>
                  <w:noWrap w:val="0"/>
                  <w:vAlign w:val="center"/>
                </w:tcPr>
                <w:p>
                  <w:pPr>
                    <w:pStyle w:val="2"/>
                    <w:spacing w:line="240" w:lineRule="auto"/>
                    <w:ind w:firstLine="0" w:firstLineChars="0"/>
                    <w:jc w:val="center"/>
                    <w:rPr>
                      <w:sz w:val="21"/>
                      <w:szCs w:val="21"/>
                    </w:rPr>
                  </w:pPr>
                </w:p>
              </w:tc>
            </w:tr>
          </w:tbl>
          <w:p>
            <w:pPr>
              <w:pStyle w:val="2"/>
              <w:ind w:firstLine="0" w:firstLineChars="0"/>
              <w:jc w:val="center"/>
              <w:rPr>
                <w:rFonts w:hint="eastAsia" w:eastAsia="宋体"/>
                <w:lang w:eastAsia="zh-CN"/>
              </w:rPr>
            </w:pPr>
            <w:r>
              <w:rPr>
                <w:rFonts w:hint="eastAsia" w:eastAsia="宋体"/>
                <w:lang w:eastAsia="zh-CN"/>
              </w:rPr>
              <w:drawing>
                <wp:inline distT="0" distB="0" distL="114300" distR="114300">
                  <wp:extent cx="4048125" cy="1609725"/>
                  <wp:effectExtent l="0" t="0" r="0" b="8890"/>
                  <wp:docPr id="1" name="图片 1"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平衡"/>
                          <pic:cNvPicPr>
                            <a:picLocks noChangeAspect="1"/>
                          </pic:cNvPicPr>
                        </pic:nvPicPr>
                        <pic:blipFill>
                          <a:blip r:embed="rId11"/>
                          <a:stretch>
                            <a:fillRect/>
                          </a:stretch>
                        </pic:blipFill>
                        <pic:spPr>
                          <a:xfrm>
                            <a:off x="0" y="0"/>
                            <a:ext cx="4048125" cy="1609725"/>
                          </a:xfrm>
                          <a:prstGeom prst="rect">
                            <a:avLst/>
                          </a:prstGeom>
                        </pic:spPr>
                      </pic:pic>
                    </a:graphicData>
                  </a:graphic>
                </wp:inline>
              </w:drawing>
            </w:r>
          </w:p>
          <w:p>
            <w:pPr>
              <w:pStyle w:val="2"/>
              <w:ind w:firstLine="0" w:firstLineChars="0"/>
              <w:jc w:val="center"/>
            </w:pPr>
            <w:r>
              <w:rPr>
                <w:b/>
                <w:bCs/>
                <w:sz w:val="21"/>
                <w:szCs w:val="21"/>
              </w:rPr>
              <w:t xml:space="preserve">图5-3 </w:t>
            </w:r>
            <w:r>
              <w:rPr>
                <w:rFonts w:hint="eastAsia"/>
                <w:b/>
                <w:bCs/>
                <w:sz w:val="21"/>
                <w:szCs w:val="21"/>
                <w:lang w:eastAsia="zh-CN"/>
              </w:rPr>
              <w:t>本</w:t>
            </w:r>
            <w:r>
              <w:rPr>
                <w:b/>
                <w:bCs/>
                <w:sz w:val="21"/>
                <w:szCs w:val="21"/>
              </w:rPr>
              <w:t>项目水平衡</w:t>
            </w:r>
          </w:p>
          <w:p>
            <w:pPr>
              <w:rPr>
                <w:b/>
                <w:bCs/>
              </w:rPr>
            </w:pPr>
            <w:r>
              <w:rPr>
                <w:b/>
                <w:bCs/>
              </w:rPr>
              <w:t>2、废气</w:t>
            </w:r>
          </w:p>
          <w:p>
            <w:pPr>
              <w:pStyle w:val="2"/>
              <w:ind w:left="0" w:leftChars="0" w:firstLine="480" w:firstLineChars="200"/>
              <w:jc w:val="left"/>
              <w:rPr>
                <w:rFonts w:hint="default" w:eastAsia="宋体"/>
                <w:lang w:val="en-US" w:eastAsia="zh-CN"/>
              </w:rPr>
            </w:pPr>
            <w:r>
              <w:rPr>
                <w:rFonts w:hint="eastAsia"/>
                <w:lang w:val="en-US" w:eastAsia="zh-CN"/>
              </w:rPr>
              <w:t>塑料粒子在混料过程中会有颗粒物产生，主要是因为CaCO</w:t>
            </w:r>
            <w:r>
              <w:rPr>
                <w:rFonts w:hint="eastAsia"/>
                <w:vertAlign w:val="subscript"/>
                <w:lang w:val="en-US" w:eastAsia="zh-CN"/>
              </w:rPr>
              <w:t>3</w:t>
            </w:r>
            <w:r>
              <w:rPr>
                <w:rFonts w:hint="eastAsia"/>
                <w:lang w:val="en-US" w:eastAsia="zh-CN"/>
              </w:rPr>
              <w:t>、增塑剂、色母为粉状，在投料口会逸散，根据同类项目类比，产生量约为原料用量的0.1%，本项目塑料粒子均为大颗粒，填充物CaCO</w:t>
            </w:r>
            <w:r>
              <w:rPr>
                <w:rFonts w:hint="eastAsia"/>
                <w:vertAlign w:val="subscript"/>
                <w:lang w:val="en-US" w:eastAsia="zh-CN"/>
              </w:rPr>
              <w:t>3</w:t>
            </w:r>
            <w:r>
              <w:rPr>
                <w:rFonts w:hint="eastAsia"/>
                <w:lang w:val="en-US" w:eastAsia="zh-CN"/>
              </w:rPr>
              <w:t>为粉尘，填充物共计300t/a，则混料工序产生的颗粒物粉尘量约为0.3t/a，设有布袋除尘装置（收集效率按90%计，除尘效率按99%计），则无组织排放量为0.0327t/a，布袋收尘量为0.2673t/a。</w:t>
            </w:r>
          </w:p>
          <w:p>
            <w:pPr>
              <w:pStyle w:val="2"/>
              <w:ind w:left="0" w:leftChars="0" w:firstLine="480" w:firstLineChars="200"/>
              <w:jc w:val="left"/>
              <w:rPr>
                <w:rFonts w:hint="eastAsia"/>
              </w:rPr>
            </w:pPr>
            <w:r>
              <w:rPr>
                <w:rFonts w:hint="eastAsia"/>
              </w:rPr>
              <w:t>项目挤出成型过程在加热、融熔、增压，温度约 120～160℃，有少量塑料粒子中的低分子成分高温受热分解，由于原料均为聚合物大分子，根据经验数据，约 0.1%的有机物会挥发出（G1），以非甲烷总烃计，产生量为</w:t>
            </w:r>
            <w:r>
              <w:rPr>
                <w:rFonts w:hint="eastAsia"/>
                <w:lang w:val="en-US" w:eastAsia="zh-CN"/>
              </w:rPr>
              <w:t>1.5</w:t>
            </w:r>
            <w:r>
              <w:rPr>
                <w:rFonts w:hint="eastAsia"/>
              </w:rPr>
              <w:t>t/a，经</w:t>
            </w:r>
            <w:r>
              <w:rPr>
                <w:rFonts w:hint="eastAsia"/>
                <w:lang w:val="en-US" w:eastAsia="zh-CN"/>
              </w:rPr>
              <w:t>新增</w:t>
            </w:r>
            <w:r>
              <w:rPr>
                <w:rFonts w:hint="eastAsia"/>
              </w:rPr>
              <w:t>吸风罩收集后集中通风，</w:t>
            </w:r>
            <w:r>
              <w:rPr>
                <w:rFonts w:hint="eastAsia"/>
                <w:lang w:val="en-US" w:eastAsia="zh-CN"/>
              </w:rPr>
              <w:t>集气罩</w:t>
            </w:r>
            <w:r>
              <w:rPr>
                <w:rFonts w:hint="eastAsia"/>
              </w:rPr>
              <w:t>风量</w:t>
            </w:r>
            <w:r>
              <w:rPr>
                <w:rFonts w:hint="eastAsia"/>
                <w:lang w:val="en-US" w:eastAsia="zh-CN"/>
              </w:rPr>
              <w:t>4</w:t>
            </w:r>
            <w:r>
              <w:rPr>
                <w:rFonts w:hint="eastAsia"/>
              </w:rPr>
              <w:t>000m</w:t>
            </w:r>
            <w:r>
              <w:rPr>
                <w:rFonts w:hint="eastAsia"/>
                <w:vertAlign w:val="superscript"/>
              </w:rPr>
              <w:t>3</w:t>
            </w:r>
            <w:r>
              <w:rPr>
                <w:rFonts w:hint="eastAsia"/>
              </w:rPr>
              <w:t>/h，按照 90%的收集率，</w:t>
            </w:r>
            <w:r>
              <w:rPr>
                <w:rFonts w:hint="eastAsia"/>
                <w:lang w:val="en-US" w:eastAsia="zh-CN"/>
              </w:rPr>
              <w:t>有组织</w:t>
            </w:r>
            <w:r>
              <w:rPr>
                <w:rFonts w:hint="eastAsia"/>
              </w:rPr>
              <w:t>废气的产生量和产生浓度为</w:t>
            </w:r>
            <w:r>
              <w:rPr>
                <w:rFonts w:hint="eastAsia"/>
                <w:lang w:val="en-US" w:eastAsia="zh-CN"/>
              </w:rPr>
              <w:t>1.35</w:t>
            </w:r>
            <w:r>
              <w:rPr>
                <w:rFonts w:hint="eastAsia"/>
              </w:rPr>
              <w:t>/a（</w:t>
            </w:r>
            <w:r>
              <w:rPr>
                <w:rFonts w:hint="eastAsia"/>
                <w:lang w:val="en-US" w:eastAsia="zh-CN"/>
              </w:rPr>
              <w:t>0.56</w:t>
            </w:r>
            <w:r>
              <w:rPr>
                <w:rFonts w:hint="eastAsia"/>
              </w:rPr>
              <w:t>kg/h）、</w:t>
            </w:r>
            <w:r>
              <w:rPr>
                <w:rFonts w:hint="eastAsia"/>
                <w:lang w:val="en-US" w:eastAsia="zh-CN"/>
              </w:rPr>
              <w:t>141</w:t>
            </w:r>
            <w:r>
              <w:rPr>
                <w:rFonts w:hint="eastAsia"/>
              </w:rPr>
              <w:t>mg/m</w:t>
            </w:r>
            <w:r>
              <w:rPr>
                <w:rFonts w:hint="eastAsia"/>
                <w:vertAlign w:val="superscript"/>
              </w:rPr>
              <w:t>3</w:t>
            </w:r>
            <w:r>
              <w:rPr>
                <w:rFonts w:hint="eastAsia"/>
              </w:rPr>
              <w:t>，之后经</w:t>
            </w:r>
            <w:r>
              <w:rPr>
                <w:rFonts w:hint="eastAsia"/>
                <w:lang w:val="en-US" w:eastAsia="zh-CN"/>
              </w:rPr>
              <w:t>低温等离子+</w:t>
            </w:r>
            <w:r>
              <w:t>活性炭吸附</w:t>
            </w:r>
            <w:r>
              <w:rPr>
                <w:rFonts w:hint="eastAsia"/>
                <w:lang w:val="en-US" w:eastAsia="zh-CN"/>
              </w:rPr>
              <w:t>二级</w:t>
            </w:r>
            <w:r>
              <w:rPr>
                <w:rFonts w:hint="eastAsia"/>
              </w:rPr>
              <w:t>处理，按照</w:t>
            </w:r>
            <w:r>
              <w:rPr>
                <w:rFonts w:hint="eastAsia"/>
                <w:lang w:val="en-US" w:eastAsia="zh-CN"/>
              </w:rPr>
              <w:t>9</w:t>
            </w:r>
            <w:r>
              <w:rPr>
                <w:rFonts w:hint="eastAsia"/>
              </w:rPr>
              <w:t>0%的效率，最终非甲烷总烃的外排量和外排浓度为</w:t>
            </w:r>
            <w:r>
              <w:rPr>
                <w:rFonts w:hint="eastAsia"/>
                <w:lang w:val="en-US" w:eastAsia="zh-CN"/>
              </w:rPr>
              <w:t>0.135</w:t>
            </w:r>
            <w:r>
              <w:rPr>
                <w:rFonts w:hint="eastAsia"/>
              </w:rPr>
              <w:t>t/a（</w:t>
            </w:r>
            <w:r>
              <w:rPr>
                <w:rFonts w:hint="eastAsia"/>
                <w:lang w:val="en-US" w:eastAsia="zh-CN"/>
              </w:rPr>
              <w:t>0.056</w:t>
            </w:r>
            <w:r>
              <w:rPr>
                <w:rFonts w:hint="eastAsia"/>
              </w:rPr>
              <w:t>kg/h）、</w:t>
            </w:r>
            <w:r>
              <w:rPr>
                <w:rFonts w:hint="eastAsia"/>
                <w:lang w:val="en-US" w:eastAsia="zh-CN"/>
              </w:rPr>
              <w:t>14.1</w:t>
            </w:r>
            <w:r>
              <w:rPr>
                <w:rFonts w:hint="eastAsia"/>
              </w:rPr>
              <w:t>mg/m</w:t>
            </w:r>
            <w:r>
              <w:rPr>
                <w:rFonts w:hint="eastAsia"/>
                <w:vertAlign w:val="superscript"/>
              </w:rPr>
              <w:t>3</w:t>
            </w:r>
            <w:r>
              <w:rPr>
                <w:rFonts w:hint="eastAsia"/>
              </w:rPr>
              <w:t>，经1根15米高排气筒外排。</w:t>
            </w:r>
          </w:p>
          <w:p>
            <w:pPr>
              <w:pStyle w:val="2"/>
              <w:ind w:firstLine="480"/>
              <w:jc w:val="left"/>
            </w:pPr>
            <w:r>
              <w:rPr>
                <w:rFonts w:hint="eastAsia"/>
              </w:rPr>
              <w:t>剩余</w:t>
            </w:r>
            <w:r>
              <w:rPr>
                <w:rFonts w:hint="eastAsia"/>
                <w:lang w:val="en-US" w:eastAsia="zh-CN"/>
              </w:rPr>
              <w:t>未捕集及</w:t>
            </w:r>
            <w:r>
              <w:rPr>
                <w:rFonts w:hint="eastAsia"/>
              </w:rPr>
              <w:t>的 0.</w:t>
            </w:r>
            <w:r>
              <w:rPr>
                <w:rFonts w:hint="eastAsia"/>
                <w:lang w:val="en-US" w:eastAsia="zh-CN"/>
              </w:rPr>
              <w:t>3</w:t>
            </w:r>
            <w:r>
              <w:rPr>
                <w:rFonts w:hint="eastAsia"/>
              </w:rPr>
              <w:t>t/a 的非甲烷总烃经车间通风后无组织外排。</w:t>
            </w:r>
          </w:p>
          <w:p>
            <w:pPr>
              <w:adjustRightInd w:val="0"/>
              <w:snapToGrid w:val="0"/>
              <w:ind w:firstLine="422" w:firstLineChars="200"/>
              <w:jc w:val="center"/>
              <w:rPr>
                <w:b/>
                <w:color w:val="FF0000"/>
                <w:sz w:val="21"/>
                <w:szCs w:val="18"/>
              </w:rPr>
            </w:pPr>
            <w:r>
              <w:rPr>
                <w:b/>
                <w:sz w:val="21"/>
                <w:szCs w:val="18"/>
              </w:rPr>
              <w:t>表5-2  本项目有组织废气源强一览表</w:t>
            </w:r>
          </w:p>
          <w:tbl>
            <w:tblPr>
              <w:tblStyle w:val="26"/>
              <w:tblW w:w="0" w:type="auto"/>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41"/>
              <w:gridCol w:w="447"/>
              <w:gridCol w:w="681"/>
              <w:gridCol w:w="598"/>
              <w:gridCol w:w="802"/>
              <w:gridCol w:w="770"/>
              <w:gridCol w:w="678"/>
              <w:gridCol w:w="741"/>
              <w:gridCol w:w="491"/>
              <w:gridCol w:w="765"/>
              <w:gridCol w:w="735"/>
              <w:gridCol w:w="695"/>
              <w:gridCol w:w="545"/>
              <w:gridCol w:w="605"/>
              <w:gridCol w:w="428"/>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1"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排气筒编号</w:t>
                  </w:r>
                </w:p>
              </w:tc>
              <w:tc>
                <w:tcPr>
                  <w:tcW w:w="447"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废气编号</w:t>
                  </w:r>
                </w:p>
              </w:tc>
              <w:tc>
                <w:tcPr>
                  <w:tcW w:w="681"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排气量m</w:t>
                  </w:r>
                  <w:r>
                    <w:rPr>
                      <w:bCs/>
                      <w:sz w:val="18"/>
                      <w:szCs w:val="18"/>
                      <w:vertAlign w:val="superscript"/>
                    </w:rPr>
                    <w:t>3</w:t>
                  </w:r>
                  <w:r>
                    <w:rPr>
                      <w:bCs/>
                      <w:sz w:val="18"/>
                      <w:szCs w:val="18"/>
                    </w:rPr>
                    <w:t>/h</w:t>
                  </w:r>
                </w:p>
              </w:tc>
              <w:tc>
                <w:tcPr>
                  <w:tcW w:w="598"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排放时间h/a</w:t>
                  </w:r>
                </w:p>
              </w:tc>
              <w:tc>
                <w:tcPr>
                  <w:tcW w:w="802"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污染物名称</w:t>
                  </w:r>
                </w:p>
              </w:tc>
              <w:tc>
                <w:tcPr>
                  <w:tcW w:w="2189" w:type="dxa"/>
                  <w:gridSpan w:val="3"/>
                  <w:tcBorders>
                    <w:top w:val="single" w:color="auto" w:sz="12" w:space="0"/>
                  </w:tcBorders>
                  <w:noWrap w:val="0"/>
                  <w:vAlign w:val="center"/>
                </w:tcPr>
                <w:p>
                  <w:pPr>
                    <w:widowControl/>
                    <w:spacing w:line="240" w:lineRule="auto"/>
                    <w:jc w:val="center"/>
                    <w:rPr>
                      <w:bCs/>
                      <w:sz w:val="18"/>
                      <w:szCs w:val="18"/>
                    </w:rPr>
                  </w:pPr>
                  <w:r>
                    <w:rPr>
                      <w:bCs/>
                      <w:sz w:val="18"/>
                      <w:szCs w:val="18"/>
                    </w:rPr>
                    <w:t>污染物产生情况</w:t>
                  </w:r>
                </w:p>
              </w:tc>
              <w:tc>
                <w:tcPr>
                  <w:tcW w:w="491" w:type="dxa"/>
                  <w:vMerge w:val="restart"/>
                  <w:tcBorders>
                    <w:top w:val="single" w:color="auto" w:sz="12" w:space="0"/>
                  </w:tcBorders>
                  <w:noWrap w:val="0"/>
                  <w:vAlign w:val="center"/>
                </w:tcPr>
                <w:p>
                  <w:pPr>
                    <w:widowControl/>
                    <w:spacing w:line="240" w:lineRule="auto"/>
                    <w:jc w:val="center"/>
                    <w:rPr>
                      <w:bCs/>
                      <w:sz w:val="18"/>
                      <w:szCs w:val="18"/>
                    </w:rPr>
                  </w:pPr>
                  <w:r>
                    <w:rPr>
                      <w:bCs/>
                      <w:sz w:val="18"/>
                      <w:szCs w:val="18"/>
                    </w:rPr>
                    <w:t>去除率%</w:t>
                  </w:r>
                </w:p>
              </w:tc>
              <w:tc>
                <w:tcPr>
                  <w:tcW w:w="2195" w:type="dxa"/>
                  <w:gridSpan w:val="3"/>
                  <w:tcBorders>
                    <w:top w:val="single" w:color="auto" w:sz="12" w:space="0"/>
                  </w:tcBorders>
                  <w:noWrap w:val="0"/>
                  <w:vAlign w:val="center"/>
                </w:tcPr>
                <w:p>
                  <w:pPr>
                    <w:widowControl/>
                    <w:spacing w:line="240" w:lineRule="auto"/>
                    <w:jc w:val="center"/>
                    <w:rPr>
                      <w:bCs/>
                      <w:sz w:val="18"/>
                      <w:szCs w:val="18"/>
                    </w:rPr>
                  </w:pPr>
                  <w:r>
                    <w:rPr>
                      <w:bCs/>
                      <w:sz w:val="18"/>
                      <w:szCs w:val="18"/>
                    </w:rPr>
                    <w:t>排放情况</w:t>
                  </w:r>
                </w:p>
              </w:tc>
              <w:tc>
                <w:tcPr>
                  <w:tcW w:w="1150" w:type="dxa"/>
                  <w:gridSpan w:val="2"/>
                  <w:tcBorders>
                    <w:top w:val="single" w:color="auto" w:sz="12" w:space="0"/>
                  </w:tcBorders>
                  <w:noWrap w:val="0"/>
                  <w:vAlign w:val="center"/>
                </w:tcPr>
                <w:p>
                  <w:pPr>
                    <w:widowControl/>
                    <w:spacing w:line="240" w:lineRule="auto"/>
                    <w:jc w:val="center"/>
                    <w:rPr>
                      <w:bCs/>
                      <w:sz w:val="18"/>
                      <w:szCs w:val="18"/>
                    </w:rPr>
                  </w:pPr>
                  <w:r>
                    <w:rPr>
                      <w:bCs/>
                      <w:sz w:val="18"/>
                      <w:szCs w:val="18"/>
                    </w:rPr>
                    <w:t>排放标准</w:t>
                  </w:r>
                </w:p>
              </w:tc>
              <w:tc>
                <w:tcPr>
                  <w:tcW w:w="428" w:type="dxa"/>
                  <w:vMerge w:val="restart"/>
                  <w:tcBorders>
                    <w:top w:val="single" w:color="auto" w:sz="12" w:space="0"/>
                  </w:tcBorders>
                  <w:noWrap w:val="0"/>
                  <w:vAlign w:val="center"/>
                </w:tcPr>
                <w:p>
                  <w:pPr>
                    <w:widowControl/>
                    <w:spacing w:line="240" w:lineRule="auto"/>
                    <w:rPr>
                      <w:bCs/>
                      <w:sz w:val="18"/>
                      <w:szCs w:val="18"/>
                    </w:rPr>
                  </w:pPr>
                  <w:r>
                    <w:rPr>
                      <w:bCs/>
                      <w:sz w:val="18"/>
                      <w:szCs w:val="18"/>
                    </w:rPr>
                    <w:t>排气筒高度</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1" w:type="dxa"/>
                  <w:vMerge w:val="continue"/>
                  <w:tcBorders>
                    <w:bottom w:val="single" w:color="auto" w:sz="12" w:space="0"/>
                  </w:tcBorders>
                  <w:noWrap w:val="0"/>
                  <w:vAlign w:val="center"/>
                </w:tcPr>
                <w:p>
                  <w:pPr>
                    <w:widowControl/>
                    <w:spacing w:line="240" w:lineRule="auto"/>
                    <w:jc w:val="center"/>
                    <w:rPr>
                      <w:bCs/>
                      <w:sz w:val="18"/>
                      <w:szCs w:val="18"/>
                    </w:rPr>
                  </w:pPr>
                </w:p>
              </w:tc>
              <w:tc>
                <w:tcPr>
                  <w:tcW w:w="447" w:type="dxa"/>
                  <w:vMerge w:val="continue"/>
                  <w:tcBorders>
                    <w:bottom w:val="single" w:color="auto" w:sz="12" w:space="0"/>
                  </w:tcBorders>
                  <w:noWrap w:val="0"/>
                  <w:vAlign w:val="center"/>
                </w:tcPr>
                <w:p>
                  <w:pPr>
                    <w:widowControl/>
                    <w:spacing w:line="240" w:lineRule="auto"/>
                    <w:jc w:val="center"/>
                    <w:rPr>
                      <w:bCs/>
                      <w:sz w:val="18"/>
                      <w:szCs w:val="18"/>
                    </w:rPr>
                  </w:pPr>
                </w:p>
              </w:tc>
              <w:tc>
                <w:tcPr>
                  <w:tcW w:w="681" w:type="dxa"/>
                  <w:vMerge w:val="continue"/>
                  <w:tcBorders>
                    <w:bottom w:val="single" w:color="auto" w:sz="12" w:space="0"/>
                  </w:tcBorders>
                  <w:noWrap w:val="0"/>
                  <w:vAlign w:val="center"/>
                </w:tcPr>
                <w:p>
                  <w:pPr>
                    <w:widowControl/>
                    <w:spacing w:line="240" w:lineRule="auto"/>
                    <w:jc w:val="center"/>
                    <w:rPr>
                      <w:bCs/>
                      <w:sz w:val="18"/>
                      <w:szCs w:val="18"/>
                    </w:rPr>
                  </w:pPr>
                </w:p>
              </w:tc>
              <w:tc>
                <w:tcPr>
                  <w:tcW w:w="598" w:type="dxa"/>
                  <w:vMerge w:val="continue"/>
                  <w:tcBorders>
                    <w:bottom w:val="single" w:color="auto" w:sz="12" w:space="0"/>
                  </w:tcBorders>
                  <w:noWrap w:val="0"/>
                  <w:vAlign w:val="center"/>
                </w:tcPr>
                <w:p>
                  <w:pPr>
                    <w:widowControl/>
                    <w:spacing w:line="240" w:lineRule="auto"/>
                    <w:jc w:val="center"/>
                    <w:rPr>
                      <w:bCs/>
                      <w:sz w:val="18"/>
                      <w:szCs w:val="18"/>
                    </w:rPr>
                  </w:pPr>
                </w:p>
              </w:tc>
              <w:tc>
                <w:tcPr>
                  <w:tcW w:w="802" w:type="dxa"/>
                  <w:vMerge w:val="continue"/>
                  <w:tcBorders>
                    <w:bottom w:val="single" w:color="auto" w:sz="12" w:space="0"/>
                  </w:tcBorders>
                  <w:noWrap w:val="0"/>
                  <w:vAlign w:val="center"/>
                </w:tcPr>
                <w:p>
                  <w:pPr>
                    <w:widowControl/>
                    <w:spacing w:line="240" w:lineRule="auto"/>
                    <w:jc w:val="center"/>
                    <w:rPr>
                      <w:bCs/>
                      <w:sz w:val="18"/>
                      <w:szCs w:val="18"/>
                    </w:rPr>
                  </w:pPr>
                </w:p>
              </w:tc>
              <w:tc>
                <w:tcPr>
                  <w:tcW w:w="770" w:type="dxa"/>
                  <w:tcBorders>
                    <w:bottom w:val="single" w:color="auto" w:sz="12" w:space="0"/>
                  </w:tcBorders>
                  <w:noWrap w:val="0"/>
                  <w:vAlign w:val="center"/>
                </w:tcPr>
                <w:p>
                  <w:pPr>
                    <w:widowControl/>
                    <w:spacing w:line="240" w:lineRule="auto"/>
                    <w:jc w:val="center"/>
                    <w:rPr>
                      <w:bCs/>
                      <w:sz w:val="18"/>
                      <w:szCs w:val="18"/>
                    </w:rPr>
                  </w:pPr>
                  <w:r>
                    <w:rPr>
                      <w:bCs/>
                      <w:sz w:val="18"/>
                      <w:szCs w:val="18"/>
                    </w:rPr>
                    <w:t>浓度mg/m</w:t>
                  </w:r>
                  <w:r>
                    <w:rPr>
                      <w:bCs/>
                      <w:sz w:val="18"/>
                      <w:szCs w:val="18"/>
                      <w:vertAlign w:val="superscript"/>
                    </w:rPr>
                    <w:t>3</w:t>
                  </w:r>
                </w:p>
              </w:tc>
              <w:tc>
                <w:tcPr>
                  <w:tcW w:w="678" w:type="dxa"/>
                  <w:tcBorders>
                    <w:bottom w:val="single" w:color="auto" w:sz="12" w:space="0"/>
                  </w:tcBorders>
                  <w:noWrap w:val="0"/>
                  <w:vAlign w:val="center"/>
                </w:tcPr>
                <w:p>
                  <w:pPr>
                    <w:widowControl/>
                    <w:spacing w:line="240" w:lineRule="auto"/>
                    <w:jc w:val="center"/>
                    <w:rPr>
                      <w:bCs/>
                      <w:sz w:val="18"/>
                      <w:szCs w:val="18"/>
                    </w:rPr>
                  </w:pPr>
                  <w:r>
                    <w:rPr>
                      <w:bCs/>
                      <w:sz w:val="18"/>
                      <w:szCs w:val="18"/>
                    </w:rPr>
                    <w:t>速率kg/h</w:t>
                  </w:r>
                </w:p>
              </w:tc>
              <w:tc>
                <w:tcPr>
                  <w:tcW w:w="741" w:type="dxa"/>
                  <w:tcBorders>
                    <w:bottom w:val="single" w:color="auto" w:sz="12" w:space="0"/>
                  </w:tcBorders>
                  <w:noWrap w:val="0"/>
                  <w:vAlign w:val="center"/>
                </w:tcPr>
                <w:p>
                  <w:pPr>
                    <w:widowControl/>
                    <w:spacing w:line="240" w:lineRule="auto"/>
                    <w:jc w:val="center"/>
                    <w:rPr>
                      <w:bCs/>
                      <w:sz w:val="18"/>
                      <w:szCs w:val="18"/>
                    </w:rPr>
                  </w:pPr>
                  <w:r>
                    <w:rPr>
                      <w:bCs/>
                      <w:sz w:val="18"/>
                      <w:szCs w:val="18"/>
                    </w:rPr>
                    <w:t>产生量</w:t>
                  </w:r>
                </w:p>
                <w:p>
                  <w:pPr>
                    <w:widowControl/>
                    <w:spacing w:line="240" w:lineRule="auto"/>
                    <w:jc w:val="center"/>
                    <w:rPr>
                      <w:bCs/>
                      <w:sz w:val="18"/>
                      <w:szCs w:val="18"/>
                    </w:rPr>
                  </w:pPr>
                  <w:r>
                    <w:rPr>
                      <w:bCs/>
                      <w:sz w:val="18"/>
                      <w:szCs w:val="18"/>
                    </w:rPr>
                    <w:t>t/a</w:t>
                  </w:r>
                </w:p>
              </w:tc>
              <w:tc>
                <w:tcPr>
                  <w:tcW w:w="491" w:type="dxa"/>
                  <w:vMerge w:val="continue"/>
                  <w:tcBorders>
                    <w:bottom w:val="single" w:color="auto" w:sz="12" w:space="0"/>
                  </w:tcBorders>
                  <w:noWrap w:val="0"/>
                  <w:vAlign w:val="center"/>
                </w:tcPr>
                <w:p>
                  <w:pPr>
                    <w:widowControl/>
                    <w:spacing w:line="240" w:lineRule="auto"/>
                    <w:jc w:val="center"/>
                    <w:rPr>
                      <w:bCs/>
                      <w:sz w:val="18"/>
                      <w:szCs w:val="18"/>
                    </w:rPr>
                  </w:pPr>
                </w:p>
              </w:tc>
              <w:tc>
                <w:tcPr>
                  <w:tcW w:w="765" w:type="dxa"/>
                  <w:tcBorders>
                    <w:bottom w:val="single" w:color="auto" w:sz="12" w:space="0"/>
                  </w:tcBorders>
                  <w:noWrap w:val="0"/>
                  <w:vAlign w:val="center"/>
                </w:tcPr>
                <w:p>
                  <w:pPr>
                    <w:widowControl/>
                    <w:spacing w:line="240" w:lineRule="auto"/>
                    <w:jc w:val="center"/>
                    <w:rPr>
                      <w:bCs/>
                      <w:sz w:val="18"/>
                      <w:szCs w:val="18"/>
                    </w:rPr>
                  </w:pPr>
                  <w:r>
                    <w:rPr>
                      <w:bCs/>
                      <w:sz w:val="18"/>
                      <w:szCs w:val="18"/>
                    </w:rPr>
                    <w:t>浓度mg/m</w:t>
                  </w:r>
                  <w:r>
                    <w:rPr>
                      <w:bCs/>
                      <w:sz w:val="18"/>
                      <w:szCs w:val="18"/>
                      <w:vertAlign w:val="superscript"/>
                    </w:rPr>
                    <w:t>3</w:t>
                  </w:r>
                </w:p>
              </w:tc>
              <w:tc>
                <w:tcPr>
                  <w:tcW w:w="735" w:type="dxa"/>
                  <w:tcBorders>
                    <w:bottom w:val="single" w:color="auto" w:sz="12" w:space="0"/>
                  </w:tcBorders>
                  <w:noWrap w:val="0"/>
                  <w:vAlign w:val="center"/>
                </w:tcPr>
                <w:p>
                  <w:pPr>
                    <w:widowControl/>
                    <w:spacing w:line="240" w:lineRule="auto"/>
                    <w:jc w:val="center"/>
                    <w:rPr>
                      <w:bCs/>
                      <w:sz w:val="18"/>
                      <w:szCs w:val="18"/>
                    </w:rPr>
                  </w:pPr>
                  <w:r>
                    <w:rPr>
                      <w:bCs/>
                      <w:sz w:val="18"/>
                      <w:szCs w:val="18"/>
                    </w:rPr>
                    <w:t>速率kg/h</w:t>
                  </w:r>
                </w:p>
              </w:tc>
              <w:tc>
                <w:tcPr>
                  <w:tcW w:w="695" w:type="dxa"/>
                  <w:tcBorders>
                    <w:bottom w:val="single" w:color="auto" w:sz="12" w:space="0"/>
                  </w:tcBorders>
                  <w:noWrap w:val="0"/>
                  <w:vAlign w:val="center"/>
                </w:tcPr>
                <w:p>
                  <w:pPr>
                    <w:widowControl/>
                    <w:spacing w:line="240" w:lineRule="auto"/>
                    <w:jc w:val="center"/>
                    <w:rPr>
                      <w:bCs/>
                      <w:sz w:val="18"/>
                      <w:szCs w:val="18"/>
                    </w:rPr>
                  </w:pPr>
                  <w:r>
                    <w:rPr>
                      <w:bCs/>
                      <w:sz w:val="18"/>
                      <w:szCs w:val="18"/>
                    </w:rPr>
                    <w:t>排放量t/a</w:t>
                  </w:r>
                </w:p>
              </w:tc>
              <w:tc>
                <w:tcPr>
                  <w:tcW w:w="545" w:type="dxa"/>
                  <w:tcBorders>
                    <w:bottom w:val="single" w:color="auto" w:sz="12" w:space="0"/>
                  </w:tcBorders>
                  <w:noWrap w:val="0"/>
                  <w:vAlign w:val="center"/>
                </w:tcPr>
                <w:p>
                  <w:pPr>
                    <w:widowControl/>
                    <w:spacing w:line="240" w:lineRule="auto"/>
                    <w:jc w:val="center"/>
                    <w:rPr>
                      <w:bCs/>
                      <w:sz w:val="18"/>
                      <w:szCs w:val="18"/>
                    </w:rPr>
                  </w:pPr>
                  <w:r>
                    <w:rPr>
                      <w:bCs/>
                      <w:sz w:val="18"/>
                      <w:szCs w:val="18"/>
                    </w:rPr>
                    <w:t>浓度mg/m</w:t>
                  </w:r>
                  <w:r>
                    <w:rPr>
                      <w:bCs/>
                      <w:sz w:val="18"/>
                      <w:szCs w:val="18"/>
                      <w:vertAlign w:val="superscript"/>
                    </w:rPr>
                    <w:t>3</w:t>
                  </w:r>
                </w:p>
              </w:tc>
              <w:tc>
                <w:tcPr>
                  <w:tcW w:w="605" w:type="dxa"/>
                  <w:tcBorders>
                    <w:bottom w:val="single" w:color="auto" w:sz="12" w:space="0"/>
                  </w:tcBorders>
                  <w:noWrap w:val="0"/>
                  <w:vAlign w:val="center"/>
                </w:tcPr>
                <w:p>
                  <w:pPr>
                    <w:widowControl/>
                    <w:spacing w:line="240" w:lineRule="auto"/>
                    <w:jc w:val="center"/>
                    <w:rPr>
                      <w:bCs/>
                      <w:sz w:val="18"/>
                      <w:szCs w:val="18"/>
                    </w:rPr>
                  </w:pPr>
                  <w:r>
                    <w:rPr>
                      <w:bCs/>
                      <w:sz w:val="18"/>
                      <w:szCs w:val="18"/>
                    </w:rPr>
                    <w:t>速率kg/h</w:t>
                  </w:r>
                </w:p>
              </w:tc>
              <w:tc>
                <w:tcPr>
                  <w:tcW w:w="428" w:type="dxa"/>
                  <w:vMerge w:val="continue"/>
                  <w:tcBorders>
                    <w:bottom w:val="single" w:color="auto" w:sz="12" w:space="0"/>
                  </w:tcBorders>
                  <w:noWrap w:val="0"/>
                  <w:vAlign w:val="center"/>
                </w:tcPr>
                <w:p>
                  <w:pPr>
                    <w:widowControl/>
                    <w:spacing w:line="240" w:lineRule="auto"/>
                    <w:jc w:val="center"/>
                    <w:rPr>
                      <w:bCs/>
                      <w:sz w:val="18"/>
                      <w:szCs w:val="18"/>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41" w:type="dxa"/>
                  <w:tcBorders>
                    <w:top w:val="single" w:color="auto" w:sz="12" w:space="0"/>
                    <w:bottom w:val="single" w:color="auto" w:sz="12" w:space="0"/>
                  </w:tcBorders>
                  <w:noWrap w:val="0"/>
                  <w:vAlign w:val="center"/>
                </w:tcPr>
                <w:p>
                  <w:pPr>
                    <w:pStyle w:val="2"/>
                    <w:spacing w:line="240" w:lineRule="auto"/>
                    <w:ind w:firstLine="0" w:firstLineChars="0"/>
                    <w:jc w:val="center"/>
                    <w:rPr>
                      <w:sz w:val="18"/>
                      <w:szCs w:val="18"/>
                    </w:rPr>
                  </w:pPr>
                  <w:r>
                    <w:rPr>
                      <w:sz w:val="18"/>
                      <w:szCs w:val="18"/>
                    </w:rPr>
                    <w:t>P1</w:t>
                  </w:r>
                </w:p>
              </w:tc>
              <w:tc>
                <w:tcPr>
                  <w:tcW w:w="447" w:type="dxa"/>
                  <w:tcBorders>
                    <w:top w:val="single" w:color="auto" w:sz="12" w:space="0"/>
                    <w:bottom w:val="single" w:color="auto" w:sz="12" w:space="0"/>
                  </w:tcBorders>
                  <w:noWrap w:val="0"/>
                  <w:vAlign w:val="center"/>
                </w:tcPr>
                <w:p>
                  <w:pPr>
                    <w:widowControl/>
                    <w:spacing w:line="240" w:lineRule="auto"/>
                    <w:jc w:val="center"/>
                    <w:rPr>
                      <w:rFonts w:hint="default" w:eastAsia="宋体"/>
                      <w:bCs/>
                      <w:sz w:val="18"/>
                      <w:szCs w:val="18"/>
                      <w:lang w:val="en-US" w:eastAsia="zh-CN"/>
                    </w:rPr>
                  </w:pPr>
                  <w:r>
                    <w:rPr>
                      <w:bCs/>
                      <w:sz w:val="18"/>
                      <w:szCs w:val="18"/>
                    </w:rPr>
                    <w:t>G</w:t>
                  </w:r>
                  <w:r>
                    <w:rPr>
                      <w:rFonts w:hint="eastAsia"/>
                      <w:bCs/>
                      <w:sz w:val="18"/>
                      <w:szCs w:val="18"/>
                      <w:vertAlign w:val="subscript"/>
                      <w:lang w:val="en-US" w:eastAsia="zh-CN"/>
                    </w:rPr>
                    <w:t>2</w:t>
                  </w:r>
                </w:p>
              </w:tc>
              <w:tc>
                <w:tcPr>
                  <w:tcW w:w="681" w:type="dxa"/>
                  <w:tcBorders>
                    <w:top w:val="single" w:color="auto" w:sz="12" w:space="0"/>
                    <w:bottom w:val="single" w:color="auto" w:sz="12" w:space="0"/>
                  </w:tcBorders>
                  <w:noWrap w:val="0"/>
                  <w:vAlign w:val="center"/>
                </w:tcPr>
                <w:p>
                  <w:pPr>
                    <w:widowControl/>
                    <w:spacing w:line="240" w:lineRule="auto"/>
                    <w:jc w:val="center"/>
                    <w:rPr>
                      <w:rFonts w:hint="default" w:eastAsia="宋体"/>
                      <w:bCs/>
                      <w:sz w:val="18"/>
                      <w:szCs w:val="18"/>
                      <w:lang w:val="en-US" w:eastAsia="zh-CN"/>
                    </w:rPr>
                  </w:pPr>
                  <w:r>
                    <w:rPr>
                      <w:rFonts w:hint="eastAsia"/>
                      <w:bCs/>
                      <w:sz w:val="18"/>
                      <w:szCs w:val="18"/>
                      <w:lang w:val="en-US" w:eastAsia="zh-CN"/>
                    </w:rPr>
                    <w:t>4000</w:t>
                  </w:r>
                </w:p>
              </w:tc>
              <w:tc>
                <w:tcPr>
                  <w:tcW w:w="598" w:type="dxa"/>
                  <w:tcBorders>
                    <w:top w:val="single" w:color="auto" w:sz="12" w:space="0"/>
                    <w:bottom w:val="single" w:color="auto" w:sz="12" w:space="0"/>
                  </w:tcBorders>
                  <w:noWrap w:val="0"/>
                  <w:vAlign w:val="center"/>
                </w:tcPr>
                <w:p>
                  <w:pPr>
                    <w:widowControl/>
                    <w:spacing w:line="240" w:lineRule="auto"/>
                    <w:jc w:val="center"/>
                    <w:rPr>
                      <w:bCs/>
                      <w:sz w:val="18"/>
                      <w:szCs w:val="18"/>
                    </w:rPr>
                  </w:pPr>
                  <w:r>
                    <w:rPr>
                      <w:rFonts w:hint="eastAsia"/>
                      <w:bCs/>
                      <w:sz w:val="18"/>
                      <w:szCs w:val="18"/>
                      <w:lang w:val="en-US" w:eastAsia="zh-CN"/>
                    </w:rPr>
                    <w:t>24</w:t>
                  </w:r>
                  <w:r>
                    <w:rPr>
                      <w:bCs/>
                      <w:sz w:val="18"/>
                      <w:szCs w:val="18"/>
                    </w:rPr>
                    <w:t>00</w:t>
                  </w:r>
                </w:p>
              </w:tc>
              <w:tc>
                <w:tcPr>
                  <w:tcW w:w="802" w:type="dxa"/>
                  <w:tcBorders>
                    <w:top w:val="single" w:color="auto" w:sz="12" w:space="0"/>
                    <w:bottom w:val="single" w:color="auto" w:sz="12" w:space="0"/>
                  </w:tcBorders>
                  <w:noWrap w:val="0"/>
                  <w:vAlign w:val="center"/>
                </w:tcPr>
                <w:p>
                  <w:pPr>
                    <w:autoSpaceDE w:val="0"/>
                    <w:snapToGrid w:val="0"/>
                    <w:spacing w:line="240" w:lineRule="auto"/>
                    <w:jc w:val="center"/>
                    <w:rPr>
                      <w:bCs/>
                      <w:sz w:val="18"/>
                      <w:szCs w:val="18"/>
                    </w:rPr>
                  </w:pPr>
                  <w:r>
                    <w:rPr>
                      <w:kern w:val="0"/>
                      <w:sz w:val="18"/>
                      <w:szCs w:val="18"/>
                    </w:rPr>
                    <w:t>非甲烷总烃</w:t>
                  </w:r>
                </w:p>
              </w:tc>
              <w:tc>
                <w:tcPr>
                  <w:tcW w:w="770" w:type="dxa"/>
                  <w:tcBorders>
                    <w:top w:val="single" w:color="auto" w:sz="12" w:space="0"/>
                    <w:bottom w:val="single" w:color="auto" w:sz="12" w:space="0"/>
                  </w:tcBorders>
                  <w:noWrap w:val="0"/>
                  <w:vAlign w:val="center"/>
                </w:tcPr>
                <w:p>
                  <w:pPr>
                    <w:widowControl/>
                    <w:snapToGrid w:val="0"/>
                    <w:spacing w:line="240" w:lineRule="auto"/>
                    <w:jc w:val="center"/>
                    <w:textAlignment w:val="center"/>
                    <w:rPr>
                      <w:rFonts w:hint="default" w:eastAsia="宋体"/>
                      <w:bCs/>
                      <w:sz w:val="18"/>
                      <w:szCs w:val="18"/>
                      <w:lang w:val="en-US" w:eastAsia="zh-CN"/>
                    </w:rPr>
                  </w:pPr>
                  <w:r>
                    <w:rPr>
                      <w:rFonts w:hint="eastAsia" w:eastAsia="宋体"/>
                      <w:bCs/>
                      <w:sz w:val="18"/>
                      <w:szCs w:val="18"/>
                      <w:lang w:val="en-US" w:eastAsia="zh-CN"/>
                    </w:rPr>
                    <w:t>141</w:t>
                  </w:r>
                </w:p>
              </w:tc>
              <w:tc>
                <w:tcPr>
                  <w:tcW w:w="678" w:type="dxa"/>
                  <w:tcBorders>
                    <w:top w:val="single" w:color="auto" w:sz="12" w:space="0"/>
                    <w:bottom w:val="single" w:color="auto" w:sz="12" w:space="0"/>
                  </w:tcBorders>
                  <w:noWrap w:val="0"/>
                  <w:vAlign w:val="center"/>
                </w:tcPr>
                <w:p>
                  <w:pPr>
                    <w:widowControl/>
                    <w:snapToGrid w:val="0"/>
                    <w:spacing w:line="240" w:lineRule="auto"/>
                    <w:jc w:val="center"/>
                    <w:textAlignment w:val="center"/>
                    <w:rPr>
                      <w:rFonts w:hint="default" w:eastAsia="宋体"/>
                      <w:bCs/>
                      <w:sz w:val="18"/>
                      <w:szCs w:val="18"/>
                      <w:lang w:val="en-US" w:eastAsia="zh-CN"/>
                    </w:rPr>
                  </w:pPr>
                  <w:r>
                    <w:rPr>
                      <w:rFonts w:hint="eastAsia" w:eastAsia="宋体"/>
                      <w:bCs/>
                      <w:sz w:val="18"/>
                      <w:szCs w:val="18"/>
                      <w:lang w:val="en-US" w:eastAsia="zh-CN"/>
                    </w:rPr>
                    <w:t>0.56</w:t>
                  </w:r>
                </w:p>
              </w:tc>
              <w:tc>
                <w:tcPr>
                  <w:tcW w:w="741" w:type="dxa"/>
                  <w:tcBorders>
                    <w:top w:val="single" w:color="auto" w:sz="12" w:space="0"/>
                    <w:bottom w:val="single" w:color="auto" w:sz="12" w:space="0"/>
                  </w:tcBorders>
                  <w:noWrap w:val="0"/>
                  <w:vAlign w:val="center"/>
                </w:tcPr>
                <w:p>
                  <w:pPr>
                    <w:snapToGrid w:val="0"/>
                    <w:spacing w:line="240" w:lineRule="auto"/>
                    <w:jc w:val="center"/>
                    <w:rPr>
                      <w:rFonts w:hint="default" w:eastAsia="宋体"/>
                      <w:bCs/>
                      <w:sz w:val="18"/>
                      <w:szCs w:val="18"/>
                      <w:lang w:val="en-US" w:eastAsia="zh-CN"/>
                    </w:rPr>
                  </w:pPr>
                  <w:r>
                    <w:rPr>
                      <w:rFonts w:hint="eastAsia" w:eastAsia="宋体"/>
                      <w:bCs/>
                      <w:sz w:val="18"/>
                      <w:szCs w:val="18"/>
                      <w:lang w:val="en-US" w:eastAsia="zh-CN"/>
                    </w:rPr>
                    <w:t>1.35</w:t>
                  </w:r>
                </w:p>
              </w:tc>
              <w:tc>
                <w:tcPr>
                  <w:tcW w:w="491" w:type="dxa"/>
                  <w:tcBorders>
                    <w:top w:val="single" w:color="auto" w:sz="12" w:space="0"/>
                    <w:bottom w:val="single" w:color="auto" w:sz="12" w:space="0"/>
                  </w:tcBorders>
                  <w:noWrap w:val="0"/>
                  <w:vAlign w:val="center"/>
                </w:tcPr>
                <w:p>
                  <w:pPr>
                    <w:autoSpaceDE w:val="0"/>
                    <w:snapToGrid w:val="0"/>
                    <w:spacing w:line="240" w:lineRule="auto"/>
                    <w:jc w:val="center"/>
                    <w:rPr>
                      <w:bCs/>
                      <w:sz w:val="18"/>
                      <w:szCs w:val="18"/>
                    </w:rPr>
                  </w:pPr>
                  <w:r>
                    <w:rPr>
                      <w:rFonts w:hint="eastAsia"/>
                      <w:kern w:val="0"/>
                      <w:sz w:val="18"/>
                      <w:szCs w:val="18"/>
                      <w:lang w:val="en-US" w:eastAsia="zh-CN"/>
                    </w:rPr>
                    <w:t>9</w:t>
                  </w:r>
                  <w:r>
                    <w:rPr>
                      <w:kern w:val="0"/>
                      <w:sz w:val="18"/>
                      <w:szCs w:val="18"/>
                    </w:rPr>
                    <w:t>0</w:t>
                  </w:r>
                </w:p>
              </w:tc>
              <w:tc>
                <w:tcPr>
                  <w:tcW w:w="765" w:type="dxa"/>
                  <w:tcBorders>
                    <w:top w:val="single" w:color="auto" w:sz="12" w:space="0"/>
                    <w:bottom w:val="single" w:color="auto" w:sz="12" w:space="0"/>
                  </w:tcBorders>
                  <w:noWrap w:val="0"/>
                  <w:vAlign w:val="center"/>
                </w:tcPr>
                <w:p>
                  <w:pPr>
                    <w:widowControl/>
                    <w:snapToGrid w:val="0"/>
                    <w:spacing w:line="240" w:lineRule="auto"/>
                    <w:jc w:val="center"/>
                    <w:textAlignment w:val="center"/>
                    <w:rPr>
                      <w:rFonts w:hint="default" w:eastAsia="宋体"/>
                      <w:bCs/>
                      <w:sz w:val="18"/>
                      <w:szCs w:val="18"/>
                      <w:lang w:val="en-US" w:eastAsia="zh-CN"/>
                    </w:rPr>
                  </w:pPr>
                  <w:r>
                    <w:rPr>
                      <w:rFonts w:hint="eastAsia" w:eastAsia="宋体"/>
                      <w:bCs/>
                      <w:sz w:val="18"/>
                      <w:szCs w:val="18"/>
                      <w:lang w:val="en-US" w:eastAsia="zh-CN"/>
                    </w:rPr>
                    <w:t>14.1</w:t>
                  </w:r>
                </w:p>
              </w:tc>
              <w:tc>
                <w:tcPr>
                  <w:tcW w:w="735" w:type="dxa"/>
                  <w:tcBorders>
                    <w:top w:val="single" w:color="auto" w:sz="12" w:space="0"/>
                    <w:bottom w:val="single" w:color="auto" w:sz="12" w:space="0"/>
                  </w:tcBorders>
                  <w:noWrap w:val="0"/>
                  <w:vAlign w:val="center"/>
                </w:tcPr>
                <w:p>
                  <w:pPr>
                    <w:widowControl/>
                    <w:snapToGrid w:val="0"/>
                    <w:spacing w:line="240" w:lineRule="auto"/>
                    <w:jc w:val="center"/>
                    <w:textAlignment w:val="center"/>
                    <w:rPr>
                      <w:rFonts w:hint="default" w:eastAsia="宋体"/>
                      <w:bCs/>
                      <w:sz w:val="18"/>
                      <w:szCs w:val="18"/>
                      <w:lang w:val="en-US" w:eastAsia="zh-CN"/>
                    </w:rPr>
                  </w:pPr>
                  <w:r>
                    <w:rPr>
                      <w:rFonts w:hint="eastAsia" w:eastAsia="宋体"/>
                      <w:bCs/>
                      <w:sz w:val="18"/>
                      <w:szCs w:val="18"/>
                      <w:lang w:val="en-US" w:eastAsia="zh-CN"/>
                    </w:rPr>
                    <w:t>0.056</w:t>
                  </w:r>
                </w:p>
              </w:tc>
              <w:tc>
                <w:tcPr>
                  <w:tcW w:w="695" w:type="dxa"/>
                  <w:tcBorders>
                    <w:top w:val="single" w:color="auto" w:sz="12" w:space="0"/>
                    <w:bottom w:val="single" w:color="auto" w:sz="12" w:space="0"/>
                  </w:tcBorders>
                  <w:noWrap w:val="0"/>
                  <w:vAlign w:val="center"/>
                </w:tcPr>
                <w:p>
                  <w:pPr>
                    <w:snapToGrid w:val="0"/>
                    <w:spacing w:line="240" w:lineRule="auto"/>
                    <w:jc w:val="center"/>
                    <w:rPr>
                      <w:rFonts w:hint="default" w:eastAsia="宋体"/>
                      <w:bCs/>
                      <w:sz w:val="18"/>
                      <w:szCs w:val="18"/>
                      <w:lang w:val="en-US" w:eastAsia="zh-CN"/>
                    </w:rPr>
                  </w:pPr>
                  <w:r>
                    <w:rPr>
                      <w:rFonts w:hint="eastAsia" w:eastAsia="宋体"/>
                      <w:bCs/>
                      <w:sz w:val="18"/>
                      <w:szCs w:val="18"/>
                      <w:lang w:val="en-US" w:eastAsia="zh-CN"/>
                    </w:rPr>
                    <w:t>0.135</w:t>
                  </w:r>
                </w:p>
              </w:tc>
              <w:tc>
                <w:tcPr>
                  <w:tcW w:w="545" w:type="dxa"/>
                  <w:tcBorders>
                    <w:top w:val="single" w:color="auto" w:sz="12" w:space="0"/>
                    <w:bottom w:val="single" w:color="auto" w:sz="12" w:space="0"/>
                  </w:tcBorders>
                  <w:noWrap w:val="0"/>
                  <w:vAlign w:val="center"/>
                </w:tcPr>
                <w:p>
                  <w:pPr>
                    <w:snapToGrid w:val="0"/>
                    <w:spacing w:line="240" w:lineRule="auto"/>
                    <w:jc w:val="center"/>
                    <w:rPr>
                      <w:bCs/>
                      <w:sz w:val="18"/>
                      <w:szCs w:val="18"/>
                    </w:rPr>
                  </w:pPr>
                  <w:r>
                    <w:rPr>
                      <w:kern w:val="0"/>
                      <w:sz w:val="18"/>
                      <w:szCs w:val="18"/>
                    </w:rPr>
                    <w:t>70</w:t>
                  </w:r>
                </w:p>
              </w:tc>
              <w:tc>
                <w:tcPr>
                  <w:tcW w:w="605" w:type="dxa"/>
                  <w:tcBorders>
                    <w:top w:val="single" w:color="auto" w:sz="12" w:space="0"/>
                    <w:bottom w:val="single" w:color="auto" w:sz="12" w:space="0"/>
                  </w:tcBorders>
                  <w:noWrap w:val="0"/>
                  <w:vAlign w:val="center"/>
                </w:tcPr>
                <w:p>
                  <w:pPr>
                    <w:autoSpaceDE w:val="0"/>
                    <w:snapToGrid w:val="0"/>
                    <w:spacing w:line="240" w:lineRule="auto"/>
                    <w:jc w:val="center"/>
                    <w:rPr>
                      <w:bCs/>
                      <w:sz w:val="18"/>
                      <w:szCs w:val="18"/>
                    </w:rPr>
                  </w:pPr>
                  <w:r>
                    <w:rPr>
                      <w:kern w:val="0"/>
                      <w:sz w:val="18"/>
                      <w:szCs w:val="18"/>
                    </w:rPr>
                    <w:t>8</w:t>
                  </w:r>
                </w:p>
              </w:tc>
              <w:tc>
                <w:tcPr>
                  <w:tcW w:w="428" w:type="dxa"/>
                  <w:tcBorders>
                    <w:top w:val="single" w:color="auto" w:sz="12" w:space="0"/>
                    <w:bottom w:val="single" w:color="auto" w:sz="12" w:space="0"/>
                  </w:tcBorders>
                  <w:noWrap w:val="0"/>
                  <w:vAlign w:val="center"/>
                </w:tcPr>
                <w:p>
                  <w:pPr>
                    <w:autoSpaceDE w:val="0"/>
                    <w:snapToGrid w:val="0"/>
                    <w:spacing w:line="240" w:lineRule="auto"/>
                    <w:jc w:val="center"/>
                    <w:rPr>
                      <w:kern w:val="0"/>
                      <w:sz w:val="18"/>
                      <w:szCs w:val="18"/>
                    </w:rPr>
                  </w:pPr>
                  <w:r>
                    <w:rPr>
                      <w:kern w:val="0"/>
                      <w:sz w:val="18"/>
                      <w:szCs w:val="18"/>
                    </w:rPr>
                    <w:t>15m</w:t>
                  </w:r>
                </w:p>
              </w:tc>
            </w:tr>
          </w:tbl>
          <w:p>
            <w:pPr>
              <w:jc w:val="center"/>
              <w:rPr>
                <w:b/>
                <w:bCs/>
                <w:sz w:val="21"/>
                <w:szCs w:val="21"/>
              </w:rPr>
            </w:pPr>
            <w:r>
              <w:rPr>
                <w:b/>
                <w:bCs/>
                <w:sz w:val="21"/>
                <w:szCs w:val="21"/>
              </w:rPr>
              <w:t>表5-3  大气无组织排放分析表</w:t>
            </w:r>
          </w:p>
          <w:tbl>
            <w:tblPr>
              <w:tblStyle w:val="2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50"/>
              <w:gridCol w:w="2153"/>
              <w:gridCol w:w="1385"/>
              <w:gridCol w:w="1385"/>
              <w:gridCol w:w="1538"/>
              <w:gridCol w:w="14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50"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车间</w:t>
                  </w:r>
                </w:p>
              </w:tc>
              <w:tc>
                <w:tcPr>
                  <w:tcW w:w="2153"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污染物名称</w:t>
                  </w:r>
                </w:p>
              </w:tc>
              <w:tc>
                <w:tcPr>
                  <w:tcW w:w="1385"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产生量t/a</w:t>
                  </w:r>
                </w:p>
              </w:tc>
              <w:tc>
                <w:tcPr>
                  <w:tcW w:w="1385"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排放量t/a</w:t>
                  </w:r>
                </w:p>
              </w:tc>
              <w:tc>
                <w:tcPr>
                  <w:tcW w:w="1538"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面源面积m</w:t>
                  </w:r>
                  <w:r>
                    <w:rPr>
                      <w:sz w:val="21"/>
                      <w:szCs w:val="21"/>
                      <w:vertAlign w:val="superscript"/>
                    </w:rPr>
                    <w:t>2</w:t>
                  </w:r>
                </w:p>
              </w:tc>
              <w:tc>
                <w:tcPr>
                  <w:tcW w:w="1411"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面源高度m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1550" w:type="dxa"/>
                  <w:vMerge w:val="restart"/>
                  <w:tcBorders>
                    <w:top w:val="single" w:color="auto" w:sz="12" w:space="0"/>
                  </w:tcBorders>
                  <w:noWrap w:val="0"/>
                  <w:vAlign w:val="center"/>
                </w:tcPr>
                <w:p>
                  <w:pPr>
                    <w:autoSpaceDE w:val="0"/>
                    <w:snapToGrid w:val="0"/>
                    <w:spacing w:line="240" w:lineRule="auto"/>
                    <w:jc w:val="center"/>
                    <w:rPr>
                      <w:rFonts w:hint="eastAsia" w:eastAsia="宋体"/>
                      <w:kern w:val="0"/>
                      <w:sz w:val="21"/>
                      <w:szCs w:val="21"/>
                      <w:lang w:eastAsia="zh-CN"/>
                    </w:rPr>
                  </w:pPr>
                  <w:r>
                    <w:rPr>
                      <w:rFonts w:hint="eastAsia"/>
                      <w:kern w:val="0"/>
                      <w:sz w:val="21"/>
                      <w:szCs w:val="21"/>
                      <w:lang w:val="en-US" w:eastAsia="zh-CN"/>
                    </w:rPr>
                    <w:t>生产车间</w:t>
                  </w:r>
                </w:p>
              </w:tc>
              <w:tc>
                <w:tcPr>
                  <w:tcW w:w="2153" w:type="dxa"/>
                  <w:tcBorders>
                    <w:top w:val="single" w:color="auto" w:sz="12" w:space="0"/>
                    <w:bottom w:val="single" w:color="auto" w:sz="4" w:space="0"/>
                  </w:tcBorders>
                  <w:noWrap w:val="0"/>
                  <w:vAlign w:val="center"/>
                </w:tcPr>
                <w:p>
                  <w:pPr>
                    <w:autoSpaceDE w:val="0"/>
                    <w:snapToGrid w:val="0"/>
                    <w:spacing w:line="240" w:lineRule="auto"/>
                    <w:jc w:val="center"/>
                    <w:rPr>
                      <w:kern w:val="0"/>
                      <w:sz w:val="21"/>
                      <w:szCs w:val="21"/>
                    </w:rPr>
                  </w:pPr>
                  <w:r>
                    <w:rPr>
                      <w:kern w:val="0"/>
                      <w:sz w:val="21"/>
                      <w:szCs w:val="21"/>
                    </w:rPr>
                    <w:t>非甲烷总烃</w:t>
                  </w:r>
                </w:p>
              </w:tc>
              <w:tc>
                <w:tcPr>
                  <w:tcW w:w="1385" w:type="dxa"/>
                  <w:tcBorders>
                    <w:top w:val="single" w:color="auto" w:sz="12" w:space="0"/>
                    <w:bottom w:val="single" w:color="auto" w:sz="4" w:space="0"/>
                  </w:tcBorders>
                  <w:noWrap w:val="0"/>
                  <w:vAlign w:val="center"/>
                </w:tcPr>
                <w:p>
                  <w:pPr>
                    <w:snapToGrid w:val="0"/>
                    <w:spacing w:line="240" w:lineRule="auto"/>
                    <w:jc w:val="center"/>
                    <w:textAlignment w:val="center"/>
                    <w:rPr>
                      <w:rFonts w:hint="default" w:eastAsia="宋体"/>
                      <w:sz w:val="21"/>
                      <w:szCs w:val="21"/>
                      <w:lang w:val="en-US" w:eastAsia="zh-CN"/>
                    </w:rPr>
                  </w:pPr>
                  <w:r>
                    <w:rPr>
                      <w:rFonts w:hint="eastAsia"/>
                      <w:sz w:val="21"/>
                      <w:szCs w:val="21"/>
                      <w:lang w:val="en-US" w:eastAsia="zh-CN"/>
                    </w:rPr>
                    <w:t>0.15</w:t>
                  </w:r>
                </w:p>
              </w:tc>
              <w:tc>
                <w:tcPr>
                  <w:tcW w:w="1385" w:type="dxa"/>
                  <w:tcBorders>
                    <w:top w:val="single" w:color="auto" w:sz="12" w:space="0"/>
                    <w:bottom w:val="single" w:color="auto" w:sz="4" w:space="0"/>
                  </w:tcBorders>
                  <w:noWrap w:val="0"/>
                  <w:vAlign w:val="center"/>
                </w:tcPr>
                <w:p>
                  <w:pPr>
                    <w:snapToGrid w:val="0"/>
                    <w:spacing w:line="240" w:lineRule="auto"/>
                    <w:jc w:val="center"/>
                    <w:textAlignment w:val="center"/>
                    <w:rPr>
                      <w:rFonts w:hint="default" w:eastAsia="宋体"/>
                      <w:sz w:val="21"/>
                      <w:szCs w:val="21"/>
                      <w:lang w:val="en-US" w:eastAsia="zh-CN"/>
                    </w:rPr>
                  </w:pPr>
                  <w:r>
                    <w:rPr>
                      <w:rFonts w:hint="eastAsia"/>
                      <w:sz w:val="21"/>
                      <w:szCs w:val="21"/>
                      <w:lang w:val="en-US" w:eastAsia="zh-CN"/>
                    </w:rPr>
                    <w:t>0.15</w:t>
                  </w:r>
                </w:p>
              </w:tc>
              <w:tc>
                <w:tcPr>
                  <w:tcW w:w="1538" w:type="dxa"/>
                  <w:tcBorders>
                    <w:top w:val="single" w:color="auto" w:sz="12" w:space="0"/>
                    <w:bottom w:val="single" w:color="auto" w:sz="4" w:space="0"/>
                  </w:tcBorders>
                  <w:noWrap w:val="0"/>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1200</w:t>
                  </w:r>
                </w:p>
              </w:tc>
              <w:tc>
                <w:tcPr>
                  <w:tcW w:w="1411" w:type="dxa"/>
                  <w:tcBorders>
                    <w:top w:val="single" w:color="auto" w:sz="12" w:space="0"/>
                    <w:bottom w:val="single" w:color="auto" w:sz="4" w:space="0"/>
                  </w:tcBorders>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550" w:type="dxa"/>
                  <w:vMerge w:val="continue"/>
                  <w:tcBorders>
                    <w:bottom w:val="single" w:color="auto" w:sz="12" w:space="0"/>
                  </w:tcBorders>
                  <w:noWrap w:val="0"/>
                  <w:vAlign w:val="center"/>
                </w:tcPr>
                <w:p>
                  <w:pPr>
                    <w:autoSpaceDE w:val="0"/>
                    <w:snapToGrid w:val="0"/>
                    <w:spacing w:line="240" w:lineRule="auto"/>
                    <w:jc w:val="center"/>
                    <w:rPr>
                      <w:rFonts w:hint="eastAsia"/>
                      <w:kern w:val="0"/>
                      <w:sz w:val="21"/>
                      <w:szCs w:val="21"/>
                      <w:lang w:val="en-US" w:eastAsia="zh-CN"/>
                    </w:rPr>
                  </w:pPr>
                </w:p>
              </w:tc>
              <w:tc>
                <w:tcPr>
                  <w:tcW w:w="2153" w:type="dxa"/>
                  <w:tcBorders>
                    <w:top w:val="single" w:color="auto" w:sz="4" w:space="0"/>
                    <w:bottom w:val="single" w:color="auto" w:sz="12" w:space="0"/>
                  </w:tcBorders>
                  <w:noWrap w:val="0"/>
                  <w:vAlign w:val="center"/>
                </w:tcPr>
                <w:p>
                  <w:pPr>
                    <w:autoSpaceDE w:val="0"/>
                    <w:snapToGrid w:val="0"/>
                    <w:spacing w:line="240" w:lineRule="auto"/>
                    <w:jc w:val="center"/>
                    <w:rPr>
                      <w:rFonts w:hint="eastAsia" w:eastAsia="宋体"/>
                      <w:kern w:val="0"/>
                      <w:sz w:val="21"/>
                      <w:szCs w:val="21"/>
                      <w:lang w:val="en-US" w:eastAsia="zh-CN"/>
                    </w:rPr>
                  </w:pPr>
                  <w:r>
                    <w:rPr>
                      <w:rFonts w:hint="eastAsia"/>
                      <w:kern w:val="0"/>
                      <w:sz w:val="21"/>
                      <w:szCs w:val="21"/>
                      <w:lang w:val="en-US" w:eastAsia="zh-CN"/>
                    </w:rPr>
                    <w:t>颗粒物</w:t>
                  </w:r>
                </w:p>
              </w:tc>
              <w:tc>
                <w:tcPr>
                  <w:tcW w:w="1385" w:type="dxa"/>
                  <w:tcBorders>
                    <w:top w:val="single" w:color="auto" w:sz="4" w:space="0"/>
                    <w:bottom w:val="single" w:color="auto" w:sz="12" w:space="0"/>
                  </w:tcBorders>
                  <w:noWrap w:val="0"/>
                  <w:vAlign w:val="center"/>
                </w:tcPr>
                <w:p>
                  <w:pPr>
                    <w:snapToGrid w:val="0"/>
                    <w:spacing w:line="240" w:lineRule="auto"/>
                    <w:jc w:val="center"/>
                    <w:textAlignment w:val="center"/>
                    <w:rPr>
                      <w:rFonts w:hint="default"/>
                      <w:sz w:val="21"/>
                      <w:szCs w:val="21"/>
                      <w:lang w:val="en-US" w:eastAsia="zh-CN"/>
                    </w:rPr>
                  </w:pPr>
                  <w:r>
                    <w:rPr>
                      <w:rFonts w:hint="eastAsia"/>
                      <w:sz w:val="21"/>
                      <w:szCs w:val="21"/>
                      <w:lang w:val="en-US" w:eastAsia="zh-CN"/>
                    </w:rPr>
                    <w:t>0.3</w:t>
                  </w:r>
                </w:p>
              </w:tc>
              <w:tc>
                <w:tcPr>
                  <w:tcW w:w="1385" w:type="dxa"/>
                  <w:tcBorders>
                    <w:top w:val="single" w:color="auto" w:sz="4" w:space="0"/>
                    <w:bottom w:val="single" w:color="auto" w:sz="12" w:space="0"/>
                  </w:tcBorders>
                  <w:noWrap w:val="0"/>
                  <w:vAlign w:val="center"/>
                </w:tcPr>
                <w:p>
                  <w:pPr>
                    <w:snapToGrid w:val="0"/>
                    <w:spacing w:line="240" w:lineRule="auto"/>
                    <w:jc w:val="center"/>
                    <w:textAlignment w:val="center"/>
                    <w:rPr>
                      <w:rFonts w:hint="default"/>
                      <w:sz w:val="21"/>
                      <w:szCs w:val="21"/>
                      <w:lang w:val="en-US" w:eastAsia="zh-CN"/>
                    </w:rPr>
                  </w:pPr>
                  <w:r>
                    <w:rPr>
                      <w:rFonts w:hint="eastAsia"/>
                      <w:sz w:val="21"/>
                      <w:szCs w:val="21"/>
                      <w:lang w:val="en-US" w:eastAsia="zh-CN"/>
                    </w:rPr>
                    <w:t>0.0327</w:t>
                  </w:r>
                </w:p>
              </w:tc>
              <w:tc>
                <w:tcPr>
                  <w:tcW w:w="1538" w:type="dxa"/>
                  <w:tcBorders>
                    <w:top w:val="single" w:color="auto" w:sz="4" w:space="0"/>
                    <w:bottom w:val="single" w:color="auto" w:sz="12" w:space="0"/>
                  </w:tcBorders>
                  <w:noWrap w:val="0"/>
                  <w:vAlign w:val="center"/>
                </w:tcPr>
                <w:p>
                  <w:pPr>
                    <w:snapToGrid w:val="0"/>
                    <w:spacing w:line="240" w:lineRule="auto"/>
                    <w:jc w:val="center"/>
                    <w:rPr>
                      <w:rFonts w:hint="default"/>
                      <w:sz w:val="21"/>
                      <w:szCs w:val="21"/>
                      <w:lang w:val="en-US" w:eastAsia="zh-CN"/>
                    </w:rPr>
                  </w:pPr>
                  <w:r>
                    <w:rPr>
                      <w:rFonts w:hint="eastAsia"/>
                      <w:sz w:val="21"/>
                      <w:szCs w:val="21"/>
                      <w:lang w:val="en-US" w:eastAsia="zh-CN"/>
                    </w:rPr>
                    <w:t>1200</w:t>
                  </w:r>
                </w:p>
              </w:tc>
              <w:tc>
                <w:tcPr>
                  <w:tcW w:w="1411" w:type="dxa"/>
                  <w:tcBorders>
                    <w:top w:val="single" w:color="auto" w:sz="4" w:space="0"/>
                    <w:bottom w:val="single" w:color="auto" w:sz="12" w:space="0"/>
                  </w:tcBorders>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8</w:t>
                  </w:r>
                </w:p>
              </w:tc>
            </w:tr>
          </w:tbl>
          <w:p>
            <w:pPr>
              <w:spacing w:before="156" w:beforeLines="50"/>
              <w:jc w:val="left"/>
              <w:rPr>
                <w:b/>
                <w:bCs/>
              </w:rPr>
            </w:pPr>
            <w:r>
              <w:rPr>
                <w:b/>
                <w:bCs/>
              </w:rPr>
              <w:t>3、噪声</w:t>
            </w:r>
          </w:p>
          <w:p>
            <w:pPr>
              <w:ind w:firstLine="480" w:firstLineChars="200"/>
              <w:jc w:val="left"/>
              <w:rPr>
                <w:b/>
                <w:bCs/>
              </w:rPr>
            </w:pPr>
            <w:r>
              <w:t>本项目噪声源强主要为</w:t>
            </w:r>
            <w:r>
              <w:rPr>
                <w:rFonts w:hint="eastAsia"/>
                <w:lang w:val="en-US" w:eastAsia="zh-CN"/>
              </w:rPr>
              <w:t>捏合机、空压机</w:t>
            </w:r>
            <w:r>
              <w:t>、</w:t>
            </w:r>
            <w:r>
              <w:rPr>
                <w:rFonts w:hint="eastAsia"/>
                <w:lang w:val="en-US" w:eastAsia="zh-CN"/>
              </w:rPr>
              <w:t>冷却塔</w:t>
            </w:r>
            <w:r>
              <w:t>，源强在70-80dB(A)左右。</w:t>
            </w:r>
          </w:p>
          <w:p>
            <w:pPr>
              <w:pStyle w:val="18"/>
              <w:spacing w:line="240" w:lineRule="auto"/>
              <w:rPr>
                <w:rFonts w:ascii="Times New Roman" w:eastAsia="宋体"/>
                <w:b/>
                <w:bCs/>
                <w:sz w:val="21"/>
                <w:szCs w:val="21"/>
              </w:rPr>
            </w:pPr>
            <w:r>
              <w:rPr>
                <w:rFonts w:ascii="Times New Roman" w:eastAsia="宋体"/>
                <w:b/>
                <w:bCs/>
                <w:sz w:val="21"/>
                <w:szCs w:val="21"/>
              </w:rPr>
              <w:t>表5-4  噪声污染源分析表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5"/>
              <w:gridCol w:w="3116"/>
              <w:gridCol w:w="1048"/>
              <w:gridCol w:w="1325"/>
              <w:gridCol w:w="1697"/>
              <w:gridCol w:w="15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5"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序号</w:t>
                  </w:r>
                </w:p>
              </w:tc>
              <w:tc>
                <w:tcPr>
                  <w:tcW w:w="3116"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设备名称</w:t>
                  </w:r>
                </w:p>
              </w:tc>
              <w:tc>
                <w:tcPr>
                  <w:tcW w:w="1048"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设备</w:t>
                  </w:r>
                </w:p>
                <w:p>
                  <w:pPr>
                    <w:snapToGrid w:val="0"/>
                    <w:spacing w:line="240" w:lineRule="auto"/>
                    <w:jc w:val="center"/>
                    <w:rPr>
                      <w:sz w:val="21"/>
                      <w:szCs w:val="21"/>
                    </w:rPr>
                  </w:pPr>
                  <w:r>
                    <w:rPr>
                      <w:sz w:val="21"/>
                      <w:szCs w:val="21"/>
                    </w:rPr>
                    <w:t>（台）</w:t>
                  </w:r>
                </w:p>
              </w:tc>
              <w:tc>
                <w:tcPr>
                  <w:tcW w:w="1325"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源强度</w:t>
                  </w:r>
                </w:p>
                <w:p>
                  <w:pPr>
                    <w:snapToGrid w:val="0"/>
                    <w:spacing w:line="240" w:lineRule="auto"/>
                    <w:jc w:val="center"/>
                    <w:rPr>
                      <w:sz w:val="21"/>
                      <w:szCs w:val="21"/>
                    </w:rPr>
                  </w:pPr>
                  <w:r>
                    <w:rPr>
                      <w:sz w:val="21"/>
                      <w:szCs w:val="21"/>
                    </w:rPr>
                    <w:t>dB（A）</w:t>
                  </w:r>
                </w:p>
              </w:tc>
              <w:tc>
                <w:tcPr>
                  <w:tcW w:w="1697"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防治措施</w:t>
                  </w:r>
                </w:p>
              </w:tc>
              <w:tc>
                <w:tcPr>
                  <w:tcW w:w="1551" w:type="dxa"/>
                  <w:tcBorders>
                    <w:top w:val="single" w:color="auto" w:sz="12" w:space="0"/>
                    <w:bottom w:val="single" w:color="auto" w:sz="12" w:space="0"/>
                  </w:tcBorders>
                  <w:noWrap w:val="0"/>
                  <w:vAlign w:val="center"/>
                </w:tcPr>
                <w:p>
                  <w:pPr>
                    <w:snapToGrid w:val="0"/>
                    <w:spacing w:line="240" w:lineRule="auto"/>
                    <w:jc w:val="center"/>
                    <w:rPr>
                      <w:sz w:val="21"/>
                      <w:szCs w:val="21"/>
                    </w:rPr>
                  </w:pPr>
                  <w:r>
                    <w:rPr>
                      <w:sz w:val="21"/>
                      <w:szCs w:val="21"/>
                    </w:rPr>
                    <w:t>隔声量</w:t>
                  </w:r>
                </w:p>
                <w:p>
                  <w:pPr>
                    <w:snapToGrid w:val="0"/>
                    <w:spacing w:line="240" w:lineRule="auto"/>
                    <w:jc w:val="center"/>
                    <w:rPr>
                      <w:sz w:val="21"/>
                      <w:szCs w:val="21"/>
                    </w:rPr>
                  </w:pPr>
                  <w:r>
                    <w:rPr>
                      <w:sz w:val="21"/>
                      <w:szCs w:val="21"/>
                    </w:rPr>
                    <w:t>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5" w:type="dxa"/>
                  <w:tcBorders>
                    <w:top w:val="single" w:color="auto" w:sz="12" w:space="0"/>
                  </w:tcBorders>
                  <w:noWrap w:val="0"/>
                  <w:vAlign w:val="center"/>
                </w:tcPr>
                <w:p>
                  <w:pPr>
                    <w:snapToGrid w:val="0"/>
                    <w:spacing w:line="240" w:lineRule="auto"/>
                    <w:jc w:val="center"/>
                    <w:rPr>
                      <w:sz w:val="21"/>
                      <w:szCs w:val="21"/>
                    </w:rPr>
                  </w:pPr>
                  <w:r>
                    <w:rPr>
                      <w:sz w:val="21"/>
                      <w:szCs w:val="21"/>
                    </w:rPr>
                    <w:t>1</w:t>
                  </w:r>
                </w:p>
              </w:tc>
              <w:tc>
                <w:tcPr>
                  <w:tcW w:w="3116" w:type="dxa"/>
                  <w:tcBorders>
                    <w:top w:val="single" w:color="auto" w:sz="12" w:space="0"/>
                  </w:tcBorders>
                  <w:noWrap w:val="0"/>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捏合机（混料）</w:t>
                  </w:r>
                </w:p>
              </w:tc>
              <w:tc>
                <w:tcPr>
                  <w:tcW w:w="1048" w:type="dxa"/>
                  <w:tcBorders>
                    <w:top w:val="single" w:color="auto" w:sz="12" w:space="0"/>
                  </w:tcBorders>
                  <w:noWrap w:val="0"/>
                  <w:vAlign w:val="center"/>
                </w:tcPr>
                <w:p>
                  <w:pPr>
                    <w:snapToGrid w:val="0"/>
                    <w:spacing w:line="240" w:lineRule="auto"/>
                    <w:jc w:val="center"/>
                    <w:rPr>
                      <w:rFonts w:hint="eastAsia" w:eastAsia="宋体"/>
                      <w:sz w:val="21"/>
                      <w:szCs w:val="21"/>
                      <w:lang w:eastAsia="zh-CN"/>
                    </w:rPr>
                  </w:pPr>
                  <w:r>
                    <w:rPr>
                      <w:rFonts w:hint="eastAsia"/>
                      <w:sz w:val="21"/>
                      <w:szCs w:val="21"/>
                      <w:lang w:val="en-US" w:eastAsia="zh-CN"/>
                    </w:rPr>
                    <w:t>3</w:t>
                  </w:r>
                </w:p>
              </w:tc>
              <w:tc>
                <w:tcPr>
                  <w:tcW w:w="1325" w:type="dxa"/>
                  <w:tcBorders>
                    <w:top w:val="single" w:color="auto" w:sz="12" w:space="0"/>
                  </w:tcBorders>
                  <w:noWrap w:val="0"/>
                  <w:vAlign w:val="center"/>
                </w:tcPr>
                <w:p>
                  <w:pPr>
                    <w:snapToGrid w:val="0"/>
                    <w:spacing w:line="240" w:lineRule="auto"/>
                    <w:jc w:val="center"/>
                    <w:rPr>
                      <w:sz w:val="21"/>
                      <w:szCs w:val="21"/>
                    </w:rPr>
                  </w:pPr>
                  <w:r>
                    <w:rPr>
                      <w:sz w:val="21"/>
                      <w:szCs w:val="21"/>
                    </w:rPr>
                    <w:t>80</w:t>
                  </w:r>
                </w:p>
              </w:tc>
              <w:tc>
                <w:tcPr>
                  <w:tcW w:w="1697" w:type="dxa"/>
                  <w:tcBorders>
                    <w:top w:val="single" w:color="auto" w:sz="12" w:space="0"/>
                  </w:tcBorders>
                  <w:noWrap w:val="0"/>
                  <w:vAlign w:val="center"/>
                </w:tcPr>
                <w:p>
                  <w:pPr>
                    <w:snapToGrid w:val="0"/>
                    <w:spacing w:line="240" w:lineRule="auto"/>
                    <w:jc w:val="center"/>
                    <w:rPr>
                      <w:sz w:val="21"/>
                      <w:szCs w:val="21"/>
                    </w:rPr>
                  </w:pPr>
                  <w:r>
                    <w:rPr>
                      <w:sz w:val="21"/>
                      <w:szCs w:val="21"/>
                    </w:rPr>
                    <w:t>厂房隔声</w:t>
                  </w:r>
                </w:p>
              </w:tc>
              <w:tc>
                <w:tcPr>
                  <w:tcW w:w="1551" w:type="dxa"/>
                  <w:tcBorders>
                    <w:top w:val="single" w:color="auto" w:sz="12" w:space="0"/>
                  </w:tcBorders>
                  <w:noWrap w:val="0"/>
                  <w:vAlign w:val="center"/>
                </w:tcPr>
                <w:p>
                  <w:pPr>
                    <w:snapToGrid w:val="0"/>
                    <w:spacing w:line="240" w:lineRule="auto"/>
                    <w:jc w:val="center"/>
                    <w:rPr>
                      <w:sz w:val="21"/>
                      <w:szCs w:val="21"/>
                    </w:rPr>
                  </w:pPr>
                  <w:r>
                    <w:rPr>
                      <w:sz w:val="21"/>
                      <w:szCs w:val="21"/>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85" w:type="dxa"/>
                  <w:noWrap w:val="0"/>
                  <w:vAlign w:val="center"/>
                </w:tcPr>
                <w:p>
                  <w:pPr>
                    <w:snapToGrid w:val="0"/>
                    <w:spacing w:line="240" w:lineRule="auto"/>
                    <w:jc w:val="center"/>
                    <w:rPr>
                      <w:sz w:val="21"/>
                      <w:szCs w:val="21"/>
                    </w:rPr>
                  </w:pPr>
                  <w:r>
                    <w:rPr>
                      <w:sz w:val="21"/>
                      <w:szCs w:val="21"/>
                    </w:rPr>
                    <w:t>2</w:t>
                  </w:r>
                </w:p>
              </w:tc>
              <w:tc>
                <w:tcPr>
                  <w:tcW w:w="3116" w:type="dxa"/>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空压机</w:t>
                  </w:r>
                </w:p>
              </w:tc>
              <w:tc>
                <w:tcPr>
                  <w:tcW w:w="1048" w:type="dxa"/>
                  <w:noWrap w:val="0"/>
                  <w:vAlign w:val="center"/>
                </w:tcPr>
                <w:p>
                  <w:pPr>
                    <w:snapToGrid w:val="0"/>
                    <w:spacing w:line="240" w:lineRule="auto"/>
                    <w:jc w:val="center"/>
                    <w:rPr>
                      <w:rFonts w:hint="eastAsia" w:eastAsia="宋体"/>
                      <w:sz w:val="21"/>
                      <w:szCs w:val="21"/>
                      <w:lang w:eastAsia="zh-CN"/>
                    </w:rPr>
                  </w:pPr>
                  <w:r>
                    <w:rPr>
                      <w:rFonts w:hint="eastAsia"/>
                      <w:sz w:val="21"/>
                      <w:szCs w:val="21"/>
                      <w:lang w:val="en-US" w:eastAsia="zh-CN"/>
                    </w:rPr>
                    <w:t>1</w:t>
                  </w:r>
                </w:p>
              </w:tc>
              <w:tc>
                <w:tcPr>
                  <w:tcW w:w="1325" w:type="dxa"/>
                  <w:noWrap w:val="0"/>
                  <w:vAlign w:val="center"/>
                </w:tcPr>
                <w:p>
                  <w:pPr>
                    <w:snapToGrid w:val="0"/>
                    <w:spacing w:line="240" w:lineRule="auto"/>
                    <w:jc w:val="center"/>
                    <w:rPr>
                      <w:sz w:val="21"/>
                      <w:szCs w:val="21"/>
                    </w:rPr>
                  </w:pPr>
                  <w:r>
                    <w:rPr>
                      <w:sz w:val="21"/>
                      <w:szCs w:val="21"/>
                    </w:rPr>
                    <w:t>85</w:t>
                  </w:r>
                </w:p>
              </w:tc>
              <w:tc>
                <w:tcPr>
                  <w:tcW w:w="1697" w:type="dxa"/>
                  <w:noWrap w:val="0"/>
                  <w:vAlign w:val="center"/>
                </w:tcPr>
                <w:p>
                  <w:pPr>
                    <w:snapToGrid w:val="0"/>
                    <w:spacing w:line="240" w:lineRule="auto"/>
                    <w:jc w:val="center"/>
                    <w:rPr>
                      <w:sz w:val="21"/>
                      <w:szCs w:val="21"/>
                    </w:rPr>
                  </w:pPr>
                  <w:r>
                    <w:rPr>
                      <w:sz w:val="21"/>
                      <w:szCs w:val="21"/>
                    </w:rPr>
                    <w:t>厂房隔声</w:t>
                  </w:r>
                </w:p>
              </w:tc>
              <w:tc>
                <w:tcPr>
                  <w:tcW w:w="1551" w:type="dxa"/>
                  <w:noWrap w:val="0"/>
                  <w:vAlign w:val="center"/>
                </w:tcPr>
                <w:p>
                  <w:pPr>
                    <w:snapToGrid w:val="0"/>
                    <w:spacing w:line="240" w:lineRule="auto"/>
                    <w:jc w:val="center"/>
                    <w:rPr>
                      <w:sz w:val="21"/>
                      <w:szCs w:val="21"/>
                    </w:rPr>
                  </w:pPr>
                  <w:r>
                    <w:rPr>
                      <w:sz w:val="21"/>
                      <w:szCs w:val="21"/>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85" w:type="dxa"/>
                  <w:tcBorders>
                    <w:bottom w:val="single" w:color="auto" w:sz="12" w:space="0"/>
                  </w:tcBorders>
                  <w:noWrap w:val="0"/>
                  <w:vAlign w:val="center"/>
                </w:tcPr>
                <w:p>
                  <w:pPr>
                    <w:snapToGrid w:val="0"/>
                    <w:spacing w:line="240" w:lineRule="auto"/>
                    <w:jc w:val="center"/>
                    <w:rPr>
                      <w:sz w:val="21"/>
                      <w:szCs w:val="21"/>
                    </w:rPr>
                  </w:pPr>
                  <w:r>
                    <w:rPr>
                      <w:sz w:val="21"/>
                      <w:szCs w:val="21"/>
                    </w:rPr>
                    <w:t>3</w:t>
                  </w:r>
                </w:p>
              </w:tc>
              <w:tc>
                <w:tcPr>
                  <w:tcW w:w="3116" w:type="dxa"/>
                  <w:tcBorders>
                    <w:bottom w:val="single" w:color="auto" w:sz="12" w:space="0"/>
                  </w:tcBorders>
                  <w:noWrap w:val="0"/>
                  <w:vAlign w:val="center"/>
                </w:tcPr>
                <w:p>
                  <w:pPr>
                    <w:widowControl/>
                    <w:spacing w:line="240" w:lineRule="auto"/>
                    <w:jc w:val="center"/>
                    <w:rPr>
                      <w:rFonts w:hint="eastAsia" w:eastAsia="宋体"/>
                      <w:sz w:val="21"/>
                      <w:szCs w:val="21"/>
                      <w:lang w:val="en-US" w:eastAsia="zh-CN"/>
                    </w:rPr>
                  </w:pPr>
                  <w:r>
                    <w:rPr>
                      <w:rFonts w:hint="eastAsia"/>
                      <w:sz w:val="21"/>
                      <w:szCs w:val="21"/>
                      <w:lang w:val="en-US" w:eastAsia="zh-CN"/>
                    </w:rPr>
                    <w:t>冷却塔</w:t>
                  </w:r>
                </w:p>
              </w:tc>
              <w:tc>
                <w:tcPr>
                  <w:tcW w:w="1048" w:type="dxa"/>
                  <w:tcBorders>
                    <w:bottom w:val="single" w:color="auto" w:sz="12" w:space="0"/>
                  </w:tcBorders>
                  <w:noWrap w:val="0"/>
                  <w:vAlign w:val="center"/>
                </w:tcPr>
                <w:p>
                  <w:pPr>
                    <w:snapToGrid w:val="0"/>
                    <w:spacing w:line="240" w:lineRule="auto"/>
                    <w:jc w:val="center"/>
                    <w:rPr>
                      <w:rFonts w:hint="eastAsia" w:eastAsia="宋体"/>
                      <w:sz w:val="21"/>
                      <w:szCs w:val="21"/>
                      <w:lang w:eastAsia="zh-CN"/>
                    </w:rPr>
                  </w:pPr>
                  <w:r>
                    <w:rPr>
                      <w:rFonts w:hint="eastAsia"/>
                      <w:sz w:val="21"/>
                      <w:szCs w:val="21"/>
                      <w:lang w:val="en-US" w:eastAsia="zh-CN"/>
                    </w:rPr>
                    <w:t>1</w:t>
                  </w:r>
                </w:p>
              </w:tc>
              <w:tc>
                <w:tcPr>
                  <w:tcW w:w="1325" w:type="dxa"/>
                  <w:tcBorders>
                    <w:bottom w:val="single" w:color="auto" w:sz="12" w:space="0"/>
                  </w:tcBorders>
                  <w:noWrap w:val="0"/>
                  <w:vAlign w:val="center"/>
                </w:tcPr>
                <w:p>
                  <w:pPr>
                    <w:snapToGrid w:val="0"/>
                    <w:spacing w:line="240" w:lineRule="auto"/>
                    <w:jc w:val="center"/>
                    <w:rPr>
                      <w:sz w:val="21"/>
                      <w:szCs w:val="21"/>
                    </w:rPr>
                  </w:pPr>
                  <w:r>
                    <w:rPr>
                      <w:sz w:val="21"/>
                      <w:szCs w:val="21"/>
                    </w:rPr>
                    <w:t>75</w:t>
                  </w:r>
                </w:p>
              </w:tc>
              <w:tc>
                <w:tcPr>
                  <w:tcW w:w="1697" w:type="dxa"/>
                  <w:tcBorders>
                    <w:bottom w:val="single" w:color="auto" w:sz="12" w:space="0"/>
                  </w:tcBorders>
                  <w:noWrap w:val="0"/>
                  <w:vAlign w:val="center"/>
                </w:tcPr>
                <w:p>
                  <w:pPr>
                    <w:snapToGrid w:val="0"/>
                    <w:spacing w:line="240" w:lineRule="auto"/>
                    <w:jc w:val="center"/>
                    <w:rPr>
                      <w:sz w:val="21"/>
                      <w:szCs w:val="21"/>
                    </w:rPr>
                  </w:pPr>
                  <w:r>
                    <w:rPr>
                      <w:sz w:val="21"/>
                      <w:szCs w:val="21"/>
                    </w:rPr>
                    <w:t>厂房隔声</w:t>
                  </w:r>
                </w:p>
              </w:tc>
              <w:tc>
                <w:tcPr>
                  <w:tcW w:w="1551" w:type="dxa"/>
                  <w:tcBorders>
                    <w:bottom w:val="single" w:color="auto" w:sz="12" w:space="0"/>
                  </w:tcBorders>
                  <w:noWrap w:val="0"/>
                  <w:vAlign w:val="center"/>
                </w:tcPr>
                <w:p>
                  <w:pPr>
                    <w:snapToGrid w:val="0"/>
                    <w:spacing w:line="240" w:lineRule="auto"/>
                    <w:jc w:val="center"/>
                    <w:rPr>
                      <w:sz w:val="21"/>
                      <w:szCs w:val="21"/>
                    </w:rPr>
                  </w:pPr>
                  <w:r>
                    <w:rPr>
                      <w:sz w:val="21"/>
                      <w:szCs w:val="21"/>
                    </w:rPr>
                    <w:t>25</w:t>
                  </w:r>
                </w:p>
              </w:tc>
            </w:tr>
          </w:tbl>
          <w:p>
            <w:pPr>
              <w:pStyle w:val="2"/>
              <w:ind w:firstLine="0" w:firstLineChars="0"/>
              <w:rPr>
                <w:b/>
                <w:bCs/>
              </w:rPr>
            </w:pPr>
            <w:r>
              <w:rPr>
                <w:b/>
                <w:bCs/>
              </w:rPr>
              <w:t>4、固废</w:t>
            </w:r>
          </w:p>
          <w:p>
            <w:pPr>
              <w:pStyle w:val="2"/>
              <w:ind w:firstLine="480"/>
            </w:pPr>
            <w:r>
              <w:t>本项目产生的固废包括：</w:t>
            </w:r>
            <w:r>
              <w:rPr>
                <w:rFonts w:hint="eastAsia"/>
                <w:lang w:val="en-US" w:eastAsia="zh-CN"/>
              </w:rPr>
              <w:t>不合格品，废包装、布袋收尘及失效活性炭</w:t>
            </w:r>
            <w:r>
              <w:t>。</w:t>
            </w:r>
          </w:p>
          <w:p>
            <w:pPr>
              <w:rPr>
                <w:rFonts w:hint="eastAsia"/>
                <w:lang w:val="en-US" w:eastAsia="zh-CN"/>
              </w:rPr>
            </w:pPr>
            <w:r>
              <w:rPr>
                <w:rFonts w:hint="eastAsia"/>
                <w:lang w:val="en-US" w:eastAsia="zh-CN"/>
              </w:rPr>
              <w:t>不合格品：为生产过程中的不合格塑料管材，直接回炉重造，重新加工。</w:t>
            </w:r>
          </w:p>
          <w:p>
            <w:pPr>
              <w:rPr>
                <w:rFonts w:hint="eastAsia"/>
                <w:lang w:val="en-US" w:eastAsia="zh-CN"/>
              </w:rPr>
            </w:pPr>
            <w:r>
              <w:rPr>
                <w:rFonts w:hint="eastAsia"/>
                <w:lang w:val="en-US" w:eastAsia="zh-CN"/>
              </w:rPr>
              <w:t>废包装：项目过程中，原辅材料的包装袋，由环卫部门一同处置。</w:t>
            </w:r>
          </w:p>
          <w:p>
            <w:pPr>
              <w:rPr>
                <w:rFonts w:hint="eastAsia"/>
                <w:lang w:val="en-US" w:eastAsia="zh-CN"/>
              </w:rPr>
            </w:pPr>
            <w:r>
              <w:rPr>
                <w:rFonts w:hint="eastAsia"/>
                <w:lang w:val="en-US" w:eastAsia="zh-CN"/>
              </w:rPr>
              <w:t>布袋收尘：对于收集的CaCO</w:t>
            </w:r>
            <w:r>
              <w:rPr>
                <w:rFonts w:hint="eastAsia"/>
                <w:vertAlign w:val="subscript"/>
                <w:lang w:val="en-US" w:eastAsia="zh-CN"/>
              </w:rPr>
              <w:t>3</w:t>
            </w:r>
            <w:r>
              <w:rPr>
                <w:rFonts w:hint="eastAsia"/>
                <w:lang w:val="en-US" w:eastAsia="zh-CN"/>
              </w:rPr>
              <w:t>粉尘，重新作为辅材进行使用。</w:t>
            </w:r>
          </w:p>
          <w:p>
            <w:pPr>
              <w:rPr>
                <w:rFonts w:hint="default"/>
                <w:lang w:val="en-US" w:eastAsia="zh-CN"/>
              </w:rPr>
            </w:pPr>
            <w:r>
              <w:rPr>
                <w:rFonts w:hint="eastAsia"/>
                <w:lang w:val="en-US" w:eastAsia="zh-CN"/>
              </w:rPr>
              <w:t>废活性炭：项目废气收集处理措施产生的废活性炭，作危危废，委托有资质单位处置。</w:t>
            </w:r>
          </w:p>
          <w:p>
            <w:pPr>
              <w:rPr>
                <w:rFonts w:hint="default"/>
                <w:lang w:val="en-US" w:eastAsia="zh-CN"/>
              </w:rPr>
            </w:pPr>
            <w:r>
              <w:rPr>
                <w:rFonts w:hint="eastAsia"/>
                <w:lang w:val="en-US" w:eastAsia="zh-CN"/>
              </w:rPr>
              <w:t>生活垃圾：本项目新增员工19人，年工作时间300天，按照每人每天产生1.05kg垃圾计算，年产生生活垃圾约6t。</w:t>
            </w:r>
          </w:p>
          <w:p>
            <w:pPr>
              <w:pStyle w:val="104"/>
              <w:spacing w:line="360" w:lineRule="auto"/>
              <w:rPr>
                <w:rFonts w:eastAsia="宋体"/>
                <w:b/>
                <w:sz w:val="21"/>
                <w:szCs w:val="21"/>
              </w:rPr>
            </w:pPr>
            <w:r>
              <w:rPr>
                <w:rFonts w:eastAsia="宋体"/>
                <w:b/>
                <w:sz w:val="21"/>
                <w:szCs w:val="21"/>
              </w:rPr>
              <w:t>表5-</w:t>
            </w:r>
            <w:r>
              <w:rPr>
                <w:rFonts w:hint="eastAsia" w:eastAsia="宋体"/>
                <w:b/>
                <w:sz w:val="21"/>
                <w:szCs w:val="21"/>
                <w:lang w:val="en-US" w:eastAsia="zh-CN"/>
              </w:rPr>
              <w:t xml:space="preserve">5 </w:t>
            </w:r>
            <w:r>
              <w:rPr>
                <w:rFonts w:eastAsia="宋体"/>
                <w:b/>
                <w:sz w:val="21"/>
                <w:szCs w:val="21"/>
              </w:rPr>
              <w:t>建设项目副产物产生情况汇总表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65"/>
              <w:gridCol w:w="1121"/>
              <w:gridCol w:w="813"/>
              <w:gridCol w:w="1069"/>
              <w:gridCol w:w="997"/>
              <w:gridCol w:w="906"/>
              <w:gridCol w:w="757"/>
              <w:gridCol w:w="18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序号</w:t>
                  </w:r>
                </w:p>
              </w:tc>
              <w:tc>
                <w:tcPr>
                  <w:tcW w:w="1365"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副产物名称</w:t>
                  </w:r>
                </w:p>
              </w:tc>
              <w:tc>
                <w:tcPr>
                  <w:tcW w:w="1121"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产生工序</w:t>
                  </w:r>
                </w:p>
              </w:tc>
              <w:tc>
                <w:tcPr>
                  <w:tcW w:w="813"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形态</w:t>
                  </w:r>
                </w:p>
              </w:tc>
              <w:tc>
                <w:tcPr>
                  <w:tcW w:w="1069"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主要成分</w:t>
                  </w:r>
                </w:p>
              </w:tc>
              <w:tc>
                <w:tcPr>
                  <w:tcW w:w="997"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预测产生量（t/a）</w:t>
                  </w:r>
                </w:p>
              </w:tc>
              <w:tc>
                <w:tcPr>
                  <w:tcW w:w="3495" w:type="dxa"/>
                  <w:gridSpan w:val="3"/>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种类判断*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1365"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1121"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813"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1069"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997" w:type="dxa"/>
                  <w:vMerge w:val="continue"/>
                  <w:tcBorders>
                    <w:bottom w:val="single" w:color="auto" w:sz="12" w:space="0"/>
                  </w:tcBorders>
                  <w:noWrap w:val="0"/>
                  <w:tcMar>
                    <w:left w:w="28" w:type="dxa"/>
                    <w:right w:w="28" w:type="dxa"/>
                  </w:tcMar>
                  <w:vAlign w:val="center"/>
                </w:tcPr>
                <w:p>
                  <w:pPr>
                    <w:spacing w:line="240" w:lineRule="auto"/>
                    <w:jc w:val="center"/>
                    <w:rPr>
                      <w:sz w:val="21"/>
                      <w:szCs w:val="21"/>
                    </w:rPr>
                  </w:pPr>
                </w:p>
              </w:tc>
              <w:tc>
                <w:tcPr>
                  <w:tcW w:w="906" w:type="dxa"/>
                  <w:tcBorders>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固体废物</w:t>
                  </w:r>
                </w:p>
              </w:tc>
              <w:tc>
                <w:tcPr>
                  <w:tcW w:w="757" w:type="dxa"/>
                  <w:tcBorders>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副产品</w:t>
                  </w:r>
                </w:p>
              </w:tc>
              <w:tc>
                <w:tcPr>
                  <w:tcW w:w="1832" w:type="dxa"/>
                  <w:tcBorders>
                    <w:bottom w:val="single" w:color="auto" w:sz="12" w:space="0"/>
                  </w:tcBorders>
                  <w:noWrap w:val="0"/>
                  <w:tcMar>
                    <w:left w:w="28" w:type="dxa"/>
                    <w:right w:w="28" w:type="dxa"/>
                  </w:tcMar>
                  <w:vAlign w:val="center"/>
                </w:tcPr>
                <w:p>
                  <w:pPr>
                    <w:spacing w:line="240" w:lineRule="auto"/>
                    <w:jc w:val="center"/>
                    <w:rPr>
                      <w:sz w:val="21"/>
                      <w:szCs w:val="21"/>
                    </w:rPr>
                  </w:pPr>
                  <w:r>
                    <w:rPr>
                      <w:sz w:val="21"/>
                      <w:szCs w:val="21"/>
                    </w:rPr>
                    <w:t>判定依据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1</w:t>
                  </w:r>
                </w:p>
              </w:tc>
              <w:tc>
                <w:tcPr>
                  <w:tcW w:w="1365" w:type="dxa"/>
                  <w:tcBorders>
                    <w:top w:val="single" w:color="auto" w:sz="12" w:space="0"/>
                  </w:tcBorders>
                  <w:noWrap w:val="0"/>
                  <w:tcMar>
                    <w:left w:w="28" w:type="dxa"/>
                    <w:right w:w="28" w:type="dxa"/>
                  </w:tcMar>
                  <w:vAlign w:val="center"/>
                </w:tcPr>
                <w:p>
                  <w:pPr>
                    <w:snapToGrid w:val="0"/>
                    <w:spacing w:line="240" w:lineRule="auto"/>
                    <w:jc w:val="center"/>
                    <w:rPr>
                      <w:sz w:val="21"/>
                      <w:szCs w:val="21"/>
                    </w:rPr>
                  </w:pPr>
                  <w:r>
                    <w:rPr>
                      <w:rFonts w:hint="eastAsia"/>
                      <w:sz w:val="21"/>
                      <w:szCs w:val="21"/>
                      <w:lang w:val="en-US" w:eastAsia="zh-CN"/>
                    </w:rPr>
                    <w:t>不合格品</w:t>
                  </w:r>
                </w:p>
              </w:tc>
              <w:tc>
                <w:tcPr>
                  <w:tcW w:w="1121" w:type="dxa"/>
                  <w:tcBorders>
                    <w:top w:val="single" w:color="auto" w:sz="12" w:space="0"/>
                  </w:tcBorders>
                  <w:noWrap w:val="0"/>
                  <w:tcMar>
                    <w:left w:w="28" w:type="dxa"/>
                    <w:right w:w="28" w:type="dxa"/>
                  </w:tcMar>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检验</w:t>
                  </w:r>
                </w:p>
              </w:tc>
              <w:tc>
                <w:tcPr>
                  <w:tcW w:w="813" w:type="dxa"/>
                  <w:tcBorders>
                    <w:top w:val="single" w:color="auto" w:sz="12" w:space="0"/>
                  </w:tcBorders>
                  <w:noWrap w:val="0"/>
                  <w:tcMar>
                    <w:left w:w="28" w:type="dxa"/>
                    <w:right w:w="28" w:type="dxa"/>
                  </w:tcMar>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固态</w:t>
                  </w:r>
                </w:p>
              </w:tc>
              <w:tc>
                <w:tcPr>
                  <w:tcW w:w="1069" w:type="dxa"/>
                  <w:tcBorders>
                    <w:top w:val="single" w:color="auto" w:sz="12" w:space="0"/>
                  </w:tcBorders>
                  <w:noWrap w:val="0"/>
                  <w:tcMar>
                    <w:left w:w="28" w:type="dxa"/>
                    <w:right w:w="28" w:type="dxa"/>
                  </w:tcMar>
                  <w:vAlign w:val="center"/>
                </w:tcPr>
                <w:p>
                  <w:pPr>
                    <w:spacing w:line="240" w:lineRule="auto"/>
                    <w:jc w:val="center"/>
                    <w:rPr>
                      <w:rFonts w:hint="eastAsia" w:eastAsia="宋体"/>
                      <w:sz w:val="21"/>
                      <w:szCs w:val="21"/>
                      <w:lang w:val="en-US" w:eastAsia="zh-CN"/>
                    </w:rPr>
                  </w:pPr>
                  <w:r>
                    <w:rPr>
                      <w:rFonts w:hint="eastAsia"/>
                      <w:sz w:val="21"/>
                      <w:szCs w:val="21"/>
                      <w:lang w:val="en-US" w:eastAsia="zh-CN"/>
                    </w:rPr>
                    <w:t>塑料</w:t>
                  </w:r>
                </w:p>
              </w:tc>
              <w:tc>
                <w:tcPr>
                  <w:tcW w:w="997" w:type="dxa"/>
                  <w:tcBorders>
                    <w:top w:val="single" w:color="auto" w:sz="12" w:space="0"/>
                  </w:tcBorders>
                  <w:noWrap w:val="0"/>
                  <w:tcMar>
                    <w:left w:w="28" w:type="dxa"/>
                    <w:right w:w="28" w:type="dxa"/>
                  </w:tcMar>
                  <w:vAlign w:val="center"/>
                </w:tcPr>
                <w:p>
                  <w:pPr>
                    <w:widowControl/>
                    <w:spacing w:line="240" w:lineRule="auto"/>
                    <w:jc w:val="center"/>
                    <w:textAlignment w:val="center"/>
                    <w:rPr>
                      <w:rFonts w:hint="default" w:eastAsia="宋体"/>
                      <w:sz w:val="21"/>
                      <w:szCs w:val="21"/>
                      <w:lang w:val="en-US" w:eastAsia="zh-CN"/>
                    </w:rPr>
                  </w:pPr>
                  <w:r>
                    <w:rPr>
                      <w:rFonts w:hint="eastAsia"/>
                      <w:sz w:val="21"/>
                      <w:szCs w:val="21"/>
                      <w:lang w:val="en-US" w:eastAsia="zh-CN"/>
                    </w:rPr>
                    <w:t>0.3</w:t>
                  </w:r>
                </w:p>
              </w:tc>
              <w:tc>
                <w:tcPr>
                  <w:tcW w:w="906" w:type="dxa"/>
                  <w:tcBorders>
                    <w:top w:val="single" w:color="auto" w:sz="12" w:space="0"/>
                  </w:tcBorders>
                  <w:noWrap w:val="0"/>
                  <w:tcMar>
                    <w:left w:w="28" w:type="dxa"/>
                    <w:right w:w="28" w:type="dxa"/>
                  </w:tcMar>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w:t>
                  </w:r>
                </w:p>
              </w:tc>
              <w:tc>
                <w:tcPr>
                  <w:tcW w:w="757" w:type="dxa"/>
                  <w:tcBorders>
                    <w:top w:val="single" w:color="auto" w:sz="12" w:space="0"/>
                  </w:tcBorders>
                  <w:noWrap w:val="0"/>
                  <w:tcMar>
                    <w:left w:w="28" w:type="dxa"/>
                    <w:right w:w="28" w:type="dxa"/>
                  </w:tcMar>
                  <w:vAlign w:val="center"/>
                </w:tcPr>
                <w:p>
                  <w:pPr>
                    <w:spacing w:line="240" w:lineRule="auto"/>
                    <w:jc w:val="center"/>
                    <w:rPr>
                      <w:sz w:val="21"/>
                      <w:szCs w:val="21"/>
                    </w:rPr>
                  </w:pPr>
                </w:p>
              </w:tc>
              <w:tc>
                <w:tcPr>
                  <w:tcW w:w="1832" w:type="dxa"/>
                  <w:vMerge w:val="restart"/>
                  <w:tcBorders>
                    <w:top w:val="single" w:color="auto" w:sz="12" w:space="0"/>
                  </w:tcBorders>
                  <w:noWrap w:val="0"/>
                  <w:tcMar>
                    <w:left w:w="28" w:type="dxa"/>
                    <w:right w:w="28" w:type="dxa"/>
                  </w:tcMar>
                  <w:vAlign w:val="center"/>
                </w:tcPr>
                <w:p>
                  <w:pPr>
                    <w:spacing w:line="240" w:lineRule="auto"/>
                    <w:jc w:val="center"/>
                    <w:rPr>
                      <w:sz w:val="21"/>
                      <w:szCs w:val="21"/>
                    </w:rPr>
                  </w:pPr>
                  <w:r>
                    <w:rPr>
                      <w:sz w:val="21"/>
                      <w:szCs w:val="21"/>
                    </w:rPr>
                    <w:t>《</w:t>
                  </w:r>
                  <w:r>
                    <w:rPr>
                      <w:rFonts w:hint="eastAsia"/>
                      <w:sz w:val="21"/>
                      <w:szCs w:val="21"/>
                      <w:lang w:val="en-US" w:eastAsia="zh-CN"/>
                    </w:rPr>
                    <w:t>国家危险废物名录</w:t>
                  </w:r>
                  <w:r>
                    <w:rPr>
                      <w:sz w:val="21"/>
                      <w:szCs w:val="21"/>
                    </w:rPr>
                    <w:t>》（</w:t>
                  </w:r>
                  <w:r>
                    <w:rPr>
                      <w:rFonts w:hint="eastAsia"/>
                      <w:sz w:val="21"/>
                      <w:szCs w:val="21"/>
                      <w:lang w:val="en-US" w:eastAsia="zh-CN"/>
                    </w:rPr>
                    <w:t>2021年</w:t>
                  </w:r>
                  <w:r>
                    <w:rPr>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noWrap w:val="0"/>
                  <w:tcMar>
                    <w:left w:w="28" w:type="dxa"/>
                    <w:right w:w="28" w:type="dxa"/>
                  </w:tcMar>
                  <w:vAlign w:val="center"/>
                </w:tcPr>
                <w:p>
                  <w:pPr>
                    <w:spacing w:line="240" w:lineRule="auto"/>
                    <w:jc w:val="center"/>
                    <w:rPr>
                      <w:sz w:val="21"/>
                      <w:szCs w:val="21"/>
                    </w:rPr>
                  </w:pPr>
                  <w:r>
                    <w:rPr>
                      <w:sz w:val="21"/>
                      <w:szCs w:val="21"/>
                    </w:rPr>
                    <w:t>2</w:t>
                  </w:r>
                </w:p>
              </w:tc>
              <w:tc>
                <w:tcPr>
                  <w:tcW w:w="1365" w:type="dxa"/>
                  <w:noWrap w:val="0"/>
                  <w:tcMar>
                    <w:left w:w="28" w:type="dxa"/>
                    <w:right w:w="28" w:type="dxa"/>
                  </w:tcMar>
                  <w:vAlign w:val="center"/>
                </w:tcPr>
                <w:p>
                  <w:pPr>
                    <w:snapToGrid w:val="0"/>
                    <w:spacing w:line="240" w:lineRule="auto"/>
                    <w:jc w:val="center"/>
                    <w:rPr>
                      <w:sz w:val="21"/>
                      <w:szCs w:val="21"/>
                    </w:rPr>
                  </w:pPr>
                  <w:r>
                    <w:rPr>
                      <w:rFonts w:hint="eastAsia"/>
                      <w:sz w:val="21"/>
                      <w:szCs w:val="21"/>
                      <w:lang w:val="en-US" w:eastAsia="zh-CN"/>
                    </w:rPr>
                    <w:t>废包装</w:t>
                  </w:r>
                </w:p>
              </w:tc>
              <w:tc>
                <w:tcPr>
                  <w:tcW w:w="1121" w:type="dxa"/>
                  <w:noWrap w:val="0"/>
                  <w:tcMar>
                    <w:left w:w="28" w:type="dxa"/>
                    <w:right w:w="28" w:type="dxa"/>
                  </w:tcMar>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入库</w:t>
                  </w:r>
                </w:p>
              </w:tc>
              <w:tc>
                <w:tcPr>
                  <w:tcW w:w="813" w:type="dxa"/>
                  <w:noWrap w:val="0"/>
                  <w:tcMar>
                    <w:left w:w="28" w:type="dxa"/>
                    <w:right w:w="28" w:type="dxa"/>
                  </w:tcMar>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固态</w:t>
                  </w:r>
                </w:p>
              </w:tc>
              <w:tc>
                <w:tcPr>
                  <w:tcW w:w="1069" w:type="dxa"/>
                  <w:noWrap w:val="0"/>
                  <w:tcMar>
                    <w:left w:w="28" w:type="dxa"/>
                    <w:right w:w="28" w:type="dxa"/>
                  </w:tcMar>
                  <w:vAlign w:val="center"/>
                </w:tcPr>
                <w:p>
                  <w:pPr>
                    <w:spacing w:line="240" w:lineRule="auto"/>
                    <w:jc w:val="center"/>
                    <w:rPr>
                      <w:rFonts w:hint="eastAsia" w:eastAsia="宋体"/>
                      <w:sz w:val="21"/>
                      <w:szCs w:val="21"/>
                      <w:lang w:val="en-US" w:eastAsia="zh-CN"/>
                    </w:rPr>
                  </w:pPr>
                  <w:r>
                    <w:rPr>
                      <w:rFonts w:hint="eastAsia"/>
                      <w:sz w:val="21"/>
                      <w:szCs w:val="21"/>
                      <w:lang w:val="en-US" w:eastAsia="zh-CN"/>
                    </w:rPr>
                    <w:t>塑料</w:t>
                  </w:r>
                </w:p>
              </w:tc>
              <w:tc>
                <w:tcPr>
                  <w:tcW w:w="997" w:type="dxa"/>
                  <w:noWrap w:val="0"/>
                  <w:tcMar>
                    <w:left w:w="28" w:type="dxa"/>
                    <w:right w:w="28" w:type="dxa"/>
                  </w:tcMar>
                  <w:vAlign w:val="center"/>
                </w:tcPr>
                <w:p>
                  <w:pPr>
                    <w:widowControl/>
                    <w:spacing w:line="240" w:lineRule="auto"/>
                    <w:jc w:val="center"/>
                    <w:textAlignment w:val="center"/>
                    <w:rPr>
                      <w:rFonts w:hint="default" w:eastAsia="宋体"/>
                      <w:sz w:val="21"/>
                      <w:szCs w:val="21"/>
                      <w:lang w:val="en-US" w:eastAsia="zh-CN"/>
                    </w:rPr>
                  </w:pPr>
                  <w:r>
                    <w:rPr>
                      <w:rFonts w:hint="eastAsia"/>
                      <w:sz w:val="21"/>
                      <w:szCs w:val="21"/>
                      <w:lang w:val="en-US" w:eastAsia="zh-CN"/>
                    </w:rPr>
                    <w:t>3</w:t>
                  </w:r>
                </w:p>
              </w:tc>
              <w:tc>
                <w:tcPr>
                  <w:tcW w:w="906" w:type="dxa"/>
                  <w:noWrap w:val="0"/>
                  <w:tcMar>
                    <w:left w:w="28" w:type="dxa"/>
                    <w:right w:w="28" w:type="dxa"/>
                  </w:tcMar>
                  <w:vAlign w:val="center"/>
                </w:tcPr>
                <w:p>
                  <w:pPr>
                    <w:snapToGrid w:val="0"/>
                    <w:spacing w:line="240" w:lineRule="auto"/>
                    <w:jc w:val="center"/>
                    <w:rPr>
                      <w:sz w:val="21"/>
                      <w:szCs w:val="21"/>
                    </w:rPr>
                  </w:pPr>
                  <w:r>
                    <w:rPr>
                      <w:rFonts w:hint="eastAsia"/>
                      <w:sz w:val="21"/>
                      <w:szCs w:val="21"/>
                      <w:lang w:val="en-US" w:eastAsia="zh-CN"/>
                    </w:rPr>
                    <w:t>✔</w:t>
                  </w:r>
                </w:p>
              </w:tc>
              <w:tc>
                <w:tcPr>
                  <w:tcW w:w="757" w:type="dxa"/>
                  <w:noWrap w:val="0"/>
                  <w:tcMar>
                    <w:left w:w="28" w:type="dxa"/>
                    <w:right w:w="28" w:type="dxa"/>
                  </w:tcMar>
                  <w:vAlign w:val="center"/>
                </w:tcPr>
                <w:p>
                  <w:pPr>
                    <w:spacing w:line="240" w:lineRule="auto"/>
                    <w:jc w:val="center"/>
                    <w:rPr>
                      <w:sz w:val="21"/>
                      <w:szCs w:val="21"/>
                    </w:rPr>
                  </w:pPr>
                </w:p>
              </w:tc>
              <w:tc>
                <w:tcPr>
                  <w:tcW w:w="1832" w:type="dxa"/>
                  <w:vMerge w:val="continue"/>
                  <w:noWrap w:val="0"/>
                  <w:tcMar>
                    <w:left w:w="28" w:type="dxa"/>
                    <w:right w:w="28" w:type="dxa"/>
                  </w:tcMar>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noWrap w:val="0"/>
                  <w:vAlign w:val="center"/>
                </w:tcPr>
                <w:p>
                  <w:pPr>
                    <w:spacing w:line="240" w:lineRule="auto"/>
                    <w:jc w:val="center"/>
                    <w:rPr>
                      <w:sz w:val="21"/>
                      <w:szCs w:val="21"/>
                    </w:rPr>
                  </w:pPr>
                  <w:r>
                    <w:rPr>
                      <w:sz w:val="21"/>
                      <w:szCs w:val="21"/>
                    </w:rPr>
                    <w:t>3</w:t>
                  </w:r>
                </w:p>
              </w:tc>
              <w:tc>
                <w:tcPr>
                  <w:tcW w:w="1365" w:type="dxa"/>
                  <w:noWrap w:val="0"/>
                  <w:vAlign w:val="center"/>
                </w:tcPr>
                <w:p>
                  <w:pPr>
                    <w:snapToGrid w:val="0"/>
                    <w:spacing w:line="240" w:lineRule="auto"/>
                    <w:jc w:val="center"/>
                    <w:rPr>
                      <w:sz w:val="21"/>
                      <w:szCs w:val="21"/>
                    </w:rPr>
                  </w:pPr>
                  <w:r>
                    <w:rPr>
                      <w:rFonts w:hint="eastAsia"/>
                      <w:sz w:val="21"/>
                      <w:szCs w:val="21"/>
                      <w:lang w:val="en-US" w:eastAsia="zh-CN"/>
                    </w:rPr>
                    <w:t>布袋收尘</w:t>
                  </w:r>
                </w:p>
              </w:tc>
              <w:tc>
                <w:tcPr>
                  <w:tcW w:w="1121" w:type="dxa"/>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废气处理</w:t>
                  </w:r>
                </w:p>
              </w:tc>
              <w:tc>
                <w:tcPr>
                  <w:tcW w:w="813" w:type="dxa"/>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固态</w:t>
                  </w:r>
                </w:p>
              </w:tc>
              <w:tc>
                <w:tcPr>
                  <w:tcW w:w="1069" w:type="dxa"/>
                  <w:noWrap w:val="0"/>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CaCO</w:t>
                  </w:r>
                  <w:r>
                    <w:rPr>
                      <w:rFonts w:hint="eastAsia"/>
                      <w:sz w:val="21"/>
                      <w:szCs w:val="21"/>
                      <w:vertAlign w:val="subscript"/>
                      <w:lang w:val="en-US" w:eastAsia="zh-CN"/>
                    </w:rPr>
                    <w:t>3</w:t>
                  </w:r>
                </w:p>
              </w:tc>
              <w:tc>
                <w:tcPr>
                  <w:tcW w:w="997" w:type="dxa"/>
                  <w:noWrap w:val="0"/>
                  <w:vAlign w:val="center"/>
                </w:tcPr>
                <w:p>
                  <w:pPr>
                    <w:widowControl/>
                    <w:spacing w:line="240" w:lineRule="auto"/>
                    <w:jc w:val="center"/>
                    <w:textAlignment w:val="center"/>
                    <w:rPr>
                      <w:rFonts w:hint="default" w:eastAsia="宋体"/>
                      <w:sz w:val="21"/>
                      <w:szCs w:val="21"/>
                      <w:lang w:val="en-US" w:eastAsia="zh-CN"/>
                    </w:rPr>
                  </w:pPr>
                  <w:r>
                    <w:rPr>
                      <w:rFonts w:hint="eastAsia"/>
                      <w:sz w:val="21"/>
                      <w:szCs w:val="21"/>
                      <w:lang w:val="en-US" w:eastAsia="zh-CN"/>
                    </w:rPr>
                    <w:t>0.2673</w:t>
                  </w:r>
                </w:p>
              </w:tc>
              <w:tc>
                <w:tcPr>
                  <w:tcW w:w="906" w:type="dxa"/>
                  <w:noWrap w:val="0"/>
                  <w:vAlign w:val="center"/>
                </w:tcPr>
                <w:p>
                  <w:pPr>
                    <w:snapToGrid w:val="0"/>
                    <w:spacing w:line="240" w:lineRule="auto"/>
                    <w:jc w:val="center"/>
                    <w:rPr>
                      <w:sz w:val="21"/>
                      <w:szCs w:val="21"/>
                    </w:rPr>
                  </w:pPr>
                  <w:r>
                    <w:rPr>
                      <w:rFonts w:hint="eastAsia"/>
                      <w:sz w:val="21"/>
                      <w:szCs w:val="21"/>
                      <w:lang w:val="en-US" w:eastAsia="zh-CN"/>
                    </w:rPr>
                    <w:t>✔</w:t>
                  </w:r>
                </w:p>
              </w:tc>
              <w:tc>
                <w:tcPr>
                  <w:tcW w:w="757" w:type="dxa"/>
                  <w:noWrap w:val="0"/>
                  <w:vAlign w:val="center"/>
                </w:tcPr>
                <w:p>
                  <w:pPr>
                    <w:spacing w:line="240" w:lineRule="auto"/>
                    <w:jc w:val="center"/>
                    <w:rPr>
                      <w:sz w:val="21"/>
                      <w:szCs w:val="21"/>
                    </w:rPr>
                  </w:pPr>
                </w:p>
              </w:tc>
              <w:tc>
                <w:tcPr>
                  <w:tcW w:w="1832"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noWrap w:val="0"/>
                  <w:vAlign w:val="center"/>
                </w:tcPr>
                <w:p>
                  <w:pPr>
                    <w:spacing w:line="240" w:lineRule="auto"/>
                    <w:jc w:val="center"/>
                    <w:rPr>
                      <w:sz w:val="21"/>
                      <w:szCs w:val="21"/>
                    </w:rPr>
                  </w:pPr>
                  <w:r>
                    <w:rPr>
                      <w:sz w:val="21"/>
                      <w:szCs w:val="21"/>
                    </w:rPr>
                    <w:t>4</w:t>
                  </w:r>
                </w:p>
              </w:tc>
              <w:tc>
                <w:tcPr>
                  <w:tcW w:w="1365" w:type="dxa"/>
                  <w:noWrap w:val="0"/>
                  <w:vAlign w:val="center"/>
                </w:tcPr>
                <w:p>
                  <w:pPr>
                    <w:snapToGrid w:val="0"/>
                    <w:spacing w:line="240" w:lineRule="auto"/>
                    <w:jc w:val="center"/>
                    <w:rPr>
                      <w:sz w:val="21"/>
                      <w:szCs w:val="21"/>
                    </w:rPr>
                  </w:pPr>
                  <w:r>
                    <w:rPr>
                      <w:rFonts w:hint="eastAsia"/>
                      <w:sz w:val="21"/>
                      <w:szCs w:val="21"/>
                      <w:lang w:val="en-US" w:eastAsia="zh-CN"/>
                    </w:rPr>
                    <w:t>废活性炭</w:t>
                  </w:r>
                </w:p>
              </w:tc>
              <w:tc>
                <w:tcPr>
                  <w:tcW w:w="1121" w:type="dxa"/>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废气处理</w:t>
                  </w:r>
                </w:p>
              </w:tc>
              <w:tc>
                <w:tcPr>
                  <w:tcW w:w="813" w:type="dxa"/>
                  <w:noWrap w:val="0"/>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固态</w:t>
                  </w:r>
                </w:p>
              </w:tc>
              <w:tc>
                <w:tcPr>
                  <w:tcW w:w="1069" w:type="dxa"/>
                  <w:noWrap w:val="0"/>
                  <w:vAlign w:val="center"/>
                </w:tcPr>
                <w:p>
                  <w:pPr>
                    <w:snapToGrid w:val="0"/>
                    <w:spacing w:line="240" w:lineRule="auto"/>
                    <w:jc w:val="center"/>
                    <w:rPr>
                      <w:rFonts w:hint="default" w:eastAsia="宋体"/>
                      <w:sz w:val="21"/>
                      <w:szCs w:val="21"/>
                      <w:lang w:val="en-US" w:eastAsia="zh-CN"/>
                    </w:rPr>
                  </w:pPr>
                  <w:r>
                    <w:rPr>
                      <w:rFonts w:hint="eastAsia"/>
                      <w:sz w:val="21"/>
                      <w:szCs w:val="21"/>
                      <w:lang w:val="en-US" w:eastAsia="zh-CN"/>
                    </w:rPr>
                    <w:t>活性炭、有机物</w:t>
                  </w:r>
                </w:p>
              </w:tc>
              <w:tc>
                <w:tcPr>
                  <w:tcW w:w="997" w:type="dxa"/>
                  <w:noWrap w:val="0"/>
                  <w:vAlign w:val="center"/>
                </w:tcPr>
                <w:p>
                  <w:pPr>
                    <w:widowControl/>
                    <w:spacing w:line="240" w:lineRule="auto"/>
                    <w:jc w:val="center"/>
                    <w:textAlignment w:val="center"/>
                    <w:rPr>
                      <w:rFonts w:hint="eastAsia" w:eastAsia="宋体"/>
                      <w:sz w:val="21"/>
                      <w:szCs w:val="21"/>
                      <w:lang w:val="en-US" w:eastAsia="zh-CN"/>
                    </w:rPr>
                  </w:pPr>
                  <w:r>
                    <w:rPr>
                      <w:rFonts w:hint="eastAsia"/>
                      <w:sz w:val="21"/>
                      <w:szCs w:val="21"/>
                      <w:lang w:val="en-US" w:eastAsia="zh-CN"/>
                    </w:rPr>
                    <w:t>1</w:t>
                  </w:r>
                </w:p>
              </w:tc>
              <w:tc>
                <w:tcPr>
                  <w:tcW w:w="906" w:type="dxa"/>
                  <w:noWrap w:val="0"/>
                  <w:vAlign w:val="center"/>
                </w:tcPr>
                <w:p>
                  <w:pPr>
                    <w:snapToGrid w:val="0"/>
                    <w:spacing w:line="240" w:lineRule="auto"/>
                    <w:jc w:val="center"/>
                    <w:rPr>
                      <w:sz w:val="21"/>
                      <w:szCs w:val="21"/>
                    </w:rPr>
                  </w:pPr>
                  <w:r>
                    <w:rPr>
                      <w:rFonts w:hint="eastAsia"/>
                      <w:sz w:val="21"/>
                      <w:szCs w:val="21"/>
                      <w:lang w:val="en-US" w:eastAsia="zh-CN"/>
                    </w:rPr>
                    <w:t>✔</w:t>
                  </w:r>
                </w:p>
              </w:tc>
              <w:tc>
                <w:tcPr>
                  <w:tcW w:w="757" w:type="dxa"/>
                  <w:noWrap w:val="0"/>
                  <w:vAlign w:val="center"/>
                </w:tcPr>
                <w:p>
                  <w:pPr>
                    <w:spacing w:line="240" w:lineRule="auto"/>
                    <w:jc w:val="center"/>
                    <w:rPr>
                      <w:sz w:val="21"/>
                      <w:szCs w:val="21"/>
                    </w:rPr>
                  </w:pPr>
                </w:p>
              </w:tc>
              <w:tc>
                <w:tcPr>
                  <w:tcW w:w="1832" w:type="dxa"/>
                  <w:vMerge w:val="continue"/>
                  <w:noWrap w:val="0"/>
                  <w:vAlign w:val="center"/>
                </w:tcPr>
                <w:p>
                  <w:pPr>
                    <w:spacing w:line="240" w:lineRule="auto"/>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2" w:type="dxa"/>
                  <w:tcBorders>
                    <w:bottom w:val="single" w:color="auto" w:sz="12" w:space="0"/>
                  </w:tcBorders>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5</w:t>
                  </w:r>
                </w:p>
              </w:tc>
              <w:tc>
                <w:tcPr>
                  <w:tcW w:w="1365" w:type="dxa"/>
                  <w:tcBorders>
                    <w:bottom w:val="single" w:color="auto" w:sz="12" w:space="0"/>
                  </w:tcBorders>
                  <w:noWrap w:val="0"/>
                  <w:vAlign w:val="center"/>
                </w:tcPr>
                <w:p>
                  <w:pPr>
                    <w:snapToGrid w:val="0"/>
                    <w:spacing w:line="240" w:lineRule="auto"/>
                    <w:jc w:val="center"/>
                    <w:rPr>
                      <w:rFonts w:hint="default"/>
                      <w:sz w:val="21"/>
                      <w:szCs w:val="21"/>
                      <w:lang w:val="en-US" w:eastAsia="zh-CN"/>
                    </w:rPr>
                  </w:pPr>
                  <w:r>
                    <w:rPr>
                      <w:rFonts w:hint="eastAsia"/>
                      <w:sz w:val="21"/>
                      <w:szCs w:val="21"/>
                      <w:lang w:val="en-US" w:eastAsia="zh-CN"/>
                    </w:rPr>
                    <w:t>生活垃圾</w:t>
                  </w:r>
                </w:p>
              </w:tc>
              <w:tc>
                <w:tcPr>
                  <w:tcW w:w="1121" w:type="dxa"/>
                  <w:tcBorders>
                    <w:bottom w:val="single" w:color="auto" w:sz="12" w:space="0"/>
                  </w:tcBorders>
                  <w:noWrap w:val="0"/>
                  <w:vAlign w:val="center"/>
                </w:tcPr>
                <w:p>
                  <w:pPr>
                    <w:snapToGrid w:val="0"/>
                    <w:spacing w:line="240" w:lineRule="auto"/>
                    <w:jc w:val="center"/>
                    <w:rPr>
                      <w:rFonts w:hint="default"/>
                      <w:sz w:val="21"/>
                      <w:szCs w:val="21"/>
                      <w:lang w:val="en-US" w:eastAsia="zh-CN"/>
                    </w:rPr>
                  </w:pPr>
                  <w:r>
                    <w:rPr>
                      <w:rFonts w:hint="eastAsia"/>
                      <w:sz w:val="21"/>
                      <w:szCs w:val="21"/>
                      <w:lang w:val="en-US" w:eastAsia="zh-CN"/>
                    </w:rPr>
                    <w:t>生活</w:t>
                  </w:r>
                </w:p>
              </w:tc>
              <w:tc>
                <w:tcPr>
                  <w:tcW w:w="813" w:type="dxa"/>
                  <w:tcBorders>
                    <w:bottom w:val="single" w:color="auto" w:sz="12" w:space="0"/>
                  </w:tcBorders>
                  <w:noWrap w:val="0"/>
                  <w:vAlign w:val="center"/>
                </w:tcPr>
                <w:p>
                  <w:pPr>
                    <w:snapToGrid w:val="0"/>
                    <w:spacing w:line="240" w:lineRule="auto"/>
                    <w:jc w:val="center"/>
                    <w:rPr>
                      <w:rFonts w:hint="default"/>
                      <w:sz w:val="21"/>
                      <w:szCs w:val="21"/>
                      <w:lang w:val="en-US" w:eastAsia="zh-CN"/>
                    </w:rPr>
                  </w:pPr>
                  <w:r>
                    <w:rPr>
                      <w:rFonts w:hint="eastAsia"/>
                      <w:sz w:val="21"/>
                      <w:szCs w:val="21"/>
                      <w:lang w:val="en-US" w:eastAsia="zh-CN"/>
                    </w:rPr>
                    <w:t>固态</w:t>
                  </w:r>
                </w:p>
              </w:tc>
              <w:tc>
                <w:tcPr>
                  <w:tcW w:w="1069" w:type="dxa"/>
                  <w:tcBorders>
                    <w:bottom w:val="single" w:color="auto" w:sz="12" w:space="0"/>
                  </w:tcBorders>
                  <w:noWrap w:val="0"/>
                  <w:vAlign w:val="center"/>
                </w:tcPr>
                <w:p>
                  <w:pPr>
                    <w:snapToGrid w:val="0"/>
                    <w:spacing w:line="240" w:lineRule="auto"/>
                    <w:jc w:val="center"/>
                    <w:rPr>
                      <w:rFonts w:hint="default"/>
                      <w:sz w:val="21"/>
                      <w:szCs w:val="21"/>
                      <w:lang w:val="en-US" w:eastAsia="zh-CN"/>
                    </w:rPr>
                  </w:pPr>
                  <w:r>
                    <w:rPr>
                      <w:rFonts w:hint="eastAsia"/>
                      <w:sz w:val="21"/>
                      <w:szCs w:val="21"/>
                      <w:lang w:val="en-US" w:eastAsia="zh-CN"/>
                    </w:rPr>
                    <w:t>生活垃圾</w:t>
                  </w:r>
                </w:p>
              </w:tc>
              <w:tc>
                <w:tcPr>
                  <w:tcW w:w="997" w:type="dxa"/>
                  <w:tcBorders>
                    <w:bottom w:val="single" w:color="auto" w:sz="12" w:space="0"/>
                  </w:tcBorders>
                  <w:noWrap w:val="0"/>
                  <w:vAlign w:val="center"/>
                </w:tcPr>
                <w:p>
                  <w:pPr>
                    <w:widowControl/>
                    <w:spacing w:line="240" w:lineRule="auto"/>
                    <w:jc w:val="center"/>
                    <w:textAlignment w:val="center"/>
                    <w:rPr>
                      <w:rFonts w:hint="default"/>
                      <w:sz w:val="21"/>
                      <w:szCs w:val="21"/>
                      <w:lang w:val="en-US" w:eastAsia="zh-CN"/>
                    </w:rPr>
                  </w:pPr>
                  <w:r>
                    <w:rPr>
                      <w:rFonts w:hint="eastAsia"/>
                      <w:sz w:val="21"/>
                      <w:szCs w:val="21"/>
                      <w:lang w:val="en-US" w:eastAsia="zh-CN"/>
                    </w:rPr>
                    <w:t>6</w:t>
                  </w:r>
                </w:p>
              </w:tc>
              <w:tc>
                <w:tcPr>
                  <w:tcW w:w="906" w:type="dxa"/>
                  <w:tcBorders>
                    <w:bottom w:val="single" w:color="auto" w:sz="12" w:space="0"/>
                  </w:tcBorders>
                  <w:noWrap w:val="0"/>
                  <w:vAlign w:val="center"/>
                </w:tcPr>
                <w:p>
                  <w:pPr>
                    <w:snapToGrid w:val="0"/>
                    <w:spacing w:line="240" w:lineRule="auto"/>
                    <w:jc w:val="center"/>
                    <w:rPr>
                      <w:rFonts w:hint="eastAsia"/>
                      <w:sz w:val="21"/>
                      <w:szCs w:val="21"/>
                      <w:lang w:val="en-US" w:eastAsia="zh-CN"/>
                    </w:rPr>
                  </w:pPr>
                  <w:r>
                    <w:rPr>
                      <w:rFonts w:hint="eastAsia"/>
                      <w:sz w:val="21"/>
                      <w:szCs w:val="21"/>
                      <w:lang w:val="en-US" w:eastAsia="zh-CN"/>
                    </w:rPr>
                    <w:t>✔</w:t>
                  </w:r>
                </w:p>
              </w:tc>
              <w:tc>
                <w:tcPr>
                  <w:tcW w:w="757" w:type="dxa"/>
                  <w:tcBorders>
                    <w:bottom w:val="single" w:color="auto" w:sz="12" w:space="0"/>
                  </w:tcBorders>
                  <w:noWrap w:val="0"/>
                  <w:vAlign w:val="center"/>
                </w:tcPr>
                <w:p>
                  <w:pPr>
                    <w:spacing w:line="240" w:lineRule="auto"/>
                    <w:jc w:val="center"/>
                    <w:rPr>
                      <w:sz w:val="21"/>
                      <w:szCs w:val="21"/>
                    </w:rPr>
                  </w:pPr>
                </w:p>
              </w:tc>
              <w:tc>
                <w:tcPr>
                  <w:tcW w:w="1832" w:type="dxa"/>
                  <w:tcBorders>
                    <w:bottom w:val="single" w:color="auto" w:sz="12" w:space="0"/>
                  </w:tcBorders>
                  <w:noWrap w:val="0"/>
                  <w:vAlign w:val="center"/>
                </w:tcPr>
                <w:p>
                  <w:pPr>
                    <w:spacing w:line="240" w:lineRule="auto"/>
                    <w:jc w:val="center"/>
                    <w:rPr>
                      <w:sz w:val="21"/>
                      <w:szCs w:val="21"/>
                    </w:rPr>
                  </w:pPr>
                </w:p>
              </w:tc>
            </w:tr>
          </w:tbl>
          <w:p>
            <w:pPr>
              <w:pStyle w:val="2"/>
              <w:spacing w:line="240" w:lineRule="auto"/>
              <w:ind w:firstLine="0" w:firstLineChars="0"/>
              <w:rPr>
                <w:b/>
                <w:bCs/>
              </w:rPr>
            </w:pPr>
            <w:r>
              <w:rPr>
                <w:b/>
                <w:bCs/>
                <w:kern w:val="0"/>
                <w:sz w:val="20"/>
                <w:szCs w:val="16"/>
              </w:rPr>
              <w:t>*注：种类判断，在相应类别下打钩</w:t>
            </w:r>
          </w:p>
          <w:p>
            <w:pPr>
              <w:widowControl/>
              <w:adjustRightInd w:val="0"/>
              <w:snapToGrid w:val="0"/>
              <w:ind w:firstLine="480" w:firstLineChars="200"/>
              <w:jc w:val="left"/>
              <w:rPr>
                <w:b/>
              </w:rPr>
            </w:pPr>
            <w:r>
              <w:rPr>
                <w:kern w:val="0"/>
              </w:rPr>
              <w:t>本项目营运期固体废物分析结果汇总如下：</w:t>
            </w:r>
          </w:p>
          <w:p>
            <w:pPr>
              <w:widowControl/>
              <w:spacing w:line="240" w:lineRule="auto"/>
              <w:jc w:val="center"/>
              <w:rPr>
                <w:b/>
                <w:bCs/>
                <w:kern w:val="0"/>
                <w:sz w:val="21"/>
              </w:rPr>
            </w:pPr>
            <w:r>
              <w:rPr>
                <w:b/>
                <w:bCs/>
                <w:kern w:val="0"/>
                <w:sz w:val="21"/>
              </w:rPr>
              <w:t>表5-6  建设项目固体废物分析结果汇总表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16"/>
              <w:gridCol w:w="1238"/>
              <w:gridCol w:w="659"/>
              <w:gridCol w:w="987"/>
              <w:gridCol w:w="638"/>
              <w:gridCol w:w="1700"/>
              <w:gridCol w:w="727"/>
              <w:gridCol w:w="770"/>
              <w:gridCol w:w="1340"/>
              <w:gridCol w:w="8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16"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序号</w:t>
                  </w:r>
                </w:p>
              </w:tc>
              <w:tc>
                <w:tcPr>
                  <w:tcW w:w="1238"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固废名称</w:t>
                  </w:r>
                </w:p>
              </w:tc>
              <w:tc>
                <w:tcPr>
                  <w:tcW w:w="659"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属性</w:t>
                  </w:r>
                </w:p>
              </w:tc>
              <w:tc>
                <w:tcPr>
                  <w:tcW w:w="987"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产生工序</w:t>
                  </w:r>
                </w:p>
              </w:tc>
              <w:tc>
                <w:tcPr>
                  <w:tcW w:w="638"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形态</w:t>
                  </w:r>
                </w:p>
              </w:tc>
              <w:tc>
                <w:tcPr>
                  <w:tcW w:w="1700"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主要成分</w:t>
                  </w:r>
                </w:p>
              </w:tc>
              <w:tc>
                <w:tcPr>
                  <w:tcW w:w="727"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危险</w:t>
                  </w:r>
                </w:p>
                <w:p>
                  <w:pPr>
                    <w:topLinePunct/>
                    <w:snapToGrid w:val="0"/>
                    <w:spacing w:line="240" w:lineRule="auto"/>
                    <w:jc w:val="center"/>
                    <w:rPr>
                      <w:kern w:val="0"/>
                      <w:sz w:val="21"/>
                      <w:szCs w:val="21"/>
                    </w:rPr>
                  </w:pPr>
                  <w:r>
                    <w:rPr>
                      <w:kern w:val="0"/>
                      <w:sz w:val="21"/>
                      <w:szCs w:val="21"/>
                    </w:rPr>
                    <w:t>特性</w:t>
                  </w:r>
                </w:p>
              </w:tc>
              <w:tc>
                <w:tcPr>
                  <w:tcW w:w="770"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废物</w:t>
                  </w:r>
                </w:p>
                <w:p>
                  <w:pPr>
                    <w:topLinePunct/>
                    <w:snapToGrid w:val="0"/>
                    <w:spacing w:line="240" w:lineRule="auto"/>
                    <w:jc w:val="center"/>
                    <w:rPr>
                      <w:kern w:val="0"/>
                      <w:sz w:val="21"/>
                      <w:szCs w:val="21"/>
                    </w:rPr>
                  </w:pPr>
                  <w:r>
                    <w:rPr>
                      <w:kern w:val="0"/>
                      <w:sz w:val="21"/>
                      <w:szCs w:val="21"/>
                    </w:rPr>
                    <w:t>类别</w:t>
                  </w:r>
                </w:p>
              </w:tc>
              <w:tc>
                <w:tcPr>
                  <w:tcW w:w="1340"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废物代码</w:t>
                  </w:r>
                </w:p>
              </w:tc>
              <w:tc>
                <w:tcPr>
                  <w:tcW w:w="837"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产生量（t/a）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516" w:type="dxa"/>
                  <w:tcBorders>
                    <w:top w:val="single" w:color="auto" w:sz="12" w:space="0"/>
                    <w:bottom w:val="single" w:color="auto" w:sz="4" w:space="0"/>
                  </w:tcBorders>
                  <w:noWrap w:val="0"/>
                  <w:vAlign w:val="center"/>
                </w:tcPr>
                <w:p>
                  <w:pPr>
                    <w:topLinePunct/>
                    <w:snapToGrid w:val="0"/>
                    <w:spacing w:line="240" w:lineRule="auto"/>
                    <w:jc w:val="center"/>
                    <w:rPr>
                      <w:kern w:val="0"/>
                      <w:sz w:val="21"/>
                      <w:szCs w:val="21"/>
                    </w:rPr>
                  </w:pPr>
                  <w:r>
                    <w:rPr>
                      <w:kern w:val="0"/>
                      <w:sz w:val="21"/>
                      <w:szCs w:val="21"/>
                    </w:rPr>
                    <w:t>1</w:t>
                  </w:r>
                </w:p>
              </w:tc>
              <w:tc>
                <w:tcPr>
                  <w:tcW w:w="1238" w:type="dxa"/>
                  <w:tcBorders>
                    <w:top w:val="single" w:color="auto" w:sz="12" w:space="0"/>
                    <w:bottom w:val="single" w:color="auto" w:sz="4" w:space="0"/>
                  </w:tcBorders>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不合格品</w:t>
                  </w:r>
                </w:p>
              </w:tc>
              <w:tc>
                <w:tcPr>
                  <w:tcW w:w="659" w:type="dxa"/>
                  <w:vMerge w:val="restart"/>
                  <w:tcBorders>
                    <w:top w:val="single" w:color="auto" w:sz="12" w:space="0"/>
                  </w:tcBorders>
                  <w:noWrap w:val="0"/>
                  <w:vAlign w:val="center"/>
                </w:tcPr>
                <w:p>
                  <w:pPr>
                    <w:snapToGrid w:val="0"/>
                    <w:spacing w:line="240" w:lineRule="auto"/>
                    <w:jc w:val="center"/>
                    <w:rPr>
                      <w:rFonts w:hint="eastAsia"/>
                      <w:kern w:val="0"/>
                      <w:sz w:val="21"/>
                      <w:szCs w:val="21"/>
                      <w:lang w:val="en-US" w:eastAsia="zh-CN"/>
                    </w:rPr>
                  </w:pPr>
                  <w:r>
                    <w:rPr>
                      <w:rFonts w:hint="eastAsia"/>
                      <w:kern w:val="0"/>
                      <w:sz w:val="21"/>
                      <w:szCs w:val="21"/>
                      <w:lang w:val="en-US" w:eastAsia="zh-CN"/>
                    </w:rPr>
                    <w:t>一般</w:t>
                  </w:r>
                </w:p>
                <w:p>
                  <w:pPr>
                    <w:snapToGrid w:val="0"/>
                    <w:spacing w:line="240" w:lineRule="auto"/>
                    <w:jc w:val="center"/>
                    <w:rPr>
                      <w:rFonts w:hint="eastAsia" w:eastAsia="宋体"/>
                      <w:kern w:val="0"/>
                      <w:sz w:val="21"/>
                      <w:szCs w:val="21"/>
                      <w:lang w:val="en-US" w:eastAsia="zh-CN"/>
                    </w:rPr>
                  </w:pPr>
                  <w:r>
                    <w:rPr>
                      <w:rFonts w:hint="eastAsia"/>
                      <w:kern w:val="0"/>
                      <w:sz w:val="21"/>
                      <w:szCs w:val="21"/>
                      <w:lang w:val="en-US" w:eastAsia="zh-CN"/>
                    </w:rPr>
                    <w:t>固废</w:t>
                  </w:r>
                </w:p>
              </w:tc>
              <w:tc>
                <w:tcPr>
                  <w:tcW w:w="987" w:type="dxa"/>
                  <w:tcBorders>
                    <w:top w:val="single" w:color="auto" w:sz="12" w:space="0"/>
                    <w:bottom w:val="single" w:color="auto" w:sz="4"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检验</w:t>
                  </w:r>
                </w:p>
              </w:tc>
              <w:tc>
                <w:tcPr>
                  <w:tcW w:w="638" w:type="dxa"/>
                  <w:tcBorders>
                    <w:top w:val="single" w:color="auto" w:sz="12" w:space="0"/>
                    <w:bottom w:val="single" w:color="auto" w:sz="4" w:space="0"/>
                  </w:tcBorders>
                  <w:noWrap w:val="0"/>
                  <w:vAlign w:val="center"/>
                </w:tcPr>
                <w:p>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1700" w:type="dxa"/>
                  <w:tcBorders>
                    <w:top w:val="single" w:color="auto" w:sz="12" w:space="0"/>
                    <w:bottom w:val="single" w:color="auto" w:sz="4" w:space="0"/>
                  </w:tcBorders>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塑料</w:t>
                  </w:r>
                </w:p>
              </w:tc>
              <w:tc>
                <w:tcPr>
                  <w:tcW w:w="727" w:type="dxa"/>
                  <w:tcBorders>
                    <w:top w:val="single" w:color="auto" w:sz="12" w:space="0"/>
                    <w:bottom w:val="single" w:color="auto" w:sz="4" w:space="0"/>
                  </w:tcBorders>
                  <w:noWrap w:val="0"/>
                  <w:vAlign w:val="center"/>
                </w:tcPr>
                <w:p>
                  <w:pPr>
                    <w:topLinePunct/>
                    <w:snapToGrid w:val="0"/>
                    <w:spacing w:line="240" w:lineRule="auto"/>
                    <w:jc w:val="center"/>
                    <w:rPr>
                      <w:sz w:val="21"/>
                      <w:szCs w:val="21"/>
                    </w:rPr>
                  </w:pPr>
                  <w:r>
                    <w:rPr>
                      <w:sz w:val="21"/>
                      <w:szCs w:val="21"/>
                    </w:rPr>
                    <w:t>/</w:t>
                  </w:r>
                </w:p>
              </w:tc>
              <w:tc>
                <w:tcPr>
                  <w:tcW w:w="770" w:type="dxa"/>
                  <w:tcBorders>
                    <w:top w:val="single" w:color="auto" w:sz="12" w:space="0"/>
                    <w:bottom w:val="single" w:color="auto" w:sz="4" w:space="0"/>
                  </w:tcBorders>
                  <w:noWrap w:val="0"/>
                  <w:vAlign w:val="center"/>
                </w:tcPr>
                <w:p>
                  <w:pPr>
                    <w:topLinePunct/>
                    <w:snapToGrid w:val="0"/>
                    <w:spacing w:line="240" w:lineRule="auto"/>
                    <w:jc w:val="center"/>
                    <w:rPr>
                      <w:sz w:val="21"/>
                      <w:szCs w:val="21"/>
                    </w:rPr>
                  </w:pPr>
                  <w:r>
                    <w:rPr>
                      <w:sz w:val="21"/>
                      <w:szCs w:val="21"/>
                    </w:rPr>
                    <w:t>/</w:t>
                  </w:r>
                </w:p>
              </w:tc>
              <w:tc>
                <w:tcPr>
                  <w:tcW w:w="1340" w:type="dxa"/>
                  <w:tcBorders>
                    <w:top w:val="single" w:color="auto" w:sz="12" w:space="0"/>
                    <w:bottom w:val="single" w:color="auto" w:sz="4" w:space="0"/>
                  </w:tcBorders>
                  <w:noWrap w:val="0"/>
                  <w:vAlign w:val="center"/>
                </w:tcPr>
                <w:p>
                  <w:pPr>
                    <w:snapToGrid w:val="0"/>
                    <w:spacing w:line="240" w:lineRule="auto"/>
                    <w:jc w:val="center"/>
                    <w:rPr>
                      <w:sz w:val="21"/>
                      <w:szCs w:val="21"/>
                    </w:rPr>
                  </w:pPr>
                  <w:r>
                    <w:rPr>
                      <w:sz w:val="21"/>
                      <w:szCs w:val="21"/>
                    </w:rPr>
                    <w:t>/</w:t>
                  </w:r>
                </w:p>
              </w:tc>
              <w:tc>
                <w:tcPr>
                  <w:tcW w:w="837" w:type="dxa"/>
                  <w:tcBorders>
                    <w:top w:val="single" w:color="auto" w:sz="12" w:space="0"/>
                    <w:bottom w:val="single" w:color="auto" w:sz="4" w:space="0"/>
                  </w:tcBorders>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516" w:type="dxa"/>
                  <w:tcBorders>
                    <w:top w:val="single" w:color="auto" w:sz="4" w:space="0"/>
                    <w:bottom w:val="single" w:color="auto" w:sz="4" w:space="0"/>
                  </w:tcBorders>
                  <w:noWrap w:val="0"/>
                  <w:vAlign w:val="center"/>
                </w:tcPr>
                <w:p>
                  <w:pPr>
                    <w:topLinePunct/>
                    <w:snapToGrid w:val="0"/>
                    <w:spacing w:line="240" w:lineRule="auto"/>
                    <w:jc w:val="center"/>
                    <w:rPr>
                      <w:rFonts w:hint="eastAsia" w:eastAsia="宋体"/>
                      <w:kern w:val="0"/>
                      <w:sz w:val="21"/>
                      <w:szCs w:val="21"/>
                      <w:lang w:val="en-US" w:eastAsia="zh-CN"/>
                    </w:rPr>
                  </w:pPr>
                  <w:r>
                    <w:rPr>
                      <w:rFonts w:hint="eastAsia"/>
                      <w:kern w:val="0"/>
                      <w:sz w:val="21"/>
                      <w:szCs w:val="21"/>
                      <w:lang w:val="en-US" w:eastAsia="zh-CN"/>
                    </w:rPr>
                    <w:t>2</w:t>
                  </w:r>
                </w:p>
              </w:tc>
              <w:tc>
                <w:tcPr>
                  <w:tcW w:w="1238" w:type="dxa"/>
                  <w:tcBorders>
                    <w:top w:val="single" w:color="auto" w:sz="4" w:space="0"/>
                    <w:bottom w:val="single" w:color="auto" w:sz="4" w:space="0"/>
                  </w:tcBorders>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废包装</w:t>
                  </w:r>
                </w:p>
              </w:tc>
              <w:tc>
                <w:tcPr>
                  <w:tcW w:w="659" w:type="dxa"/>
                  <w:vMerge w:val="continue"/>
                  <w:noWrap w:val="0"/>
                  <w:vAlign w:val="center"/>
                </w:tcPr>
                <w:p>
                  <w:pPr>
                    <w:snapToGrid w:val="0"/>
                    <w:spacing w:line="240" w:lineRule="auto"/>
                    <w:jc w:val="center"/>
                    <w:rPr>
                      <w:rFonts w:hint="eastAsia"/>
                      <w:kern w:val="0"/>
                      <w:sz w:val="21"/>
                      <w:szCs w:val="21"/>
                      <w:lang w:val="en-US" w:eastAsia="zh-CN"/>
                    </w:rPr>
                  </w:pPr>
                </w:p>
              </w:tc>
              <w:tc>
                <w:tcPr>
                  <w:tcW w:w="987" w:type="dxa"/>
                  <w:tcBorders>
                    <w:top w:val="single" w:color="auto" w:sz="4" w:space="0"/>
                    <w:bottom w:val="single" w:color="auto" w:sz="4"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入库</w:t>
                  </w:r>
                </w:p>
              </w:tc>
              <w:tc>
                <w:tcPr>
                  <w:tcW w:w="638" w:type="dxa"/>
                  <w:tcBorders>
                    <w:top w:val="single" w:color="auto" w:sz="4" w:space="0"/>
                    <w:bottom w:val="single" w:color="auto" w:sz="4" w:space="0"/>
                  </w:tcBorders>
                  <w:noWrap w:val="0"/>
                  <w:vAlign w:val="center"/>
                </w:tcPr>
                <w:p>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1700" w:type="dxa"/>
                  <w:tcBorders>
                    <w:top w:val="single" w:color="auto" w:sz="4" w:space="0"/>
                    <w:bottom w:val="single" w:color="auto" w:sz="4" w:space="0"/>
                  </w:tcBorders>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塑料</w:t>
                  </w:r>
                </w:p>
              </w:tc>
              <w:tc>
                <w:tcPr>
                  <w:tcW w:w="727" w:type="dxa"/>
                  <w:tcBorders>
                    <w:top w:val="single" w:color="auto" w:sz="4" w:space="0"/>
                    <w:bottom w:val="single" w:color="auto" w:sz="4" w:space="0"/>
                  </w:tcBorders>
                  <w:noWrap w:val="0"/>
                  <w:vAlign w:val="center"/>
                </w:tcPr>
                <w:p>
                  <w:pPr>
                    <w:topLinePunct/>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770" w:type="dxa"/>
                  <w:tcBorders>
                    <w:top w:val="single" w:color="auto" w:sz="4" w:space="0"/>
                    <w:bottom w:val="single" w:color="auto" w:sz="4" w:space="0"/>
                  </w:tcBorders>
                  <w:noWrap w:val="0"/>
                  <w:vAlign w:val="center"/>
                </w:tcPr>
                <w:p>
                  <w:pPr>
                    <w:topLinePunct/>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1340" w:type="dxa"/>
                  <w:tcBorders>
                    <w:top w:val="single" w:color="auto" w:sz="4" w:space="0"/>
                    <w:bottom w:val="single" w:color="auto" w:sz="4" w:space="0"/>
                  </w:tcBorders>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837" w:type="dxa"/>
                  <w:tcBorders>
                    <w:top w:val="single" w:color="auto" w:sz="4" w:space="0"/>
                    <w:bottom w:val="single" w:color="auto" w:sz="4" w:space="0"/>
                  </w:tcBorders>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516" w:type="dxa"/>
                  <w:tcBorders>
                    <w:top w:val="single" w:color="auto" w:sz="4" w:space="0"/>
                  </w:tcBorders>
                  <w:noWrap w:val="0"/>
                  <w:vAlign w:val="center"/>
                </w:tcPr>
                <w:p>
                  <w:pPr>
                    <w:topLinePunct/>
                    <w:snapToGrid w:val="0"/>
                    <w:spacing w:line="240" w:lineRule="auto"/>
                    <w:jc w:val="center"/>
                    <w:rPr>
                      <w:rFonts w:hint="eastAsia" w:eastAsia="宋体"/>
                      <w:kern w:val="0"/>
                      <w:sz w:val="21"/>
                      <w:szCs w:val="21"/>
                      <w:lang w:val="en-US" w:eastAsia="zh-CN"/>
                    </w:rPr>
                  </w:pPr>
                  <w:r>
                    <w:rPr>
                      <w:rFonts w:hint="eastAsia"/>
                      <w:kern w:val="0"/>
                      <w:sz w:val="21"/>
                      <w:szCs w:val="21"/>
                      <w:lang w:val="en-US" w:eastAsia="zh-CN"/>
                    </w:rPr>
                    <w:t>3</w:t>
                  </w:r>
                </w:p>
              </w:tc>
              <w:tc>
                <w:tcPr>
                  <w:tcW w:w="1238" w:type="dxa"/>
                  <w:tcBorders>
                    <w:top w:val="single" w:color="auto" w:sz="4" w:space="0"/>
                  </w:tcBorders>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布袋收尘</w:t>
                  </w:r>
                </w:p>
              </w:tc>
              <w:tc>
                <w:tcPr>
                  <w:tcW w:w="659" w:type="dxa"/>
                  <w:vMerge w:val="continue"/>
                  <w:noWrap w:val="0"/>
                  <w:vAlign w:val="center"/>
                </w:tcPr>
                <w:p>
                  <w:pPr>
                    <w:snapToGrid w:val="0"/>
                    <w:spacing w:line="240" w:lineRule="auto"/>
                    <w:jc w:val="center"/>
                    <w:rPr>
                      <w:rFonts w:hint="eastAsia"/>
                      <w:kern w:val="0"/>
                      <w:sz w:val="21"/>
                      <w:szCs w:val="21"/>
                      <w:lang w:val="en-US" w:eastAsia="zh-CN"/>
                    </w:rPr>
                  </w:pPr>
                </w:p>
              </w:tc>
              <w:tc>
                <w:tcPr>
                  <w:tcW w:w="987" w:type="dxa"/>
                  <w:tcBorders>
                    <w:top w:val="single" w:color="auto" w:sz="4" w:space="0"/>
                  </w:tcBorders>
                  <w:noWrap w:val="0"/>
                  <w:vAlign w:val="center"/>
                </w:tcPr>
                <w:p>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废气处理</w:t>
                  </w:r>
                </w:p>
              </w:tc>
              <w:tc>
                <w:tcPr>
                  <w:tcW w:w="638" w:type="dxa"/>
                  <w:tcBorders>
                    <w:top w:val="single" w:color="auto" w:sz="4" w:space="0"/>
                  </w:tcBorders>
                  <w:noWrap w:val="0"/>
                  <w:vAlign w:val="center"/>
                </w:tcPr>
                <w:p>
                  <w:pPr>
                    <w:snapToGrid w:val="0"/>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1700" w:type="dxa"/>
                  <w:tcBorders>
                    <w:top w:val="single" w:color="auto" w:sz="4"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CaCO</w:t>
                  </w:r>
                  <w:r>
                    <w:rPr>
                      <w:rFonts w:hint="eastAsia"/>
                      <w:sz w:val="21"/>
                      <w:szCs w:val="21"/>
                      <w:vertAlign w:val="subscript"/>
                      <w:lang w:val="en-US" w:eastAsia="zh-CN"/>
                    </w:rPr>
                    <w:t>3</w:t>
                  </w:r>
                </w:p>
              </w:tc>
              <w:tc>
                <w:tcPr>
                  <w:tcW w:w="727" w:type="dxa"/>
                  <w:tcBorders>
                    <w:top w:val="single" w:color="auto" w:sz="4" w:space="0"/>
                  </w:tcBorders>
                  <w:noWrap w:val="0"/>
                  <w:vAlign w:val="center"/>
                </w:tcPr>
                <w:p>
                  <w:pPr>
                    <w:topLinePunct/>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770" w:type="dxa"/>
                  <w:tcBorders>
                    <w:top w:val="single" w:color="auto" w:sz="4" w:space="0"/>
                  </w:tcBorders>
                  <w:noWrap w:val="0"/>
                  <w:vAlign w:val="center"/>
                </w:tcPr>
                <w:p>
                  <w:pPr>
                    <w:topLinePunct/>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1340" w:type="dxa"/>
                  <w:tcBorders>
                    <w:top w:val="single" w:color="auto" w:sz="4" w:space="0"/>
                  </w:tcBorders>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w:t>
                  </w:r>
                </w:p>
              </w:tc>
              <w:tc>
                <w:tcPr>
                  <w:tcW w:w="837" w:type="dxa"/>
                  <w:tcBorders>
                    <w:top w:val="single" w:color="auto" w:sz="4" w:space="0"/>
                  </w:tcBorders>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0.2673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16" w:type="dxa"/>
                  <w:noWrap w:val="0"/>
                  <w:vAlign w:val="center"/>
                </w:tcPr>
                <w:p>
                  <w:pPr>
                    <w:snapToGrid w:val="0"/>
                    <w:spacing w:line="240" w:lineRule="auto"/>
                    <w:jc w:val="center"/>
                    <w:rPr>
                      <w:rFonts w:hint="eastAsia" w:eastAsia="宋体"/>
                      <w:sz w:val="21"/>
                      <w:szCs w:val="21"/>
                      <w:lang w:eastAsia="zh-CN"/>
                    </w:rPr>
                  </w:pPr>
                  <w:r>
                    <w:rPr>
                      <w:rFonts w:hint="eastAsia"/>
                      <w:sz w:val="21"/>
                      <w:szCs w:val="21"/>
                      <w:lang w:val="en-US" w:eastAsia="zh-CN"/>
                    </w:rPr>
                    <w:t>4</w:t>
                  </w:r>
                </w:p>
              </w:tc>
              <w:tc>
                <w:tcPr>
                  <w:tcW w:w="1238"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废活性炭</w:t>
                  </w:r>
                </w:p>
              </w:tc>
              <w:tc>
                <w:tcPr>
                  <w:tcW w:w="659" w:type="dxa"/>
                  <w:noWrap w:val="0"/>
                  <w:vAlign w:val="center"/>
                </w:tcPr>
                <w:p>
                  <w:pPr>
                    <w:snapToGrid w:val="0"/>
                    <w:spacing w:line="240" w:lineRule="auto"/>
                    <w:jc w:val="center"/>
                    <w:rPr>
                      <w:rFonts w:hint="eastAsia" w:cs="Times New Roman"/>
                      <w:kern w:val="0"/>
                      <w:sz w:val="21"/>
                      <w:szCs w:val="21"/>
                      <w:lang w:val="en-US" w:eastAsia="zh-CN" w:bidi="ar-SA"/>
                    </w:rPr>
                  </w:pPr>
                  <w:r>
                    <w:rPr>
                      <w:rFonts w:hint="eastAsia" w:cs="Times New Roman"/>
                      <w:kern w:val="0"/>
                      <w:sz w:val="21"/>
                      <w:szCs w:val="21"/>
                      <w:lang w:val="en-US" w:eastAsia="zh-CN" w:bidi="ar-SA"/>
                    </w:rPr>
                    <w:t>危险</w:t>
                  </w:r>
                </w:p>
                <w:p>
                  <w:pPr>
                    <w:snapToGrid w:val="0"/>
                    <w:spacing w:line="240" w:lineRule="auto"/>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固废</w:t>
                  </w:r>
                </w:p>
              </w:tc>
              <w:tc>
                <w:tcPr>
                  <w:tcW w:w="987"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废气处理</w:t>
                  </w:r>
                </w:p>
              </w:tc>
              <w:tc>
                <w:tcPr>
                  <w:tcW w:w="638"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固态</w:t>
                  </w:r>
                </w:p>
              </w:tc>
              <w:tc>
                <w:tcPr>
                  <w:tcW w:w="1700"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活性炭、有机物</w:t>
                  </w:r>
                </w:p>
              </w:tc>
              <w:tc>
                <w:tcPr>
                  <w:tcW w:w="727"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T/In</w:t>
                  </w:r>
                </w:p>
              </w:tc>
              <w:tc>
                <w:tcPr>
                  <w:tcW w:w="770"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HW49</w:t>
                  </w:r>
                </w:p>
              </w:tc>
              <w:tc>
                <w:tcPr>
                  <w:tcW w:w="1340" w:type="dxa"/>
                  <w:noWrap w:val="0"/>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sz w:val="21"/>
                      <w:szCs w:val="21"/>
                    </w:rPr>
                    <w:t>900-041-49</w:t>
                  </w:r>
                </w:p>
              </w:tc>
              <w:tc>
                <w:tcPr>
                  <w:tcW w:w="837" w:type="dxa"/>
                  <w:noWrap w:val="0"/>
                  <w:vAlign w:val="center"/>
                </w:tcPr>
                <w:p>
                  <w:pPr>
                    <w:widowControl/>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516" w:type="dxa"/>
                  <w:tcBorders>
                    <w:bottom w:val="single" w:color="auto" w:sz="12" w:space="0"/>
                  </w:tcBorders>
                  <w:noWrap w:val="0"/>
                  <w:vAlign w:val="center"/>
                </w:tcPr>
                <w:p>
                  <w:pPr>
                    <w:snapToGrid w:val="0"/>
                    <w:spacing w:line="240" w:lineRule="auto"/>
                    <w:jc w:val="center"/>
                    <w:rPr>
                      <w:rFonts w:hint="eastAsia" w:eastAsia="宋体"/>
                      <w:sz w:val="21"/>
                      <w:szCs w:val="21"/>
                      <w:lang w:eastAsia="zh-CN"/>
                    </w:rPr>
                  </w:pPr>
                  <w:r>
                    <w:rPr>
                      <w:rFonts w:hint="eastAsia"/>
                      <w:sz w:val="21"/>
                      <w:szCs w:val="21"/>
                      <w:lang w:val="en-US" w:eastAsia="zh-CN"/>
                    </w:rPr>
                    <w:t>5</w:t>
                  </w:r>
                </w:p>
              </w:tc>
              <w:tc>
                <w:tcPr>
                  <w:tcW w:w="1238" w:type="dxa"/>
                  <w:tcBorders>
                    <w:bottom w:val="single" w:color="auto" w:sz="12" w:space="0"/>
                  </w:tcBorders>
                  <w:noWrap w:val="0"/>
                  <w:vAlign w:val="center"/>
                </w:tcPr>
                <w:p>
                  <w:pPr>
                    <w:snapToGrid w:val="0"/>
                    <w:spacing w:line="240" w:lineRule="auto"/>
                    <w:jc w:val="center"/>
                    <w:rPr>
                      <w:sz w:val="21"/>
                      <w:szCs w:val="21"/>
                    </w:rPr>
                  </w:pPr>
                  <w:r>
                    <w:rPr>
                      <w:sz w:val="21"/>
                      <w:szCs w:val="21"/>
                    </w:rPr>
                    <w:t>生活垃圾</w:t>
                  </w:r>
                </w:p>
              </w:tc>
              <w:tc>
                <w:tcPr>
                  <w:tcW w:w="659" w:type="dxa"/>
                  <w:tcBorders>
                    <w:bottom w:val="single" w:color="auto" w:sz="12" w:space="0"/>
                  </w:tcBorders>
                  <w:noWrap w:val="0"/>
                  <w:vAlign w:val="center"/>
                </w:tcPr>
                <w:p>
                  <w:pPr>
                    <w:snapToGrid w:val="0"/>
                    <w:spacing w:line="240" w:lineRule="auto"/>
                    <w:jc w:val="center"/>
                    <w:rPr>
                      <w:kern w:val="0"/>
                      <w:sz w:val="21"/>
                      <w:szCs w:val="21"/>
                    </w:rPr>
                  </w:pPr>
                  <w:r>
                    <w:rPr>
                      <w:kern w:val="0"/>
                      <w:sz w:val="21"/>
                      <w:szCs w:val="21"/>
                    </w:rPr>
                    <w:t>一般</w:t>
                  </w:r>
                </w:p>
                <w:p>
                  <w:pPr>
                    <w:snapToGrid w:val="0"/>
                    <w:spacing w:line="240" w:lineRule="auto"/>
                    <w:jc w:val="center"/>
                    <w:rPr>
                      <w:kern w:val="0"/>
                      <w:sz w:val="21"/>
                      <w:szCs w:val="21"/>
                    </w:rPr>
                  </w:pPr>
                  <w:r>
                    <w:rPr>
                      <w:kern w:val="0"/>
                      <w:sz w:val="21"/>
                      <w:szCs w:val="21"/>
                    </w:rPr>
                    <w:t>废物</w:t>
                  </w:r>
                </w:p>
              </w:tc>
              <w:tc>
                <w:tcPr>
                  <w:tcW w:w="987" w:type="dxa"/>
                  <w:tcBorders>
                    <w:bottom w:val="single" w:color="auto" w:sz="12" w:space="0"/>
                  </w:tcBorders>
                  <w:noWrap w:val="0"/>
                  <w:vAlign w:val="center"/>
                </w:tcPr>
                <w:p>
                  <w:pPr>
                    <w:snapToGrid w:val="0"/>
                    <w:spacing w:line="240" w:lineRule="auto"/>
                    <w:jc w:val="center"/>
                    <w:rPr>
                      <w:sz w:val="21"/>
                      <w:szCs w:val="21"/>
                    </w:rPr>
                  </w:pPr>
                  <w:r>
                    <w:rPr>
                      <w:sz w:val="21"/>
                      <w:szCs w:val="21"/>
                    </w:rPr>
                    <w:t>生活</w:t>
                  </w:r>
                </w:p>
              </w:tc>
              <w:tc>
                <w:tcPr>
                  <w:tcW w:w="638" w:type="dxa"/>
                  <w:tcBorders>
                    <w:bottom w:val="single" w:color="auto" w:sz="12" w:space="0"/>
                  </w:tcBorders>
                  <w:noWrap w:val="0"/>
                  <w:vAlign w:val="center"/>
                </w:tcPr>
                <w:p>
                  <w:pPr>
                    <w:snapToGrid w:val="0"/>
                    <w:spacing w:line="240" w:lineRule="auto"/>
                    <w:jc w:val="center"/>
                    <w:rPr>
                      <w:sz w:val="21"/>
                      <w:szCs w:val="21"/>
                    </w:rPr>
                  </w:pPr>
                  <w:r>
                    <w:rPr>
                      <w:sz w:val="21"/>
                      <w:szCs w:val="21"/>
                    </w:rPr>
                    <w:t>固态</w:t>
                  </w:r>
                </w:p>
              </w:tc>
              <w:tc>
                <w:tcPr>
                  <w:tcW w:w="1700" w:type="dxa"/>
                  <w:tcBorders>
                    <w:bottom w:val="single" w:color="auto" w:sz="12" w:space="0"/>
                  </w:tcBorders>
                  <w:noWrap w:val="0"/>
                  <w:vAlign w:val="center"/>
                </w:tcPr>
                <w:p>
                  <w:pPr>
                    <w:snapToGrid w:val="0"/>
                    <w:spacing w:line="240" w:lineRule="auto"/>
                    <w:jc w:val="center"/>
                    <w:rPr>
                      <w:sz w:val="21"/>
                      <w:szCs w:val="21"/>
                    </w:rPr>
                  </w:pPr>
                  <w:r>
                    <w:rPr>
                      <w:sz w:val="21"/>
                      <w:szCs w:val="21"/>
                    </w:rPr>
                    <w:t>生活垃圾</w:t>
                  </w:r>
                </w:p>
              </w:tc>
              <w:tc>
                <w:tcPr>
                  <w:tcW w:w="727" w:type="dxa"/>
                  <w:tcBorders>
                    <w:bottom w:val="single" w:color="auto" w:sz="12" w:space="0"/>
                  </w:tcBorders>
                  <w:noWrap w:val="0"/>
                  <w:vAlign w:val="center"/>
                </w:tcPr>
                <w:p>
                  <w:pPr>
                    <w:snapToGrid w:val="0"/>
                    <w:spacing w:line="240" w:lineRule="auto"/>
                    <w:jc w:val="center"/>
                    <w:rPr>
                      <w:sz w:val="21"/>
                      <w:szCs w:val="21"/>
                    </w:rPr>
                  </w:pPr>
                  <w:r>
                    <w:rPr>
                      <w:sz w:val="21"/>
                      <w:szCs w:val="21"/>
                    </w:rPr>
                    <w:t>/</w:t>
                  </w:r>
                </w:p>
              </w:tc>
              <w:tc>
                <w:tcPr>
                  <w:tcW w:w="770" w:type="dxa"/>
                  <w:tcBorders>
                    <w:bottom w:val="single" w:color="auto" w:sz="12" w:space="0"/>
                  </w:tcBorders>
                  <w:noWrap w:val="0"/>
                  <w:vAlign w:val="center"/>
                </w:tcPr>
                <w:p>
                  <w:pPr>
                    <w:snapToGrid w:val="0"/>
                    <w:spacing w:line="240" w:lineRule="auto"/>
                    <w:jc w:val="center"/>
                    <w:rPr>
                      <w:sz w:val="21"/>
                      <w:szCs w:val="21"/>
                    </w:rPr>
                  </w:pPr>
                  <w:r>
                    <w:rPr>
                      <w:sz w:val="21"/>
                      <w:szCs w:val="21"/>
                    </w:rPr>
                    <w:t>/</w:t>
                  </w:r>
                </w:p>
              </w:tc>
              <w:tc>
                <w:tcPr>
                  <w:tcW w:w="1340" w:type="dxa"/>
                  <w:tcBorders>
                    <w:bottom w:val="single" w:color="auto" w:sz="12" w:space="0"/>
                  </w:tcBorders>
                  <w:noWrap w:val="0"/>
                  <w:vAlign w:val="center"/>
                </w:tcPr>
                <w:p>
                  <w:pPr>
                    <w:snapToGrid w:val="0"/>
                    <w:spacing w:line="240" w:lineRule="auto"/>
                    <w:jc w:val="center"/>
                    <w:rPr>
                      <w:sz w:val="21"/>
                      <w:szCs w:val="21"/>
                    </w:rPr>
                  </w:pPr>
                  <w:r>
                    <w:rPr>
                      <w:sz w:val="21"/>
                      <w:szCs w:val="21"/>
                    </w:rPr>
                    <w:t>/</w:t>
                  </w:r>
                </w:p>
              </w:tc>
              <w:tc>
                <w:tcPr>
                  <w:tcW w:w="837" w:type="dxa"/>
                  <w:tcBorders>
                    <w:bottom w:val="single" w:color="auto" w:sz="12" w:space="0"/>
                  </w:tcBorders>
                  <w:noWrap w:val="0"/>
                  <w:vAlign w:val="center"/>
                </w:tcPr>
                <w:p>
                  <w:pPr>
                    <w:widowControl/>
                    <w:spacing w:line="240" w:lineRule="auto"/>
                    <w:jc w:val="center"/>
                    <w:textAlignment w:val="center"/>
                    <w:rPr>
                      <w:sz w:val="21"/>
                      <w:szCs w:val="21"/>
                    </w:rPr>
                  </w:pPr>
                  <w:r>
                    <w:rPr>
                      <w:color w:val="000000"/>
                      <w:kern w:val="0"/>
                      <w:sz w:val="21"/>
                      <w:szCs w:val="21"/>
                      <w:lang w:bidi="ar"/>
                    </w:rPr>
                    <w:t>6</w:t>
                  </w:r>
                </w:p>
              </w:tc>
            </w:tr>
          </w:tbl>
          <w:p>
            <w:pPr>
              <w:widowControl/>
              <w:spacing w:before="156" w:beforeLines="50"/>
              <w:jc w:val="center"/>
            </w:pPr>
            <w:r>
              <w:rPr>
                <w:b/>
                <w:sz w:val="21"/>
                <w:szCs w:val="21"/>
              </w:rPr>
              <w:t>表5-7 工程分析中危险废物</w:t>
            </w:r>
            <w:r>
              <w:rPr>
                <w:b/>
                <w:bCs/>
                <w:kern w:val="0"/>
                <w:sz w:val="21"/>
              </w:rPr>
              <w:t>汇总表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0"/>
              <w:gridCol w:w="1245"/>
              <w:gridCol w:w="811"/>
              <w:gridCol w:w="1210"/>
              <w:gridCol w:w="778"/>
              <w:gridCol w:w="623"/>
              <w:gridCol w:w="623"/>
              <w:gridCol w:w="704"/>
              <w:gridCol w:w="778"/>
              <w:gridCol w:w="622"/>
              <w:gridCol w:w="623"/>
              <w:gridCol w:w="9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420"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序号</w:t>
                  </w:r>
                </w:p>
              </w:tc>
              <w:tc>
                <w:tcPr>
                  <w:tcW w:w="1245"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危险废物</w:t>
                  </w:r>
                </w:p>
                <w:p>
                  <w:pPr>
                    <w:topLinePunct/>
                    <w:snapToGrid w:val="0"/>
                    <w:spacing w:line="240" w:lineRule="auto"/>
                    <w:jc w:val="center"/>
                    <w:rPr>
                      <w:kern w:val="0"/>
                      <w:sz w:val="21"/>
                      <w:szCs w:val="21"/>
                    </w:rPr>
                  </w:pPr>
                  <w:r>
                    <w:rPr>
                      <w:kern w:val="0"/>
                      <w:sz w:val="21"/>
                      <w:szCs w:val="21"/>
                    </w:rPr>
                    <w:t>名称</w:t>
                  </w:r>
                </w:p>
              </w:tc>
              <w:tc>
                <w:tcPr>
                  <w:tcW w:w="811"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废物</w:t>
                  </w:r>
                </w:p>
                <w:p>
                  <w:pPr>
                    <w:topLinePunct/>
                    <w:snapToGrid w:val="0"/>
                    <w:spacing w:line="240" w:lineRule="auto"/>
                    <w:jc w:val="center"/>
                    <w:rPr>
                      <w:kern w:val="0"/>
                      <w:sz w:val="21"/>
                      <w:szCs w:val="21"/>
                    </w:rPr>
                  </w:pPr>
                  <w:r>
                    <w:rPr>
                      <w:kern w:val="0"/>
                      <w:sz w:val="21"/>
                      <w:szCs w:val="21"/>
                    </w:rPr>
                    <w:t>类别</w:t>
                  </w:r>
                </w:p>
              </w:tc>
              <w:tc>
                <w:tcPr>
                  <w:tcW w:w="1210"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废物代码</w:t>
                  </w:r>
                </w:p>
              </w:tc>
              <w:tc>
                <w:tcPr>
                  <w:tcW w:w="778"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产生量（t/a）</w:t>
                  </w:r>
                </w:p>
              </w:tc>
              <w:tc>
                <w:tcPr>
                  <w:tcW w:w="623"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产生工序</w:t>
                  </w:r>
                </w:p>
              </w:tc>
              <w:tc>
                <w:tcPr>
                  <w:tcW w:w="623"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形态</w:t>
                  </w:r>
                </w:p>
              </w:tc>
              <w:tc>
                <w:tcPr>
                  <w:tcW w:w="704"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主要</w:t>
                  </w:r>
                </w:p>
                <w:p>
                  <w:pPr>
                    <w:topLinePunct/>
                    <w:snapToGrid w:val="0"/>
                    <w:spacing w:line="240" w:lineRule="auto"/>
                    <w:jc w:val="center"/>
                    <w:rPr>
                      <w:kern w:val="0"/>
                      <w:sz w:val="21"/>
                      <w:szCs w:val="21"/>
                    </w:rPr>
                  </w:pPr>
                  <w:r>
                    <w:rPr>
                      <w:kern w:val="0"/>
                      <w:sz w:val="21"/>
                      <w:szCs w:val="21"/>
                    </w:rPr>
                    <w:t>成分</w:t>
                  </w:r>
                </w:p>
              </w:tc>
              <w:tc>
                <w:tcPr>
                  <w:tcW w:w="778"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有害</w:t>
                  </w:r>
                </w:p>
                <w:p>
                  <w:pPr>
                    <w:topLinePunct/>
                    <w:snapToGrid w:val="0"/>
                    <w:spacing w:line="240" w:lineRule="auto"/>
                    <w:jc w:val="center"/>
                    <w:rPr>
                      <w:kern w:val="0"/>
                      <w:sz w:val="21"/>
                      <w:szCs w:val="21"/>
                    </w:rPr>
                  </w:pPr>
                  <w:r>
                    <w:rPr>
                      <w:kern w:val="0"/>
                      <w:sz w:val="21"/>
                      <w:szCs w:val="21"/>
                    </w:rPr>
                    <w:t>成分</w:t>
                  </w:r>
                </w:p>
              </w:tc>
              <w:tc>
                <w:tcPr>
                  <w:tcW w:w="622"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危险特性</w:t>
                  </w:r>
                </w:p>
              </w:tc>
              <w:tc>
                <w:tcPr>
                  <w:tcW w:w="623"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产废周期</w:t>
                  </w:r>
                </w:p>
              </w:tc>
              <w:tc>
                <w:tcPr>
                  <w:tcW w:w="985" w:type="dxa"/>
                  <w:tcBorders>
                    <w:top w:val="single" w:color="auto" w:sz="12" w:space="0"/>
                    <w:bottom w:val="single" w:color="auto" w:sz="12" w:space="0"/>
                  </w:tcBorders>
                  <w:noWrap w:val="0"/>
                  <w:vAlign w:val="center"/>
                </w:tcPr>
                <w:p>
                  <w:pPr>
                    <w:topLinePunct/>
                    <w:snapToGrid w:val="0"/>
                    <w:spacing w:line="240" w:lineRule="auto"/>
                    <w:jc w:val="center"/>
                    <w:rPr>
                      <w:kern w:val="0"/>
                      <w:sz w:val="21"/>
                      <w:szCs w:val="21"/>
                    </w:rPr>
                  </w:pPr>
                  <w:r>
                    <w:rPr>
                      <w:kern w:val="0"/>
                      <w:sz w:val="21"/>
                      <w:szCs w:val="21"/>
                    </w:rPr>
                    <w:t>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420"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1</w:t>
                  </w:r>
                </w:p>
              </w:tc>
              <w:tc>
                <w:tcPr>
                  <w:tcW w:w="1245" w:type="dxa"/>
                  <w:tcBorders>
                    <w:top w:val="single" w:color="auto" w:sz="12" w:space="0"/>
                    <w:bottom w:val="single" w:color="auto" w:sz="12" w:space="0"/>
                  </w:tcBorders>
                  <w:noWrap w:val="0"/>
                  <w:vAlign w:val="center"/>
                </w:tcPr>
                <w:p>
                  <w:pPr>
                    <w:snapToGrid w:val="0"/>
                    <w:spacing w:line="240" w:lineRule="auto"/>
                    <w:jc w:val="center"/>
                    <w:rPr>
                      <w:rFonts w:hint="eastAsia" w:eastAsia="宋体"/>
                      <w:kern w:val="0"/>
                      <w:sz w:val="21"/>
                      <w:szCs w:val="21"/>
                      <w:lang w:eastAsia="zh-CN"/>
                    </w:rPr>
                  </w:pPr>
                  <w:r>
                    <w:rPr>
                      <w:sz w:val="21"/>
                      <w:szCs w:val="21"/>
                    </w:rPr>
                    <w:t>废</w:t>
                  </w:r>
                  <w:r>
                    <w:rPr>
                      <w:rFonts w:hint="eastAsia"/>
                      <w:sz w:val="21"/>
                      <w:szCs w:val="21"/>
                      <w:lang w:val="en-US" w:eastAsia="zh-CN"/>
                    </w:rPr>
                    <w:t>活性炭</w:t>
                  </w:r>
                </w:p>
              </w:tc>
              <w:tc>
                <w:tcPr>
                  <w:tcW w:w="811"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HW49</w:t>
                  </w:r>
                </w:p>
              </w:tc>
              <w:tc>
                <w:tcPr>
                  <w:tcW w:w="1210"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900-041-49</w:t>
                  </w:r>
                </w:p>
              </w:tc>
              <w:tc>
                <w:tcPr>
                  <w:tcW w:w="778" w:type="dxa"/>
                  <w:tcBorders>
                    <w:top w:val="single" w:color="auto" w:sz="12" w:space="0"/>
                    <w:bottom w:val="single" w:color="auto" w:sz="12" w:space="0"/>
                  </w:tcBorders>
                  <w:noWrap w:val="0"/>
                  <w:vAlign w:val="center"/>
                </w:tcPr>
                <w:p>
                  <w:pPr>
                    <w:widowControl/>
                    <w:spacing w:line="240" w:lineRule="auto"/>
                    <w:jc w:val="center"/>
                    <w:textAlignment w:val="center"/>
                    <w:rPr>
                      <w:rFonts w:hint="eastAsia" w:eastAsia="宋体"/>
                      <w:kern w:val="0"/>
                      <w:sz w:val="21"/>
                      <w:szCs w:val="21"/>
                      <w:lang w:eastAsia="zh-CN"/>
                    </w:rPr>
                  </w:pPr>
                  <w:r>
                    <w:rPr>
                      <w:rFonts w:hint="eastAsia"/>
                      <w:color w:val="000000"/>
                      <w:kern w:val="0"/>
                      <w:sz w:val="21"/>
                      <w:szCs w:val="21"/>
                      <w:lang w:val="en-US" w:eastAsia="zh-CN" w:bidi="ar"/>
                    </w:rPr>
                    <w:t>1</w:t>
                  </w:r>
                </w:p>
              </w:tc>
              <w:tc>
                <w:tcPr>
                  <w:tcW w:w="623"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修车</w:t>
                  </w:r>
                </w:p>
              </w:tc>
              <w:tc>
                <w:tcPr>
                  <w:tcW w:w="623"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固态</w:t>
                  </w:r>
                </w:p>
              </w:tc>
              <w:tc>
                <w:tcPr>
                  <w:tcW w:w="704" w:type="dxa"/>
                  <w:tcBorders>
                    <w:top w:val="single" w:color="auto" w:sz="12" w:space="0"/>
                    <w:bottom w:val="single" w:color="auto" w:sz="12" w:space="0"/>
                  </w:tcBorders>
                  <w:noWrap w:val="0"/>
                  <w:vAlign w:val="center"/>
                </w:tcPr>
                <w:p>
                  <w:pPr>
                    <w:snapToGrid w:val="0"/>
                    <w:spacing w:line="240" w:lineRule="auto"/>
                    <w:jc w:val="center"/>
                    <w:rPr>
                      <w:rFonts w:hint="eastAsia" w:eastAsia="宋体"/>
                      <w:kern w:val="0"/>
                      <w:sz w:val="21"/>
                      <w:szCs w:val="21"/>
                      <w:lang w:eastAsia="zh-CN"/>
                    </w:rPr>
                  </w:pPr>
                  <w:r>
                    <w:rPr>
                      <w:rFonts w:hint="eastAsia"/>
                      <w:sz w:val="21"/>
                      <w:szCs w:val="21"/>
                      <w:lang w:val="en-US" w:eastAsia="zh-CN"/>
                    </w:rPr>
                    <w:t>活性炭</w:t>
                  </w:r>
                </w:p>
              </w:tc>
              <w:tc>
                <w:tcPr>
                  <w:tcW w:w="778" w:type="dxa"/>
                  <w:tcBorders>
                    <w:top w:val="single" w:color="auto" w:sz="12" w:space="0"/>
                    <w:bottom w:val="single" w:color="auto" w:sz="12" w:space="0"/>
                  </w:tcBorders>
                  <w:noWrap w:val="0"/>
                  <w:vAlign w:val="center"/>
                </w:tcPr>
                <w:p>
                  <w:pPr>
                    <w:snapToGrid w:val="0"/>
                    <w:spacing w:line="240" w:lineRule="auto"/>
                    <w:jc w:val="center"/>
                    <w:rPr>
                      <w:rFonts w:hint="eastAsia" w:eastAsia="宋体"/>
                      <w:kern w:val="0"/>
                      <w:sz w:val="21"/>
                      <w:szCs w:val="21"/>
                      <w:lang w:eastAsia="zh-CN"/>
                    </w:rPr>
                  </w:pPr>
                  <w:r>
                    <w:rPr>
                      <w:rFonts w:hint="eastAsia"/>
                      <w:sz w:val="21"/>
                      <w:szCs w:val="21"/>
                      <w:lang w:val="en-US" w:eastAsia="zh-CN"/>
                    </w:rPr>
                    <w:t>有机物</w:t>
                  </w:r>
                </w:p>
              </w:tc>
              <w:tc>
                <w:tcPr>
                  <w:tcW w:w="622" w:type="dxa"/>
                  <w:tcBorders>
                    <w:top w:val="single" w:color="auto" w:sz="12" w:space="0"/>
                    <w:bottom w:val="single" w:color="auto" w:sz="12" w:space="0"/>
                  </w:tcBorders>
                  <w:noWrap w:val="0"/>
                  <w:vAlign w:val="center"/>
                </w:tcPr>
                <w:p>
                  <w:pPr>
                    <w:snapToGrid w:val="0"/>
                    <w:spacing w:line="240" w:lineRule="auto"/>
                    <w:jc w:val="center"/>
                    <w:rPr>
                      <w:kern w:val="0"/>
                      <w:sz w:val="21"/>
                      <w:szCs w:val="21"/>
                    </w:rPr>
                  </w:pPr>
                  <w:r>
                    <w:rPr>
                      <w:sz w:val="21"/>
                      <w:szCs w:val="21"/>
                    </w:rPr>
                    <w:t xml:space="preserve">T/In </w:t>
                  </w:r>
                </w:p>
              </w:tc>
              <w:tc>
                <w:tcPr>
                  <w:tcW w:w="623" w:type="dxa"/>
                  <w:tcBorders>
                    <w:top w:val="single" w:color="auto" w:sz="12" w:space="0"/>
                    <w:bottom w:val="single" w:color="auto" w:sz="12" w:space="0"/>
                  </w:tcBorders>
                  <w:noWrap w:val="0"/>
                  <w:vAlign w:val="center"/>
                </w:tcPr>
                <w:p>
                  <w:pPr>
                    <w:snapToGrid w:val="0"/>
                    <w:spacing w:line="240" w:lineRule="auto"/>
                    <w:jc w:val="center"/>
                    <w:rPr>
                      <w:rFonts w:hint="eastAsia" w:eastAsia="宋体"/>
                      <w:kern w:val="0"/>
                      <w:sz w:val="21"/>
                      <w:szCs w:val="21"/>
                      <w:lang w:eastAsia="zh-CN"/>
                    </w:rPr>
                  </w:pPr>
                  <w:r>
                    <w:rPr>
                      <w:rFonts w:hint="eastAsia"/>
                      <w:sz w:val="21"/>
                      <w:szCs w:val="21"/>
                      <w:lang w:val="en-US" w:eastAsia="zh-CN"/>
                    </w:rPr>
                    <w:t>每季</w:t>
                  </w:r>
                </w:p>
              </w:tc>
              <w:tc>
                <w:tcPr>
                  <w:tcW w:w="985" w:type="dxa"/>
                  <w:tcBorders>
                    <w:top w:val="single" w:color="auto" w:sz="12" w:space="0"/>
                    <w:bottom w:val="single" w:color="auto" w:sz="12" w:space="0"/>
                  </w:tcBorders>
                  <w:noWrap w:val="0"/>
                  <w:vAlign w:val="center"/>
                </w:tcPr>
                <w:p>
                  <w:pPr>
                    <w:topLinePunct/>
                    <w:snapToGrid w:val="0"/>
                    <w:spacing w:line="240" w:lineRule="auto"/>
                    <w:jc w:val="center"/>
                    <w:rPr>
                      <w:rFonts w:hint="default" w:eastAsia="宋体"/>
                      <w:kern w:val="0"/>
                      <w:sz w:val="21"/>
                      <w:szCs w:val="21"/>
                      <w:lang w:val="en-US" w:eastAsia="zh-CN"/>
                    </w:rPr>
                  </w:pPr>
                  <w:r>
                    <w:rPr>
                      <w:rFonts w:hint="eastAsia"/>
                      <w:kern w:val="0"/>
                      <w:sz w:val="21"/>
                      <w:szCs w:val="21"/>
                      <w:lang w:val="en-US" w:eastAsia="zh-CN"/>
                    </w:rPr>
                    <w:t>委外</w:t>
                  </w:r>
                </w:p>
              </w:tc>
            </w:tr>
          </w:tbl>
          <w:p>
            <w:pPr>
              <w:jc w:val="center"/>
              <w:rPr>
                <w:rFonts w:hint="eastAsia"/>
                <w:b/>
                <w:bCs w:val="0"/>
                <w:sz w:val="21"/>
                <w:szCs w:val="21"/>
                <w:lang w:val="en-US" w:eastAsia="zh-CN"/>
              </w:rPr>
            </w:pPr>
            <w:r>
              <w:rPr>
                <w:rFonts w:hint="eastAsia"/>
                <w:b/>
                <w:bCs w:val="0"/>
                <w:sz w:val="21"/>
                <w:szCs w:val="21"/>
                <w:lang w:val="en-US" w:eastAsia="zh-CN"/>
              </w:rPr>
              <w:t>表5-8扩建后全厂固体废物分析结果汇总表</w:t>
            </w:r>
          </w:p>
          <w:tbl>
            <w:tblPr>
              <w:tblStyle w:val="27"/>
              <w:tblW w:w="942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356"/>
              <w:gridCol w:w="805"/>
              <w:gridCol w:w="709"/>
              <w:gridCol w:w="845"/>
              <w:gridCol w:w="505"/>
              <w:gridCol w:w="845"/>
              <w:gridCol w:w="887"/>
              <w:gridCol w:w="682"/>
              <w:gridCol w:w="872"/>
              <w:gridCol w:w="1269"/>
              <w:gridCol w:w="940"/>
              <w:gridCol w:w="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序号</w:t>
                  </w:r>
                </w:p>
              </w:tc>
              <w:tc>
                <w:tcPr>
                  <w:tcW w:w="805"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固废名称</w:t>
                  </w:r>
                </w:p>
              </w:tc>
              <w:tc>
                <w:tcPr>
                  <w:tcW w:w="709"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属性</w:t>
                  </w:r>
                </w:p>
              </w:tc>
              <w:tc>
                <w:tcPr>
                  <w:tcW w:w="845"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产生工序</w:t>
                  </w:r>
                </w:p>
              </w:tc>
              <w:tc>
                <w:tcPr>
                  <w:tcW w:w="505"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形态</w:t>
                  </w:r>
                </w:p>
              </w:tc>
              <w:tc>
                <w:tcPr>
                  <w:tcW w:w="845"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主要成分</w:t>
                  </w:r>
                </w:p>
              </w:tc>
              <w:tc>
                <w:tcPr>
                  <w:tcW w:w="887"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危险特性鉴别办法</w:t>
                  </w:r>
                </w:p>
              </w:tc>
              <w:tc>
                <w:tcPr>
                  <w:tcW w:w="682"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危险特性</w:t>
                  </w:r>
                </w:p>
              </w:tc>
              <w:tc>
                <w:tcPr>
                  <w:tcW w:w="872"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废物类别</w:t>
                  </w:r>
                </w:p>
              </w:tc>
              <w:tc>
                <w:tcPr>
                  <w:tcW w:w="1269"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废物代码</w:t>
                  </w:r>
                </w:p>
              </w:tc>
              <w:tc>
                <w:tcPr>
                  <w:tcW w:w="940"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估算产生量（t/a）</w:t>
                  </w:r>
                </w:p>
              </w:tc>
              <w:tc>
                <w:tcPr>
                  <w:tcW w:w="707" w:type="dxa"/>
                  <w:tcBorders>
                    <w:bottom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1</w:t>
                  </w:r>
                </w:p>
              </w:tc>
              <w:tc>
                <w:tcPr>
                  <w:tcW w:w="805" w:type="dxa"/>
                  <w:tcBorders>
                    <w:top w:val="single" w:color="auto" w:sz="12" w:space="0"/>
                  </w:tcBorders>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不合格品</w:t>
                  </w:r>
                </w:p>
              </w:tc>
              <w:tc>
                <w:tcPr>
                  <w:tcW w:w="709" w:type="dxa"/>
                  <w:vMerge w:val="restart"/>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一般固废</w:t>
                  </w:r>
                </w:p>
              </w:tc>
              <w:tc>
                <w:tcPr>
                  <w:tcW w:w="845" w:type="dxa"/>
                  <w:tcBorders>
                    <w:top w:val="single" w:color="auto" w:sz="12" w:space="0"/>
                  </w:tcBorders>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检验</w:t>
                  </w:r>
                </w:p>
              </w:tc>
              <w:tc>
                <w:tcPr>
                  <w:tcW w:w="505" w:type="dxa"/>
                  <w:tcBorders>
                    <w:top w:val="single" w:color="auto" w:sz="12" w:space="0"/>
                  </w:tcBorders>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tcBorders>
                    <w:top w:val="single" w:color="auto" w:sz="12" w:space="0"/>
                  </w:tcBorders>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塑料</w:t>
                  </w:r>
                </w:p>
              </w:tc>
              <w:tc>
                <w:tcPr>
                  <w:tcW w:w="887" w:type="dxa"/>
                  <w:vMerge w:val="restart"/>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《国家</w:t>
                  </w:r>
                </w:p>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危险废</w:t>
                  </w:r>
                </w:p>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物名录》</w:t>
                  </w:r>
                </w:p>
                <w:p>
                  <w:pPr>
                    <w:bidi w:val="0"/>
                    <w:spacing w:line="240" w:lineRule="auto"/>
                    <w:jc w:val="center"/>
                    <w:rPr>
                      <w:rFonts w:hint="default"/>
                      <w:sz w:val="21"/>
                      <w:szCs w:val="21"/>
                      <w:vertAlign w:val="baseline"/>
                      <w:lang w:val="en-US" w:eastAsia="zh-CN"/>
                    </w:rPr>
                  </w:pPr>
                  <w:r>
                    <w:rPr>
                      <w:rFonts w:hint="default"/>
                      <w:sz w:val="21"/>
                      <w:szCs w:val="21"/>
                      <w:vertAlign w:val="baseline"/>
                      <w:lang w:val="en-US" w:eastAsia="zh-CN"/>
                    </w:rPr>
                    <w:t>（</w:t>
                  </w:r>
                  <w:r>
                    <w:rPr>
                      <w:rFonts w:hint="eastAsia"/>
                      <w:sz w:val="21"/>
                      <w:szCs w:val="21"/>
                      <w:vertAlign w:val="baseline"/>
                      <w:lang w:val="en-US" w:eastAsia="zh-CN"/>
                    </w:rPr>
                    <w:t>2021</w:t>
                  </w:r>
                  <w:r>
                    <w:rPr>
                      <w:rFonts w:hint="default"/>
                      <w:sz w:val="21"/>
                      <w:szCs w:val="21"/>
                      <w:vertAlign w:val="baseline"/>
                      <w:lang w:val="en-US" w:eastAsia="zh-CN"/>
                    </w:rPr>
                    <w:t>）</w:t>
                  </w:r>
                </w:p>
              </w:tc>
              <w:tc>
                <w:tcPr>
                  <w:tcW w:w="682" w:type="dxa"/>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872" w:type="dxa"/>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85</w:t>
                  </w:r>
                </w:p>
              </w:tc>
              <w:tc>
                <w:tcPr>
                  <w:tcW w:w="1269" w:type="dxa"/>
                  <w:tcBorders>
                    <w:top w:val="single" w:color="auto" w:sz="12" w:space="0"/>
                  </w:tcBorders>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940" w:type="dxa"/>
                  <w:tcBorders>
                    <w:top w:val="single" w:color="auto" w:sz="12" w:space="0"/>
                  </w:tcBorders>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0.6</w:t>
                  </w:r>
                </w:p>
              </w:tc>
              <w:tc>
                <w:tcPr>
                  <w:tcW w:w="707" w:type="dxa"/>
                  <w:tcBorders>
                    <w:top w:val="single" w:color="auto" w:sz="12" w:space="0"/>
                  </w:tcBorders>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2</w:t>
                  </w:r>
                </w:p>
              </w:tc>
              <w:tc>
                <w:tcPr>
                  <w:tcW w:w="8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废包装</w:t>
                  </w:r>
                </w:p>
              </w:tc>
              <w:tc>
                <w:tcPr>
                  <w:tcW w:w="709" w:type="dxa"/>
                  <w:vMerge w:val="continue"/>
                  <w:tcBorders/>
                  <w:vAlign w:val="center"/>
                </w:tcPr>
                <w:p>
                  <w:pPr>
                    <w:bidi w:val="0"/>
                    <w:spacing w:line="240" w:lineRule="auto"/>
                    <w:jc w:val="center"/>
                    <w:rPr>
                      <w:rFonts w:hint="default"/>
                      <w:sz w:val="21"/>
                      <w:szCs w:val="21"/>
                      <w:vertAlign w:val="baseline"/>
                      <w:lang w:val="en-US" w:eastAsia="zh-CN"/>
                    </w:rPr>
                  </w:pPr>
                </w:p>
              </w:tc>
              <w:tc>
                <w:tcPr>
                  <w:tcW w:w="84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入库</w:t>
                  </w:r>
                </w:p>
              </w:tc>
              <w:tc>
                <w:tcPr>
                  <w:tcW w:w="5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塑料</w:t>
                  </w:r>
                </w:p>
              </w:tc>
              <w:tc>
                <w:tcPr>
                  <w:tcW w:w="887" w:type="dxa"/>
                  <w:vMerge w:val="continue"/>
                  <w:tcBorders/>
                  <w:vAlign w:val="center"/>
                </w:tcPr>
                <w:p>
                  <w:pPr>
                    <w:bidi w:val="0"/>
                    <w:spacing w:line="240" w:lineRule="auto"/>
                    <w:jc w:val="center"/>
                    <w:rPr>
                      <w:rFonts w:hint="default"/>
                      <w:sz w:val="21"/>
                      <w:szCs w:val="21"/>
                      <w:vertAlign w:val="baseline"/>
                      <w:lang w:val="en-US" w:eastAsia="zh-CN"/>
                    </w:rPr>
                  </w:pPr>
                </w:p>
              </w:tc>
              <w:tc>
                <w:tcPr>
                  <w:tcW w:w="68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87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85</w:t>
                  </w:r>
                </w:p>
              </w:tc>
              <w:tc>
                <w:tcPr>
                  <w:tcW w:w="1269"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940"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w:t>
                  </w:r>
                </w:p>
              </w:tc>
              <w:tc>
                <w:tcPr>
                  <w:tcW w:w="707" w:type="dxa"/>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3</w:t>
                  </w:r>
                </w:p>
              </w:tc>
              <w:tc>
                <w:tcPr>
                  <w:tcW w:w="8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布袋收尘</w:t>
                  </w:r>
                </w:p>
              </w:tc>
              <w:tc>
                <w:tcPr>
                  <w:tcW w:w="709" w:type="dxa"/>
                  <w:vMerge w:val="continue"/>
                  <w:tcBorders/>
                  <w:vAlign w:val="center"/>
                </w:tcPr>
                <w:p>
                  <w:pPr>
                    <w:bidi w:val="0"/>
                    <w:spacing w:line="240" w:lineRule="auto"/>
                    <w:jc w:val="center"/>
                    <w:rPr>
                      <w:rFonts w:hint="default"/>
                      <w:sz w:val="21"/>
                      <w:szCs w:val="21"/>
                      <w:vertAlign w:val="baseline"/>
                      <w:lang w:val="en-US" w:eastAsia="zh-CN"/>
                    </w:rPr>
                  </w:pPr>
                </w:p>
              </w:tc>
              <w:tc>
                <w:tcPr>
                  <w:tcW w:w="84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废气处理</w:t>
                  </w:r>
                </w:p>
              </w:tc>
              <w:tc>
                <w:tcPr>
                  <w:tcW w:w="5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CaCO</w:t>
                  </w:r>
                  <w:r>
                    <w:rPr>
                      <w:rFonts w:hint="eastAsia"/>
                      <w:sz w:val="21"/>
                      <w:szCs w:val="21"/>
                      <w:vertAlign w:val="subscript"/>
                      <w:lang w:val="en-US" w:eastAsia="zh-CN"/>
                    </w:rPr>
                    <w:t>3</w:t>
                  </w:r>
                </w:p>
              </w:tc>
              <w:tc>
                <w:tcPr>
                  <w:tcW w:w="887" w:type="dxa"/>
                  <w:vMerge w:val="continue"/>
                  <w:tcBorders/>
                  <w:vAlign w:val="center"/>
                </w:tcPr>
                <w:p>
                  <w:pPr>
                    <w:bidi w:val="0"/>
                    <w:spacing w:line="240" w:lineRule="auto"/>
                    <w:jc w:val="center"/>
                    <w:rPr>
                      <w:rFonts w:hint="default"/>
                      <w:sz w:val="21"/>
                      <w:szCs w:val="21"/>
                      <w:vertAlign w:val="baseline"/>
                      <w:lang w:val="en-US" w:eastAsia="zh-CN"/>
                    </w:rPr>
                  </w:pPr>
                </w:p>
              </w:tc>
              <w:tc>
                <w:tcPr>
                  <w:tcW w:w="68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87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99</w:t>
                  </w:r>
                </w:p>
              </w:tc>
              <w:tc>
                <w:tcPr>
                  <w:tcW w:w="1269"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940"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0.2673</w:t>
                  </w:r>
                </w:p>
              </w:tc>
              <w:tc>
                <w:tcPr>
                  <w:tcW w:w="707" w:type="dxa"/>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4</w:t>
                  </w:r>
                </w:p>
              </w:tc>
              <w:tc>
                <w:tcPr>
                  <w:tcW w:w="8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废活性炭</w:t>
                  </w:r>
                </w:p>
              </w:tc>
              <w:tc>
                <w:tcPr>
                  <w:tcW w:w="0" w:type="auto"/>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危险废物</w:t>
                  </w: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废气处理</w:t>
                  </w:r>
                </w:p>
              </w:tc>
              <w:tc>
                <w:tcPr>
                  <w:tcW w:w="5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固态</w:t>
                  </w:r>
                </w:p>
              </w:tc>
              <w:tc>
                <w:tcPr>
                  <w:tcW w:w="84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活性炭、有机物</w:t>
                  </w:r>
                </w:p>
              </w:tc>
              <w:tc>
                <w:tcPr>
                  <w:tcW w:w="887" w:type="dxa"/>
                  <w:vMerge w:val="continue"/>
                  <w:tcBorders/>
                  <w:vAlign w:val="center"/>
                </w:tcPr>
                <w:p>
                  <w:pPr>
                    <w:bidi w:val="0"/>
                    <w:spacing w:line="240" w:lineRule="auto"/>
                    <w:jc w:val="center"/>
                    <w:rPr>
                      <w:rFonts w:hint="default"/>
                      <w:sz w:val="21"/>
                      <w:szCs w:val="21"/>
                      <w:vertAlign w:val="baseline"/>
                      <w:lang w:val="en-US" w:eastAsia="zh-CN"/>
                    </w:rPr>
                  </w:pPr>
                </w:p>
              </w:tc>
              <w:tc>
                <w:tcPr>
                  <w:tcW w:w="68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T/ln</w:t>
                  </w:r>
                </w:p>
              </w:tc>
              <w:tc>
                <w:tcPr>
                  <w:tcW w:w="87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HW49</w:t>
                  </w:r>
                </w:p>
              </w:tc>
              <w:tc>
                <w:tcPr>
                  <w:tcW w:w="1269"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900-041-49</w:t>
                  </w:r>
                </w:p>
              </w:tc>
              <w:tc>
                <w:tcPr>
                  <w:tcW w:w="940" w:type="dxa"/>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707" w:type="dxa"/>
                  <w:vAlign w:val="center"/>
                </w:tcPr>
                <w:p>
                  <w:pPr>
                    <w:bidi w:val="0"/>
                    <w:spacing w:line="240" w:lineRule="auto"/>
                    <w:jc w:val="center"/>
                    <w:rPr>
                      <w:rFonts w:hint="default"/>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23" w:hRule="atLeast"/>
              </w:trPr>
              <w:tc>
                <w:tcPr>
                  <w:tcW w:w="356"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5</w:t>
                  </w:r>
                </w:p>
              </w:tc>
              <w:tc>
                <w:tcPr>
                  <w:tcW w:w="805" w:type="dxa"/>
                  <w:vAlign w:val="center"/>
                </w:tcPr>
                <w:p>
                  <w:pPr>
                    <w:snapToGrid w:val="0"/>
                    <w:spacing w:line="240" w:lineRule="auto"/>
                    <w:jc w:val="center"/>
                    <w:rPr>
                      <w:rFonts w:hint="eastAsia" w:eastAsia="宋体"/>
                      <w:sz w:val="21"/>
                      <w:szCs w:val="21"/>
                      <w:lang w:val="en-US" w:eastAsia="zh-CN"/>
                    </w:rPr>
                  </w:pPr>
                  <w:r>
                    <w:rPr>
                      <w:rFonts w:hint="eastAsia"/>
                      <w:sz w:val="21"/>
                      <w:szCs w:val="21"/>
                      <w:lang w:val="en-US" w:eastAsia="zh-CN"/>
                    </w:rPr>
                    <w:t>生活垃圾</w:t>
                  </w:r>
                </w:p>
              </w:tc>
              <w:tc>
                <w:tcPr>
                  <w:tcW w:w="0" w:type="auto"/>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一般固废</w:t>
                  </w: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生活</w:t>
                  </w:r>
                </w:p>
              </w:tc>
              <w:tc>
                <w:tcPr>
                  <w:tcW w:w="505" w:type="dxa"/>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sz w:val="21"/>
                      <w:szCs w:val="21"/>
                    </w:rPr>
                    <w:t>固态</w:t>
                  </w:r>
                </w:p>
              </w:tc>
              <w:tc>
                <w:tcPr>
                  <w:tcW w:w="845" w:type="dxa"/>
                  <w:vAlign w:val="center"/>
                </w:tcPr>
                <w:p>
                  <w:pPr>
                    <w:bidi w:val="0"/>
                    <w:spacing w:line="240" w:lineRule="auto"/>
                    <w:jc w:val="center"/>
                    <w:rPr>
                      <w:rFonts w:hint="eastAsia"/>
                      <w:sz w:val="21"/>
                      <w:szCs w:val="21"/>
                      <w:vertAlign w:val="baseline"/>
                      <w:lang w:val="en-US" w:eastAsia="zh-CN"/>
                    </w:rPr>
                  </w:pPr>
                  <w:r>
                    <w:rPr>
                      <w:rFonts w:hint="eastAsia"/>
                      <w:sz w:val="21"/>
                      <w:szCs w:val="21"/>
                      <w:vertAlign w:val="baseline"/>
                      <w:lang w:val="en-US" w:eastAsia="zh-CN"/>
                    </w:rPr>
                    <w:t>生活</w:t>
                  </w:r>
                </w:p>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垃圾</w:t>
                  </w:r>
                </w:p>
              </w:tc>
              <w:tc>
                <w:tcPr>
                  <w:tcW w:w="887" w:type="dxa"/>
                  <w:vMerge w:val="continue"/>
                  <w:tcBorders/>
                  <w:vAlign w:val="center"/>
                </w:tcPr>
                <w:p>
                  <w:pPr>
                    <w:bidi w:val="0"/>
                    <w:spacing w:line="240" w:lineRule="auto"/>
                    <w:jc w:val="center"/>
                    <w:rPr>
                      <w:rFonts w:hint="default"/>
                      <w:sz w:val="21"/>
                      <w:szCs w:val="21"/>
                      <w:vertAlign w:val="baseline"/>
                      <w:lang w:val="en-US" w:eastAsia="zh-CN"/>
                    </w:rPr>
                  </w:pPr>
                </w:p>
              </w:tc>
              <w:tc>
                <w:tcPr>
                  <w:tcW w:w="68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872"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99</w:t>
                  </w:r>
                </w:p>
              </w:tc>
              <w:tc>
                <w:tcPr>
                  <w:tcW w:w="1269" w:type="dxa"/>
                  <w:vAlign w:val="center"/>
                </w:tcPr>
                <w:p>
                  <w:pPr>
                    <w:bidi w:val="0"/>
                    <w:spacing w:line="240" w:lineRule="auto"/>
                    <w:jc w:val="center"/>
                    <w:rPr>
                      <w:rFonts w:hint="default"/>
                      <w:sz w:val="21"/>
                      <w:szCs w:val="21"/>
                      <w:vertAlign w:val="baseline"/>
                      <w:lang w:val="en-US" w:eastAsia="zh-CN"/>
                    </w:rPr>
                  </w:pPr>
                  <w:r>
                    <w:rPr>
                      <w:rFonts w:hint="eastAsia"/>
                      <w:sz w:val="21"/>
                      <w:szCs w:val="21"/>
                      <w:vertAlign w:val="baseline"/>
                      <w:lang w:val="en-US" w:eastAsia="zh-CN"/>
                    </w:rPr>
                    <w:t>/</w:t>
                  </w:r>
                </w:p>
              </w:tc>
              <w:tc>
                <w:tcPr>
                  <w:tcW w:w="940" w:type="dxa"/>
                  <w:vAlign w:val="center"/>
                </w:tcPr>
                <w:p>
                  <w:pPr>
                    <w:widowControl/>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color w:val="000000"/>
                      <w:kern w:val="0"/>
                      <w:sz w:val="21"/>
                      <w:szCs w:val="21"/>
                      <w:lang w:val="en-US" w:eastAsia="zh-CN" w:bidi="ar"/>
                    </w:rPr>
                    <w:t>9</w:t>
                  </w:r>
                </w:p>
              </w:tc>
              <w:tc>
                <w:tcPr>
                  <w:tcW w:w="707" w:type="dxa"/>
                  <w:vAlign w:val="center"/>
                </w:tcPr>
                <w:p>
                  <w:pPr>
                    <w:bidi w:val="0"/>
                    <w:spacing w:line="240" w:lineRule="auto"/>
                    <w:jc w:val="center"/>
                    <w:rPr>
                      <w:rFonts w:hint="default"/>
                      <w:sz w:val="21"/>
                      <w:szCs w:val="21"/>
                      <w:vertAlign w:val="baseline"/>
                      <w:lang w:val="en-US" w:eastAsia="zh-CN"/>
                    </w:rPr>
                  </w:pPr>
                </w:p>
              </w:tc>
            </w:tr>
          </w:tbl>
          <w:p>
            <w:pPr>
              <w:bidi w:val="0"/>
              <w:rPr>
                <w:rFonts w:hint="default"/>
                <w:lang w:val="en-US" w:eastAsia="zh-CN"/>
              </w:rPr>
            </w:pPr>
          </w:p>
          <w:p>
            <w:pPr>
              <w:ind w:firstLine="482" w:firstLineChars="200"/>
              <w:rPr>
                <w:b/>
                <w:bCs w:val="0"/>
              </w:rPr>
            </w:pPr>
            <w:r>
              <w:rPr>
                <w:rFonts w:hint="eastAsia"/>
                <w:b/>
                <w:bCs w:val="0"/>
                <w:lang w:val="en-US" w:eastAsia="zh-CN"/>
              </w:rPr>
              <w:t>2）</w:t>
            </w:r>
            <w:r>
              <w:rPr>
                <w:rFonts w:hint="eastAsia"/>
                <w:b/>
                <w:bCs w:val="0"/>
              </w:rPr>
              <w:t>贮存场所污染防治措施</w:t>
            </w:r>
          </w:p>
          <w:p>
            <w:pPr>
              <w:ind w:firstLine="480" w:firstLineChars="200"/>
              <w:rPr>
                <w:bCs/>
              </w:rPr>
            </w:pPr>
            <w:r>
              <w:rPr>
                <w:rFonts w:hint="eastAsia"/>
                <w:bCs/>
              </w:rPr>
              <w:t>项目危险废物暂存仓库严格按照《危险废物贮存污染控制标准》（GB18597-2001）的要求规范建设和维护使用。做到防雨、防风、防晒、防渗漏等措施，并制定好危险废物转移运输中的污染防范及事故应急措施。具体情况如下：</w:t>
            </w:r>
          </w:p>
          <w:p>
            <w:pPr>
              <w:ind w:firstLine="480" w:firstLineChars="200"/>
              <w:rPr>
                <w:bCs/>
              </w:rPr>
            </w:pPr>
            <w:r>
              <w:rPr>
                <w:rFonts w:hint="eastAsia"/>
                <w:bCs/>
              </w:rPr>
              <w:t xml:space="preserve">1）危废暂存场所建设要求 </w:t>
            </w:r>
          </w:p>
          <w:p>
            <w:pPr>
              <w:ind w:firstLine="480" w:firstLineChars="200"/>
              <w:rPr>
                <w:bCs/>
              </w:rPr>
            </w:pPr>
            <w:r>
              <w:rPr>
                <w:rFonts w:hint="eastAsia"/>
                <w:bCs/>
              </w:rPr>
              <w:t>①地面与墙脚要用坚固、防渗的材料建造，建筑材料必须与危险废物相容。设置防渗、防漏、防雨等措施，基础防渗层为1m厚粘土层（渗透系数≤10-7cm/s），并进行0.4m厚的混凝土浇筑，最上层为2.5mm的环氧树脂防腐防渗涂层，渗透系数≤10-10cm/s。</w:t>
            </w:r>
          </w:p>
          <w:p>
            <w:pPr>
              <w:ind w:firstLine="480" w:firstLineChars="200"/>
              <w:rPr>
                <w:bCs/>
              </w:rPr>
            </w:pPr>
            <w:r>
              <w:rPr>
                <w:rFonts w:hint="eastAsia"/>
                <w:bCs/>
              </w:rPr>
              <w:t xml:space="preserve">②必须有泄漏液体收集装置、气体导出口及气体净化装置。 </w:t>
            </w:r>
          </w:p>
          <w:p>
            <w:pPr>
              <w:ind w:firstLine="480" w:firstLineChars="200"/>
              <w:rPr>
                <w:bCs/>
              </w:rPr>
            </w:pPr>
            <w:r>
              <w:rPr>
                <w:rFonts w:hint="eastAsia"/>
                <w:bCs/>
              </w:rPr>
              <w:t xml:space="preserve">③设施内要有安全照明设施和观察窗口。 </w:t>
            </w:r>
          </w:p>
          <w:p>
            <w:pPr>
              <w:ind w:firstLine="480" w:firstLineChars="200"/>
              <w:rPr>
                <w:bCs/>
              </w:rPr>
            </w:pPr>
            <w:r>
              <w:rPr>
                <w:rFonts w:hint="eastAsia"/>
                <w:bCs/>
              </w:rPr>
              <w:t xml:space="preserve">④用以存放装载液体、半固体危险废物容器的地方，必须有耐腐蚀的硬化地面，且表面无裂隙。 </w:t>
            </w:r>
          </w:p>
          <w:p>
            <w:pPr>
              <w:ind w:firstLine="480" w:firstLineChars="200"/>
              <w:rPr>
                <w:bCs/>
              </w:rPr>
            </w:pPr>
            <w:r>
              <w:rPr>
                <w:rFonts w:hint="eastAsia"/>
                <w:bCs/>
              </w:rPr>
              <w:t xml:space="preserve">⑤应设计堵截泄漏的裙脚，地面与裙脚所围建的容积不低于堵截最大容器的最大储量或总储量的五分之一。 </w:t>
            </w:r>
          </w:p>
          <w:p>
            <w:pPr>
              <w:ind w:firstLine="480" w:firstLineChars="200"/>
              <w:rPr>
                <w:bCs/>
              </w:rPr>
            </w:pPr>
            <w:r>
              <w:rPr>
                <w:rFonts w:hint="eastAsia"/>
                <w:bCs/>
              </w:rPr>
              <w:t xml:space="preserve">⑥不相容的危险废物必须分开存放，并设有隔离间隔断。 </w:t>
            </w:r>
          </w:p>
          <w:p>
            <w:pPr>
              <w:ind w:firstLine="480" w:firstLineChars="200"/>
              <w:rPr>
                <w:bCs/>
              </w:rPr>
            </w:pPr>
            <w:r>
              <w:rPr>
                <w:rFonts w:hint="eastAsia"/>
                <w:bCs/>
              </w:rPr>
              <w:t xml:space="preserve">2）危废暂存场所管理要求 </w:t>
            </w:r>
          </w:p>
          <w:p>
            <w:pPr>
              <w:ind w:firstLine="480" w:firstLineChars="200"/>
              <w:rPr>
                <w:bCs/>
              </w:rPr>
            </w:pPr>
            <w:r>
              <w:rPr>
                <w:rFonts w:hint="eastAsia"/>
                <w:bCs/>
              </w:rPr>
              <w:t xml:space="preserve">①盛装在容器内的同类危险废物可以堆叠存放。 </w:t>
            </w:r>
          </w:p>
          <w:p>
            <w:pPr>
              <w:ind w:firstLine="480" w:firstLineChars="200"/>
              <w:rPr>
                <w:bCs/>
              </w:rPr>
            </w:pPr>
            <w:r>
              <w:rPr>
                <w:rFonts w:hint="eastAsia"/>
                <w:bCs/>
              </w:rPr>
              <w:t xml:space="preserve">②每个堆间应留有搬运通道。 </w:t>
            </w:r>
          </w:p>
          <w:p>
            <w:pPr>
              <w:ind w:firstLine="480" w:firstLineChars="200"/>
              <w:rPr>
                <w:bCs/>
              </w:rPr>
            </w:pPr>
            <w:r>
              <w:rPr>
                <w:rFonts w:hint="eastAsia"/>
                <w:bCs/>
              </w:rPr>
              <w:t xml:space="preserve">③危险废物产生者和危险废物贮存设施经营者均须作好危险废物情况的记录，记录上须注明危险废物的名称、来源、数量、特性和包装容器的类别、入库日期、存放库位、废物出库日期及接收单位名称。 危险废物的记录和货单在危险废物回取后应继续保留三年。 </w:t>
            </w:r>
          </w:p>
          <w:p>
            <w:pPr>
              <w:ind w:firstLine="480" w:firstLineChars="200"/>
              <w:rPr>
                <w:bCs/>
              </w:rPr>
            </w:pPr>
            <w:r>
              <w:rPr>
                <w:rFonts w:hint="eastAsia"/>
                <w:bCs/>
              </w:rPr>
              <w:t xml:space="preserve">④必须定期对所贮存的危险废物包装容器及贮存设施进行检查，发现破损，应及时采取措施清理更换。 </w:t>
            </w:r>
          </w:p>
          <w:p>
            <w:pPr>
              <w:ind w:firstLine="480" w:firstLineChars="200"/>
              <w:rPr>
                <w:bCs/>
              </w:rPr>
            </w:pPr>
            <w:r>
              <w:rPr>
                <w:rFonts w:hint="eastAsia"/>
                <w:bCs/>
              </w:rPr>
              <w:t xml:space="preserve">⑤不得将不相容的废物混合或合并存放。 </w:t>
            </w:r>
          </w:p>
          <w:p>
            <w:pPr>
              <w:ind w:firstLine="480" w:firstLineChars="200"/>
              <w:rPr>
                <w:bCs/>
              </w:rPr>
            </w:pPr>
            <w:r>
              <w:rPr>
                <w:rFonts w:hint="eastAsia"/>
                <w:bCs/>
              </w:rPr>
              <w:t xml:space="preserve">⑥危险废物贮存设施都必须按GB15562.2的规定设置警示标志。 </w:t>
            </w:r>
          </w:p>
          <w:p>
            <w:pPr>
              <w:ind w:firstLine="480" w:firstLineChars="200"/>
              <w:rPr>
                <w:bCs/>
              </w:rPr>
            </w:pPr>
            <w:r>
              <w:rPr>
                <w:rFonts w:hint="eastAsia"/>
                <w:bCs/>
              </w:rPr>
              <w:t xml:space="preserve">⑦危险废物贮存设施周围应设置围墙或其它防护栅栏。 </w:t>
            </w:r>
          </w:p>
          <w:p>
            <w:pPr>
              <w:ind w:firstLine="480" w:firstLineChars="200"/>
              <w:rPr>
                <w:bCs/>
              </w:rPr>
            </w:pPr>
            <w:r>
              <w:rPr>
                <w:rFonts w:hint="eastAsia"/>
                <w:bCs/>
              </w:rPr>
              <w:t xml:space="preserve">⑧危险废物贮存设施应配备通讯设备、照明设施、安全防护服装及工具，并设有应急防护设施。 </w:t>
            </w:r>
          </w:p>
          <w:p>
            <w:pPr>
              <w:ind w:firstLine="480" w:firstLineChars="200"/>
              <w:rPr>
                <w:bCs/>
              </w:rPr>
            </w:pPr>
            <w:r>
              <w:rPr>
                <w:rFonts w:hint="eastAsia"/>
                <w:bCs/>
              </w:rPr>
              <w:t>⑨危险废物贮存设施内清理出来的泄漏物，一律按危险废物处理。</w:t>
            </w:r>
          </w:p>
          <w:p>
            <w:pPr>
              <w:ind w:firstLine="480" w:firstLineChars="200"/>
              <w:rPr>
                <w:bCs/>
              </w:rPr>
            </w:pPr>
            <w:r>
              <w:rPr>
                <w:rFonts w:hint="eastAsia"/>
                <w:bCs/>
              </w:rPr>
              <w:t>（2）运输过程污染防治措施</w:t>
            </w:r>
          </w:p>
          <w:p>
            <w:pPr>
              <w:ind w:firstLine="480" w:firstLineChars="200"/>
              <w:rPr>
                <w:bCs/>
              </w:rPr>
            </w:pPr>
            <w:r>
              <w:rPr>
                <w:rFonts w:hint="eastAsia" w:ascii="宋体" w:hAnsi="宋体" w:cs="宋体"/>
                <w:bCs/>
              </w:rPr>
              <w:t>①</w:t>
            </w:r>
            <w:r>
              <w:rPr>
                <w:rFonts w:hint="eastAsia"/>
                <w:bCs/>
              </w:rPr>
              <w:t>本项目危险废物运输由持有危险废物经营许可证的单位按照许可范围组织实施，承担危险废物运输的单位应获得交通运输部门颁发的危险货物运输资质，采用公路运输方式。</w:t>
            </w:r>
          </w:p>
          <w:p>
            <w:pPr>
              <w:widowControl/>
              <w:spacing w:before="156" w:beforeLines="50"/>
              <w:jc w:val="both"/>
            </w:pPr>
            <w:r>
              <w:rPr>
                <w:rFonts w:hint="eastAsia" w:ascii="宋体" w:hAnsi="宋体" w:cs="宋体"/>
                <w:bCs/>
              </w:rPr>
              <w:t>②</w:t>
            </w:r>
            <w:r>
              <w:rPr>
                <w:rFonts w:hint="eastAsia"/>
                <w:bCs/>
              </w:rPr>
              <w:t>运输车辆有明显标识专车专用，禁止混装其他物品，单独收集，密闭运输，自动装卸，驾驶人员需进行专业培训；随车配备必要的消防器材和应急用具，悬挂危险品运输标志；确保废弃物包装完好，若有破损或密封不严，及时更换，更换包装作危废处置；禁止混合运输性质不形容或未经安全性处置的危废，运输车辆禁止人货混载。</w:t>
            </w:r>
          </w:p>
        </w:tc>
      </w:tr>
    </w:tbl>
    <w:p>
      <w:pPr>
        <w:rPr>
          <w:rFonts w:hint="eastAsia"/>
          <w:lang w:val="en-US" w:eastAsia="zh-CN"/>
        </w:rPr>
      </w:pPr>
      <w:bookmarkStart w:id="9" w:name="_Toc31318"/>
      <w:r>
        <w:rPr>
          <w:rFonts w:hint="eastAsia"/>
          <w:lang w:val="en-US" w:eastAsia="zh-CN"/>
        </w:rPr>
        <w:br w:type="page"/>
      </w:r>
    </w:p>
    <w:p>
      <w:pPr>
        <w:pStyle w:val="3"/>
        <w:bidi w:val="0"/>
        <w:rPr>
          <w:rFonts w:hint="default"/>
        </w:rPr>
      </w:pPr>
      <w:r>
        <w:rPr>
          <w:rFonts w:hint="eastAsia"/>
          <w:lang w:val="en-US" w:eastAsia="zh-CN"/>
        </w:rPr>
        <w:t>六、</w:t>
      </w:r>
      <w:r>
        <w:rPr>
          <w:rFonts w:hint="default"/>
        </w:rPr>
        <w:t>项目主要污染物产生及预计排放情况</w:t>
      </w:r>
      <w:bookmarkEnd w:id="9"/>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497"/>
        <w:gridCol w:w="163"/>
        <w:gridCol w:w="1288"/>
        <w:gridCol w:w="1515"/>
        <w:gridCol w:w="1078"/>
        <w:gridCol w:w="468"/>
        <w:gridCol w:w="486"/>
        <w:gridCol w:w="1131"/>
        <w:gridCol w:w="94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1127" w:type="dxa"/>
            <w:gridSpan w:val="2"/>
            <w:tcBorders>
              <w:top w:val="single" w:color="auto" w:sz="12" w:space="0"/>
              <w:bottom w:val="single" w:color="auto" w:sz="12" w:space="0"/>
              <w:tl2br w:val="single" w:color="auto" w:sz="4"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内容</w:t>
            </w:r>
          </w:p>
          <w:p>
            <w:pPr>
              <w:snapToGrid w:val="0"/>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类型</w:t>
            </w:r>
          </w:p>
        </w:tc>
        <w:tc>
          <w:tcPr>
            <w:tcW w:w="1451" w:type="dxa"/>
            <w:gridSpan w:val="2"/>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产生源</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（编号）</w:t>
            </w:r>
          </w:p>
        </w:tc>
        <w:tc>
          <w:tcPr>
            <w:tcW w:w="1515"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1078"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产生浓度mg/m</w:t>
            </w:r>
            <w:r>
              <w:rPr>
                <w:rFonts w:hint="default" w:ascii="Times New Roman" w:hAnsi="Times New Roman" w:eastAsia="宋体" w:cs="Times New Roman"/>
                <w:b/>
                <w:sz w:val="24"/>
                <w:szCs w:val="24"/>
                <w:vertAlign w:val="superscript"/>
              </w:rPr>
              <w:t>3</w:t>
            </w:r>
          </w:p>
        </w:tc>
        <w:tc>
          <w:tcPr>
            <w:tcW w:w="954" w:type="dxa"/>
            <w:gridSpan w:val="2"/>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产生量</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t/a</w:t>
            </w:r>
          </w:p>
        </w:tc>
        <w:tc>
          <w:tcPr>
            <w:tcW w:w="1131"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排放浓度mg/m</w:t>
            </w:r>
            <w:r>
              <w:rPr>
                <w:rFonts w:hint="default" w:ascii="Times New Roman" w:hAnsi="Times New Roman" w:eastAsia="宋体" w:cs="Times New Roman"/>
                <w:b/>
                <w:sz w:val="24"/>
                <w:szCs w:val="24"/>
                <w:vertAlign w:val="superscript"/>
              </w:rPr>
              <w:t>3</w:t>
            </w:r>
          </w:p>
        </w:tc>
        <w:tc>
          <w:tcPr>
            <w:tcW w:w="943"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排放量</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t/a</w:t>
            </w:r>
          </w:p>
        </w:tc>
        <w:tc>
          <w:tcPr>
            <w:tcW w:w="1440"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restart"/>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大气</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w:t>
            </w:r>
          </w:p>
        </w:tc>
        <w:tc>
          <w:tcPr>
            <w:tcW w:w="1451" w:type="dxa"/>
            <w:gridSpan w:val="2"/>
            <w:tcBorders>
              <w:top w:val="single" w:color="auto" w:sz="12" w:space="0"/>
            </w:tcBorders>
            <w:noWrap w:val="0"/>
            <w:vAlign w:val="center"/>
          </w:tcPr>
          <w:p>
            <w:pPr>
              <w:widowControl/>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P1</w:t>
            </w:r>
          </w:p>
        </w:tc>
        <w:tc>
          <w:tcPr>
            <w:tcW w:w="1515" w:type="dxa"/>
            <w:tcBorders>
              <w:top w:val="single" w:color="auto" w:sz="12" w:space="0"/>
              <w:bottom w:val="single" w:color="auto" w:sz="4" w:space="0"/>
            </w:tcBorders>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非甲烷总烃</w:t>
            </w:r>
          </w:p>
        </w:tc>
        <w:tc>
          <w:tcPr>
            <w:tcW w:w="1078" w:type="dxa"/>
            <w:tcBorders>
              <w:top w:val="single" w:color="auto" w:sz="12" w:space="0"/>
            </w:tcBorders>
            <w:noWrap w:val="0"/>
            <w:vAlign w:val="center"/>
          </w:tcPr>
          <w:p>
            <w:pPr>
              <w:widowControl/>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141</w:t>
            </w:r>
          </w:p>
        </w:tc>
        <w:tc>
          <w:tcPr>
            <w:tcW w:w="954" w:type="dxa"/>
            <w:gridSpan w:val="2"/>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1.35</w:t>
            </w:r>
          </w:p>
        </w:tc>
        <w:tc>
          <w:tcPr>
            <w:tcW w:w="1131" w:type="dxa"/>
            <w:tcBorders>
              <w:top w:val="single" w:color="auto" w:sz="12" w:space="0"/>
            </w:tcBorders>
            <w:noWrap w:val="0"/>
            <w:vAlign w:val="center"/>
          </w:tcPr>
          <w:p>
            <w:pPr>
              <w:widowControl/>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14.1</w:t>
            </w:r>
          </w:p>
        </w:tc>
        <w:tc>
          <w:tcPr>
            <w:tcW w:w="943"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0.135</w:t>
            </w:r>
          </w:p>
        </w:tc>
        <w:tc>
          <w:tcPr>
            <w:tcW w:w="1440"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15米排气筒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restart"/>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无组织排放</w:t>
            </w:r>
          </w:p>
        </w:tc>
        <w:tc>
          <w:tcPr>
            <w:tcW w:w="1515" w:type="dxa"/>
            <w:tcBorders>
              <w:bottom w:val="single" w:color="auto" w:sz="4" w:space="0"/>
            </w:tcBorders>
            <w:noWrap w:val="0"/>
            <w:vAlign w:val="center"/>
          </w:tcPr>
          <w:p>
            <w:pPr>
              <w:autoSpaceDE w:val="0"/>
              <w:snapToGrid w:val="0"/>
              <w:spacing w:line="240" w:lineRule="auto"/>
              <w:jc w:val="center"/>
              <w:rPr>
                <w:rFonts w:hint="eastAsia" w:ascii="Times New Roman" w:hAnsi="Times New Roman" w:eastAsia="宋体" w:cs="Times New Roman"/>
                <w:sz w:val="24"/>
                <w:szCs w:val="24"/>
                <w:lang w:eastAsia="zh-CN"/>
              </w:rPr>
            </w:pPr>
            <w:r>
              <w:rPr>
                <w:rFonts w:hint="eastAsia" w:cs="Times New Roman"/>
                <w:kern w:val="0"/>
                <w:sz w:val="24"/>
                <w:szCs w:val="24"/>
                <w:lang w:val="en-US" w:eastAsia="zh-CN"/>
              </w:rPr>
              <w:t>颗粒物</w:t>
            </w:r>
          </w:p>
        </w:tc>
        <w:tc>
          <w:tcPr>
            <w:tcW w:w="1078"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54" w:type="dxa"/>
            <w:gridSpan w:val="2"/>
            <w:noWrap w:val="0"/>
            <w:vAlign w:val="center"/>
          </w:tcPr>
          <w:p>
            <w:pPr>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0.15</w:t>
            </w:r>
          </w:p>
        </w:tc>
        <w:tc>
          <w:tcPr>
            <w:tcW w:w="1131" w:type="dxa"/>
            <w:noWrap w:val="0"/>
            <w:vAlign w:val="center"/>
          </w:tcPr>
          <w:p>
            <w:pPr>
              <w:snapToGrid w:val="0"/>
              <w:spacing w:line="24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43" w:type="dxa"/>
            <w:noWrap w:val="0"/>
            <w:vAlign w:val="center"/>
          </w:tcPr>
          <w:p>
            <w:pPr>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0.15</w:t>
            </w:r>
          </w:p>
        </w:tc>
        <w:tc>
          <w:tcPr>
            <w:tcW w:w="1440" w:type="dxa"/>
            <w:vMerge w:val="restart"/>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515" w:type="dxa"/>
            <w:tcBorders>
              <w:bottom w:val="single" w:color="auto" w:sz="4" w:space="0"/>
            </w:tcBorders>
            <w:noWrap w:val="0"/>
            <w:vAlign w:val="center"/>
          </w:tcPr>
          <w:p>
            <w:pPr>
              <w:autoSpaceDE w:val="0"/>
              <w:snapToGrid w:val="0"/>
              <w:spacing w:line="24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非甲烷总烃</w:t>
            </w:r>
          </w:p>
        </w:tc>
        <w:tc>
          <w:tcPr>
            <w:tcW w:w="1078"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54" w:type="dxa"/>
            <w:gridSpan w:val="2"/>
            <w:noWrap w:val="0"/>
            <w:vAlign w:val="center"/>
          </w:tcPr>
          <w:p>
            <w:pPr>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0.3</w:t>
            </w:r>
          </w:p>
        </w:tc>
        <w:tc>
          <w:tcPr>
            <w:tcW w:w="1131" w:type="dxa"/>
            <w:noWrap w:val="0"/>
            <w:vAlign w:val="center"/>
          </w:tcPr>
          <w:p>
            <w:pPr>
              <w:snapToGrid w:val="0"/>
              <w:spacing w:line="24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43" w:type="dxa"/>
            <w:noWrap w:val="0"/>
            <w:vAlign w:val="center"/>
          </w:tcPr>
          <w:p>
            <w:pPr>
              <w:snapToGrid w:val="0"/>
              <w:spacing w:line="240" w:lineRule="auto"/>
              <w:jc w:val="center"/>
              <w:textAlignment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0.3</w:t>
            </w:r>
          </w:p>
        </w:tc>
        <w:tc>
          <w:tcPr>
            <w:tcW w:w="144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restart"/>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水</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污染物</w:t>
            </w:r>
          </w:p>
        </w:tc>
        <w:tc>
          <w:tcPr>
            <w:tcW w:w="1451" w:type="dxa"/>
            <w:gridSpan w:val="2"/>
            <w:vMerge w:val="restart"/>
            <w:noWrap w:val="0"/>
            <w:vAlign w:val="center"/>
          </w:tcPr>
          <w:p>
            <w:pPr>
              <w:snapToGrid w:val="0"/>
              <w:spacing w:line="240" w:lineRule="auto"/>
              <w:ind w:hanging="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生活污水</w:t>
            </w:r>
            <w:r>
              <w:rPr>
                <w:rFonts w:hint="eastAsia" w:cs="Times New Roman"/>
                <w:sz w:val="24"/>
                <w:szCs w:val="24"/>
                <w:lang w:val="en-US" w:eastAsia="zh-CN"/>
              </w:rPr>
              <w:t>45</w:t>
            </w:r>
            <w:r>
              <w:rPr>
                <w:rFonts w:hint="default" w:ascii="Times New Roman" w:hAnsi="Times New Roman" w:eastAsia="宋体" w:cs="Times New Roman"/>
                <w:sz w:val="24"/>
                <w:szCs w:val="24"/>
              </w:rPr>
              <w:t>6t/a</w:t>
            </w: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污染物</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1078"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产生浓度mg/L</w:t>
            </w:r>
          </w:p>
        </w:tc>
        <w:tc>
          <w:tcPr>
            <w:tcW w:w="954" w:type="dxa"/>
            <w:gridSpan w:val="2"/>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产生量t/a</w:t>
            </w:r>
          </w:p>
        </w:tc>
        <w:tc>
          <w:tcPr>
            <w:tcW w:w="1131"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排放浓度</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mg/L</w:t>
            </w:r>
          </w:p>
        </w:tc>
        <w:tc>
          <w:tcPr>
            <w:tcW w:w="943"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排放量</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w:t>
            </w:r>
          </w:p>
        </w:tc>
        <w:tc>
          <w:tcPr>
            <w:tcW w:w="1440"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ind w:hanging="2"/>
              <w:jc w:val="center"/>
              <w:rPr>
                <w:rFonts w:hint="default" w:ascii="Times New Roman" w:hAnsi="Times New Roman" w:eastAsia="宋体" w:cs="Times New Roman"/>
                <w:sz w:val="24"/>
                <w:szCs w:val="24"/>
              </w:rPr>
            </w:pP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COD</w:t>
            </w:r>
          </w:p>
        </w:tc>
        <w:tc>
          <w:tcPr>
            <w:tcW w:w="1078"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450</w:t>
            </w:r>
          </w:p>
        </w:tc>
        <w:tc>
          <w:tcPr>
            <w:tcW w:w="954" w:type="dxa"/>
            <w:gridSpan w:val="2"/>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0.2052</w:t>
            </w:r>
          </w:p>
        </w:tc>
        <w:tc>
          <w:tcPr>
            <w:tcW w:w="1131"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450</w:t>
            </w:r>
          </w:p>
        </w:tc>
        <w:tc>
          <w:tcPr>
            <w:tcW w:w="9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0.2052</w:t>
            </w:r>
          </w:p>
        </w:tc>
        <w:tc>
          <w:tcPr>
            <w:tcW w:w="1440" w:type="dxa"/>
            <w:vMerge w:val="restart"/>
            <w:noWrap w:val="0"/>
            <w:vAlign w:val="center"/>
          </w:tcPr>
          <w:p>
            <w:pPr>
              <w:snapToGrid w:val="0"/>
              <w:spacing w:line="240" w:lineRule="auto"/>
              <w:jc w:val="center"/>
              <w:rPr>
                <w:rFonts w:hint="default" w:ascii="Times New Roman" w:hAnsi="Times New Roman" w:eastAsia="宋体" w:cs="Times New Roman"/>
                <w:sz w:val="24"/>
                <w:szCs w:val="24"/>
              </w:rPr>
            </w:pPr>
            <w:r>
              <w:rPr>
                <w:rFonts w:hint="eastAsia" w:cs="Times New Roman"/>
                <w:sz w:val="24"/>
                <w:szCs w:val="24"/>
                <w:lang w:val="en-US" w:eastAsia="zh-CN"/>
              </w:rPr>
              <w:t>白荡净水厂</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ind w:hanging="2"/>
              <w:jc w:val="center"/>
              <w:rPr>
                <w:rFonts w:hint="default" w:ascii="Times New Roman" w:hAnsi="Times New Roman" w:eastAsia="宋体" w:cs="Times New Roman"/>
                <w:sz w:val="24"/>
                <w:szCs w:val="24"/>
              </w:rPr>
            </w:pP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SS</w:t>
            </w:r>
          </w:p>
        </w:tc>
        <w:tc>
          <w:tcPr>
            <w:tcW w:w="1078"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300</w:t>
            </w:r>
          </w:p>
        </w:tc>
        <w:tc>
          <w:tcPr>
            <w:tcW w:w="954" w:type="dxa"/>
            <w:gridSpan w:val="2"/>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0.1368</w:t>
            </w:r>
          </w:p>
        </w:tc>
        <w:tc>
          <w:tcPr>
            <w:tcW w:w="1131"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300</w:t>
            </w:r>
          </w:p>
        </w:tc>
        <w:tc>
          <w:tcPr>
            <w:tcW w:w="9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0.1368</w:t>
            </w:r>
          </w:p>
        </w:tc>
        <w:tc>
          <w:tcPr>
            <w:tcW w:w="144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ind w:hanging="2"/>
              <w:jc w:val="center"/>
              <w:rPr>
                <w:rFonts w:hint="default" w:ascii="Times New Roman" w:hAnsi="Times New Roman" w:eastAsia="宋体" w:cs="Times New Roman"/>
                <w:sz w:val="24"/>
                <w:szCs w:val="24"/>
              </w:rPr>
            </w:pP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p>
        </w:tc>
        <w:tc>
          <w:tcPr>
            <w:tcW w:w="1078"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p>
        </w:tc>
        <w:tc>
          <w:tcPr>
            <w:tcW w:w="954" w:type="dxa"/>
            <w:gridSpan w:val="2"/>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0.01596</w:t>
            </w:r>
          </w:p>
        </w:tc>
        <w:tc>
          <w:tcPr>
            <w:tcW w:w="1131"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w:t>
            </w:r>
          </w:p>
        </w:tc>
        <w:tc>
          <w:tcPr>
            <w:tcW w:w="9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0.01596</w:t>
            </w:r>
          </w:p>
        </w:tc>
        <w:tc>
          <w:tcPr>
            <w:tcW w:w="144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ind w:hanging="2"/>
              <w:jc w:val="center"/>
              <w:rPr>
                <w:rFonts w:hint="default" w:ascii="Times New Roman" w:hAnsi="Times New Roman" w:eastAsia="宋体" w:cs="Times New Roman"/>
                <w:sz w:val="24"/>
                <w:szCs w:val="24"/>
              </w:rPr>
            </w:pP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TN</w:t>
            </w:r>
          </w:p>
        </w:tc>
        <w:tc>
          <w:tcPr>
            <w:tcW w:w="1078"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w:t>
            </w:r>
          </w:p>
        </w:tc>
        <w:tc>
          <w:tcPr>
            <w:tcW w:w="954" w:type="dxa"/>
            <w:gridSpan w:val="2"/>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0.02052</w:t>
            </w:r>
          </w:p>
        </w:tc>
        <w:tc>
          <w:tcPr>
            <w:tcW w:w="1131"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w:t>
            </w:r>
          </w:p>
        </w:tc>
        <w:tc>
          <w:tcPr>
            <w:tcW w:w="9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0.02052</w:t>
            </w:r>
          </w:p>
        </w:tc>
        <w:tc>
          <w:tcPr>
            <w:tcW w:w="144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7"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451" w:type="dxa"/>
            <w:gridSpan w:val="2"/>
            <w:vMerge w:val="continue"/>
            <w:noWrap w:val="0"/>
            <w:vAlign w:val="center"/>
          </w:tcPr>
          <w:p>
            <w:pPr>
              <w:snapToGrid w:val="0"/>
              <w:spacing w:line="240" w:lineRule="auto"/>
              <w:ind w:hanging="2"/>
              <w:jc w:val="center"/>
              <w:rPr>
                <w:rFonts w:hint="default" w:ascii="Times New Roman" w:hAnsi="Times New Roman" w:eastAsia="宋体" w:cs="Times New Roman"/>
                <w:sz w:val="24"/>
                <w:szCs w:val="24"/>
              </w:rPr>
            </w:pPr>
          </w:p>
        </w:tc>
        <w:tc>
          <w:tcPr>
            <w:tcW w:w="1515"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TP</w:t>
            </w:r>
          </w:p>
        </w:tc>
        <w:tc>
          <w:tcPr>
            <w:tcW w:w="1078"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54" w:type="dxa"/>
            <w:gridSpan w:val="2"/>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0.003648</w:t>
            </w:r>
          </w:p>
        </w:tc>
        <w:tc>
          <w:tcPr>
            <w:tcW w:w="1131" w:type="dxa"/>
            <w:noWrap w:val="0"/>
            <w:vAlign w:val="center"/>
          </w:tcPr>
          <w:p>
            <w:pPr>
              <w:pStyle w:val="2"/>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0.003648</w:t>
            </w:r>
          </w:p>
        </w:tc>
        <w:tc>
          <w:tcPr>
            <w:tcW w:w="144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78" w:type="dxa"/>
            <w:gridSpan w:val="4"/>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电离辐射和电磁辐射</w:t>
            </w:r>
          </w:p>
        </w:tc>
        <w:tc>
          <w:tcPr>
            <w:tcW w:w="7061" w:type="dxa"/>
            <w:gridSpan w:val="7"/>
            <w:tcBorders>
              <w:bottom w:val="single" w:color="auto" w:sz="4" w:space="0"/>
            </w:tcBorders>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0" w:type="dxa"/>
            <w:vMerge w:val="restart"/>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固</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体</w:t>
            </w:r>
          </w:p>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废</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物</w:t>
            </w:r>
          </w:p>
        </w:tc>
        <w:tc>
          <w:tcPr>
            <w:tcW w:w="660" w:type="dxa"/>
            <w:gridSpan w:val="2"/>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1288"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1515" w:type="dxa"/>
            <w:noWrap w:val="0"/>
            <w:vAlign w:val="center"/>
          </w:tcPr>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产生量</w:t>
            </w:r>
          </w:p>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w:t>
            </w:r>
          </w:p>
        </w:tc>
        <w:tc>
          <w:tcPr>
            <w:tcW w:w="1546" w:type="dxa"/>
            <w:gridSpan w:val="2"/>
            <w:noWrap w:val="0"/>
            <w:vAlign w:val="center"/>
          </w:tcPr>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处理处置量</w:t>
            </w:r>
          </w:p>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w:t>
            </w:r>
          </w:p>
        </w:tc>
        <w:tc>
          <w:tcPr>
            <w:tcW w:w="1617" w:type="dxa"/>
            <w:gridSpan w:val="2"/>
            <w:noWrap w:val="0"/>
            <w:vAlign w:val="center"/>
          </w:tcPr>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综合利用量</w:t>
            </w:r>
          </w:p>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w:t>
            </w:r>
          </w:p>
        </w:tc>
        <w:tc>
          <w:tcPr>
            <w:tcW w:w="943" w:type="dxa"/>
            <w:noWrap w:val="0"/>
            <w:vAlign w:val="center"/>
          </w:tcPr>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外排量</w:t>
            </w:r>
          </w:p>
          <w:p>
            <w:pPr>
              <w:pStyle w:val="13"/>
              <w:snapToGrid w:val="0"/>
              <w:spacing w:after="0"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t/a</w:t>
            </w:r>
          </w:p>
        </w:tc>
        <w:tc>
          <w:tcPr>
            <w:tcW w:w="1440"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660" w:type="dxa"/>
            <w:gridSpan w:val="2"/>
            <w:vMerge w:val="restart"/>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一般固废</w:t>
            </w:r>
          </w:p>
        </w:tc>
        <w:tc>
          <w:tcPr>
            <w:tcW w:w="1288" w:type="dxa"/>
            <w:noWrap w:val="0"/>
            <w:vAlign w:val="center"/>
          </w:tcPr>
          <w:p>
            <w:pPr>
              <w:snapToGrid w:val="0"/>
              <w:spacing w:line="24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不合格品</w:t>
            </w:r>
          </w:p>
        </w:tc>
        <w:tc>
          <w:tcPr>
            <w:tcW w:w="1515" w:type="dxa"/>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0.3</w:t>
            </w:r>
          </w:p>
        </w:tc>
        <w:tc>
          <w:tcPr>
            <w:tcW w:w="1546" w:type="dxa"/>
            <w:gridSpan w:val="2"/>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0.3</w:t>
            </w:r>
          </w:p>
        </w:tc>
        <w:tc>
          <w:tcPr>
            <w:tcW w:w="1617" w:type="dxa"/>
            <w:gridSpan w:val="2"/>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943" w:type="dxa"/>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1440" w:type="dxa"/>
            <w:noWrap w:val="0"/>
            <w:vAlign w:val="center"/>
          </w:tcPr>
          <w:p>
            <w:pPr>
              <w:pStyle w:val="11"/>
              <w:snapToGrid w:val="0"/>
              <w:spacing w:line="240" w:lineRule="auto"/>
              <w:jc w:val="center"/>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lang w:val="en-GB"/>
              </w:rPr>
              <w:t>外售利用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660"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288" w:type="dxa"/>
            <w:noWrap w:val="0"/>
            <w:vAlign w:val="center"/>
          </w:tcPr>
          <w:p>
            <w:pPr>
              <w:snapToGrid w:val="0"/>
              <w:spacing w:line="24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废包装</w:t>
            </w:r>
          </w:p>
        </w:tc>
        <w:tc>
          <w:tcPr>
            <w:tcW w:w="1515" w:type="dxa"/>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p>
        </w:tc>
        <w:tc>
          <w:tcPr>
            <w:tcW w:w="1546" w:type="dxa"/>
            <w:gridSpan w:val="2"/>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p>
        </w:tc>
        <w:tc>
          <w:tcPr>
            <w:tcW w:w="1617" w:type="dxa"/>
            <w:gridSpan w:val="2"/>
            <w:noWrap w:val="0"/>
            <w:vAlign w:val="center"/>
          </w:tcPr>
          <w:p>
            <w:pPr>
              <w:spacing w:line="240" w:lineRule="auto"/>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0</w:t>
            </w:r>
          </w:p>
        </w:tc>
        <w:tc>
          <w:tcPr>
            <w:tcW w:w="943" w:type="dxa"/>
            <w:noWrap w:val="0"/>
            <w:vAlign w:val="center"/>
          </w:tcPr>
          <w:p>
            <w:pPr>
              <w:spacing w:line="240" w:lineRule="auto"/>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0</w:t>
            </w:r>
          </w:p>
        </w:tc>
        <w:tc>
          <w:tcPr>
            <w:tcW w:w="1440" w:type="dxa"/>
            <w:noWrap w:val="0"/>
            <w:vAlign w:val="center"/>
          </w:tcPr>
          <w:p>
            <w:pPr>
              <w:pStyle w:val="11"/>
              <w:snapToGrid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外售利用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63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660" w:type="dxa"/>
            <w:gridSpan w:val="2"/>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1288" w:type="dxa"/>
            <w:noWrap w:val="0"/>
            <w:vAlign w:val="center"/>
          </w:tcPr>
          <w:p>
            <w:pPr>
              <w:snapToGrid w:val="0"/>
              <w:spacing w:line="24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布袋收尘</w:t>
            </w:r>
          </w:p>
        </w:tc>
        <w:tc>
          <w:tcPr>
            <w:tcW w:w="1515" w:type="dxa"/>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0.2673</w:t>
            </w:r>
          </w:p>
        </w:tc>
        <w:tc>
          <w:tcPr>
            <w:tcW w:w="1546" w:type="dxa"/>
            <w:gridSpan w:val="2"/>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0</w:t>
            </w:r>
          </w:p>
        </w:tc>
        <w:tc>
          <w:tcPr>
            <w:tcW w:w="1617" w:type="dxa"/>
            <w:gridSpan w:val="2"/>
            <w:noWrap w:val="0"/>
            <w:vAlign w:val="center"/>
          </w:tcPr>
          <w:p>
            <w:pPr>
              <w:spacing w:line="240" w:lineRule="auto"/>
              <w:jc w:val="center"/>
              <w:rPr>
                <w:rFonts w:hint="default" w:ascii="Times New Roman" w:hAnsi="Times New Roman" w:eastAsia="宋体" w:cs="Times New Roman"/>
                <w:sz w:val="24"/>
                <w:szCs w:val="24"/>
              </w:rPr>
            </w:pPr>
            <w:r>
              <w:rPr>
                <w:rFonts w:hint="eastAsia"/>
                <w:sz w:val="24"/>
                <w:szCs w:val="24"/>
                <w:lang w:val="en-US" w:eastAsia="zh-CN"/>
              </w:rPr>
              <w:t>0.2673</w:t>
            </w:r>
          </w:p>
        </w:tc>
        <w:tc>
          <w:tcPr>
            <w:tcW w:w="943" w:type="dxa"/>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1440" w:type="dxa"/>
            <w:noWrap w:val="0"/>
            <w:vAlign w:val="center"/>
          </w:tcPr>
          <w:p>
            <w:pPr>
              <w:pStyle w:val="11"/>
              <w:snapToGrid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本厂回用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3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660" w:type="dxa"/>
            <w:gridSpan w:val="2"/>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危险废物</w:t>
            </w:r>
          </w:p>
        </w:tc>
        <w:tc>
          <w:tcPr>
            <w:tcW w:w="1288" w:type="dxa"/>
            <w:noWrap w:val="0"/>
            <w:vAlign w:val="center"/>
          </w:tcPr>
          <w:p>
            <w:pPr>
              <w:snapToGrid w:val="0"/>
              <w:spacing w:line="240" w:lineRule="auto"/>
              <w:jc w:val="center"/>
              <w:rPr>
                <w:rFonts w:hint="default" w:ascii="Times New Roman" w:hAnsi="Times New Roman" w:eastAsia="宋体" w:cs="Times New Roman"/>
                <w:kern w:val="2"/>
                <w:sz w:val="24"/>
                <w:szCs w:val="24"/>
                <w:lang w:val="en-US" w:eastAsia="zh-CN" w:bidi="ar-SA"/>
              </w:rPr>
            </w:pPr>
            <w:r>
              <w:rPr>
                <w:sz w:val="24"/>
                <w:szCs w:val="24"/>
              </w:rPr>
              <w:t>废活性炭</w:t>
            </w:r>
          </w:p>
        </w:tc>
        <w:tc>
          <w:tcPr>
            <w:tcW w:w="1515" w:type="dxa"/>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p>
        </w:tc>
        <w:tc>
          <w:tcPr>
            <w:tcW w:w="1546" w:type="dxa"/>
            <w:gridSpan w:val="2"/>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p>
        </w:tc>
        <w:tc>
          <w:tcPr>
            <w:tcW w:w="1617" w:type="dxa"/>
            <w:gridSpan w:val="2"/>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943" w:type="dxa"/>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1440" w:type="dxa"/>
            <w:noWrap w:val="0"/>
            <w:vAlign w:val="center"/>
          </w:tcPr>
          <w:p>
            <w:pPr>
              <w:pStyle w:val="11"/>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0" w:type="dxa"/>
            <w:vMerge w:val="continue"/>
            <w:noWrap w:val="0"/>
            <w:vAlign w:val="center"/>
          </w:tcPr>
          <w:p>
            <w:pPr>
              <w:snapToGrid w:val="0"/>
              <w:spacing w:line="240" w:lineRule="auto"/>
              <w:jc w:val="center"/>
              <w:rPr>
                <w:rFonts w:hint="default" w:ascii="Times New Roman" w:hAnsi="Times New Roman" w:eastAsia="宋体" w:cs="Times New Roman"/>
                <w:sz w:val="24"/>
                <w:szCs w:val="24"/>
              </w:rPr>
            </w:pPr>
          </w:p>
        </w:tc>
        <w:tc>
          <w:tcPr>
            <w:tcW w:w="660" w:type="dxa"/>
            <w:gridSpan w:val="2"/>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w:t>
            </w:r>
          </w:p>
        </w:tc>
        <w:tc>
          <w:tcPr>
            <w:tcW w:w="1288" w:type="dxa"/>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生活垃圾</w:t>
            </w:r>
          </w:p>
        </w:tc>
        <w:tc>
          <w:tcPr>
            <w:tcW w:w="1515" w:type="dxa"/>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color w:val="000000"/>
                <w:kern w:val="0"/>
                <w:sz w:val="24"/>
                <w:szCs w:val="24"/>
                <w:lang w:bidi="ar"/>
              </w:rPr>
              <w:t>6</w:t>
            </w:r>
          </w:p>
        </w:tc>
        <w:tc>
          <w:tcPr>
            <w:tcW w:w="1546" w:type="dxa"/>
            <w:gridSpan w:val="2"/>
            <w:noWrap w:val="0"/>
            <w:vAlign w:val="center"/>
          </w:tcPr>
          <w:p>
            <w:pPr>
              <w:widowControl/>
              <w:spacing w:line="240" w:lineRule="auto"/>
              <w:jc w:val="center"/>
              <w:textAlignment w:val="center"/>
              <w:rPr>
                <w:rFonts w:hint="default" w:ascii="Times New Roman" w:hAnsi="Times New Roman" w:eastAsia="宋体" w:cs="Times New Roman"/>
                <w:kern w:val="2"/>
                <w:sz w:val="24"/>
                <w:szCs w:val="24"/>
                <w:lang w:val="en-US" w:eastAsia="zh-CN" w:bidi="ar-SA"/>
              </w:rPr>
            </w:pPr>
            <w:r>
              <w:rPr>
                <w:color w:val="000000"/>
                <w:kern w:val="0"/>
                <w:sz w:val="24"/>
                <w:szCs w:val="24"/>
                <w:lang w:bidi="ar"/>
              </w:rPr>
              <w:t>6</w:t>
            </w:r>
          </w:p>
        </w:tc>
        <w:tc>
          <w:tcPr>
            <w:tcW w:w="1617" w:type="dxa"/>
            <w:gridSpan w:val="2"/>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943" w:type="dxa"/>
            <w:noWrap w:val="0"/>
            <w:vAlign w:val="center"/>
          </w:tcPr>
          <w:p>
            <w:pPr>
              <w:spacing w:line="240" w:lineRule="auto"/>
              <w:jc w:val="center"/>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rPr>
              <w:t>0</w:t>
            </w:r>
          </w:p>
        </w:tc>
        <w:tc>
          <w:tcPr>
            <w:tcW w:w="1440" w:type="dxa"/>
            <w:noWrap w:val="0"/>
            <w:vAlign w:val="center"/>
          </w:tcPr>
          <w:p>
            <w:pPr>
              <w:pStyle w:val="11"/>
              <w:snapToGrid w:val="0"/>
              <w:spacing w:line="240" w:lineRule="auto"/>
              <w:jc w:val="center"/>
              <w:rPr>
                <w:rFonts w:hint="default" w:ascii="Times New Roman" w:hAnsi="Times New Roman" w:eastAsia="宋体" w:cs="Times New Roman"/>
                <w:sz w:val="24"/>
                <w:szCs w:val="24"/>
                <w:lang w:val="en-GB"/>
              </w:rPr>
            </w:pPr>
            <w:r>
              <w:rPr>
                <w:rFonts w:hint="default" w:ascii="Times New Roman" w:hAnsi="Times New Roman" w:eastAsia="宋体" w:cs="Times New Roman"/>
                <w:sz w:val="24"/>
                <w:szCs w:val="24"/>
                <w:lang w:val="en-GB"/>
              </w:rPr>
              <w:t>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630" w:type="dxa"/>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噪</w:t>
            </w:r>
          </w:p>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声</w:t>
            </w:r>
          </w:p>
        </w:tc>
        <w:tc>
          <w:tcPr>
            <w:tcW w:w="9009" w:type="dxa"/>
            <w:gridSpan w:val="10"/>
            <w:noWrap w:val="0"/>
            <w:vAlign w:val="center"/>
          </w:tcPr>
          <w:p>
            <w:pPr>
              <w:snapToGrid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本项目噪声源源强在为75-80dB（A），经隔声处理后厂界噪声可以达到《工业企业厂界环境噪声排放标准》（GB12348-2008）2类标准。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0" w:type="dxa"/>
            <w:noWrap w:val="0"/>
            <w:vAlign w:val="center"/>
          </w:tcPr>
          <w:p>
            <w:pPr>
              <w:snapToGrid w:val="0"/>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其他</w:t>
            </w:r>
          </w:p>
        </w:tc>
        <w:tc>
          <w:tcPr>
            <w:tcW w:w="9009" w:type="dxa"/>
            <w:gridSpan w:val="10"/>
            <w:noWrap w:val="0"/>
            <w:vAlign w:val="center"/>
          </w:tcPr>
          <w:p>
            <w:pPr>
              <w:pStyle w:val="20"/>
              <w:snapToGrid w:val="0"/>
              <w:spacing w:line="240" w:lineRule="auto"/>
              <w:ind w:left="0"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39" w:type="dxa"/>
            <w:gridSpan w:val="11"/>
            <w:tcBorders>
              <w:bottom w:val="single" w:color="auto" w:sz="12" w:space="0"/>
            </w:tcBorders>
            <w:noWrap w:val="0"/>
            <w:vAlign w:val="center"/>
          </w:tcPr>
          <w:p>
            <w:pPr>
              <w:spacing w:line="24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主要生态影响（不够时可附另页）：</w:t>
            </w:r>
          </w:p>
          <w:p>
            <w:pPr>
              <w:pStyle w:val="2"/>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r>
    </w:tbl>
    <w:p>
      <w:r>
        <w:br w:type="page"/>
      </w:r>
    </w:p>
    <w:p>
      <w:pPr>
        <w:pStyle w:val="3"/>
        <w:numPr>
          <w:ilvl w:val="0"/>
          <w:numId w:val="0"/>
        </w:numPr>
        <w:rPr>
          <w:rFonts w:hint="default"/>
        </w:rPr>
      </w:pPr>
      <w:bookmarkStart w:id="10" w:name="_Toc15737"/>
      <w:r>
        <w:rPr>
          <w:rFonts w:hint="eastAsia"/>
          <w:lang w:val="en-US" w:eastAsia="zh-CN"/>
        </w:rPr>
        <w:t>七、</w:t>
      </w:r>
      <w:r>
        <w:rPr>
          <w:rFonts w:hint="default"/>
        </w:rPr>
        <w:t>环境影响分析</w:t>
      </w:r>
      <w:bookmarkEnd w:id="10"/>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tcBorders>
              <w:bottom w:val="single" w:color="auto" w:sz="12" w:space="0"/>
            </w:tcBorders>
            <w:noWrap w:val="0"/>
            <w:vAlign w:val="top"/>
          </w:tcPr>
          <w:p>
            <w:pPr>
              <w:jc w:val="left"/>
              <w:rPr>
                <w:rFonts w:hint="default" w:ascii="Times New Roman" w:hAnsi="Times New Roman" w:eastAsia="宋体" w:cs="Times New Roman"/>
                <w:b/>
                <w:bCs/>
              </w:rPr>
            </w:pPr>
            <w:r>
              <w:rPr>
                <w:rFonts w:hint="default" w:ascii="Times New Roman" w:hAnsi="Times New Roman" w:eastAsia="宋体" w:cs="Times New Roman"/>
                <w:b/>
                <w:bCs/>
              </w:rPr>
              <w:t>施工期环境影响简要分析：</w:t>
            </w:r>
          </w:p>
          <w:p>
            <w:pPr>
              <w:pStyle w:val="2"/>
              <w:ind w:left="0" w:leftChars="0" w:firstLine="480" w:firstLineChars="200"/>
              <w:rPr>
                <w:rFonts w:hint="default" w:ascii="Times New Roman" w:hAnsi="Times New Roman" w:eastAsia="宋体" w:cs="Times New Roman"/>
                <w:sz w:val="24"/>
              </w:rPr>
            </w:pPr>
            <w:r>
              <w:rPr>
                <w:rFonts w:hint="default" w:ascii="Times New Roman" w:hAnsi="Times New Roman" w:eastAsia="宋体" w:cs="Times New Roman"/>
                <w:lang w:val="en-US" w:eastAsia="zh-CN"/>
              </w:rPr>
              <w:t>项目依托现有厂房，只需将设备搬入厂房，不需土方建设，无污染。</w:t>
            </w:r>
          </w:p>
          <w:p>
            <w:pPr>
              <w:pStyle w:val="7"/>
              <w:ind w:right="120" w:rightChars="50"/>
              <w:rPr>
                <w:rFonts w:hint="default" w:ascii="Times New Roman" w:hAnsi="Times New Roman" w:eastAsia="宋体" w:cs="Times New Roman"/>
                <w:b/>
                <w:bCs/>
              </w:rPr>
            </w:pPr>
            <w:r>
              <w:rPr>
                <w:rFonts w:hint="default" w:ascii="Times New Roman" w:hAnsi="Times New Roman" w:eastAsia="宋体" w:cs="Times New Roman"/>
                <w:b/>
                <w:bCs/>
              </w:rPr>
              <w:t>营运期环境影响简要分析：</w:t>
            </w:r>
          </w:p>
          <w:p>
            <w:pPr>
              <w:numPr>
                <w:ilvl w:val="0"/>
                <w:numId w:val="4"/>
              </w:numPr>
              <w:jc w:val="left"/>
              <w:rPr>
                <w:rFonts w:hint="default" w:ascii="Times New Roman" w:hAnsi="Times New Roman" w:eastAsia="宋体" w:cs="Times New Roman"/>
                <w:b/>
                <w:bCs/>
              </w:rPr>
            </w:pPr>
            <w:r>
              <w:rPr>
                <w:rFonts w:hint="default" w:ascii="Times New Roman" w:hAnsi="Times New Roman" w:eastAsia="宋体" w:cs="Times New Roman"/>
                <w:b/>
                <w:bCs/>
              </w:rPr>
              <w:t>地表水影响分析</w:t>
            </w:r>
          </w:p>
          <w:p>
            <w:pPr>
              <w:keepNext w:val="0"/>
              <w:keepLines w:val="0"/>
              <w:widowControl/>
              <w:suppressLineNumbers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本项目厂区管网采用雨、污分流系统：厂区雨水经雨水管网系统收集沉淀后就近排放到附近水体；本项目运营期产生的废水主要是员工的生活污水。 </w:t>
            </w:r>
          </w:p>
          <w:p>
            <w:pPr>
              <w:keepNext w:val="0"/>
              <w:keepLines w:val="0"/>
              <w:widowControl/>
              <w:suppressLineNumbers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本项目预计职工19人，生活用水量按照 100L/人·天计，年工作日为 300 天，生活污水排放量</w:t>
            </w:r>
            <w:r>
              <w:rPr>
                <w:rFonts w:hint="eastAsia" w:ascii="Times New Roman" w:hAnsi="Times New Roman" w:cs="Times New Roman"/>
                <w:color w:val="000000"/>
                <w:kern w:val="0"/>
                <w:sz w:val="24"/>
                <w:szCs w:val="24"/>
                <w:lang w:val="en-US" w:eastAsia="zh-CN" w:bidi="ar"/>
              </w:rPr>
              <w:t>456</w:t>
            </w:r>
            <w:r>
              <w:rPr>
                <w:rFonts w:hint="default" w:ascii="Times New Roman" w:hAnsi="Times New Roman" w:eastAsia="宋体" w:cs="Times New Roman"/>
                <w:color w:val="000000"/>
                <w:kern w:val="0"/>
                <w:sz w:val="24"/>
                <w:szCs w:val="24"/>
                <w:lang w:val="en-US" w:eastAsia="zh-CN" w:bidi="ar"/>
              </w:rPr>
              <w:t>m</w:t>
            </w:r>
            <w:r>
              <w:rPr>
                <w:rFonts w:hint="eastAsia" w:ascii="Times New Roman" w:hAnsi="Times New Roman"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/a。主要污染物为 COD、SS、NH</w:t>
            </w:r>
            <w:r>
              <w:rPr>
                <w:rFonts w:hint="default" w:ascii="Times New Roman" w:hAnsi="Times New Roman" w:eastAsia="宋体" w:cs="Times New Roman"/>
                <w:color w:val="000000"/>
                <w:kern w:val="0"/>
                <w:sz w:val="16"/>
                <w:szCs w:val="16"/>
                <w:lang w:val="en-US" w:eastAsia="zh-CN" w:bidi="ar"/>
              </w:rPr>
              <w:t>3</w:t>
            </w:r>
            <w:r>
              <w:rPr>
                <w:rFonts w:hint="default" w:ascii="Times New Roman" w:hAnsi="Times New Roman" w:eastAsia="宋体" w:cs="Times New Roman"/>
                <w:color w:val="000000"/>
                <w:kern w:val="0"/>
                <w:sz w:val="24"/>
                <w:szCs w:val="24"/>
                <w:lang w:val="en-US" w:eastAsia="zh-CN" w:bidi="ar"/>
              </w:rPr>
              <w:t>-N、TP。</w:t>
            </w:r>
            <w:r>
              <w:rPr>
                <w:rFonts w:hint="eastAsia" w:ascii="Times New Roman" w:hAnsi="Times New Roman" w:cs="Times New Roman"/>
                <w:color w:val="000000"/>
                <w:kern w:val="0"/>
                <w:sz w:val="24"/>
                <w:szCs w:val="24"/>
                <w:lang w:val="en-US" w:eastAsia="zh-CN" w:bidi="ar"/>
              </w:rPr>
              <w:t>预计排放量约为1.65t/天。</w:t>
            </w:r>
            <w:r>
              <w:rPr>
                <w:rFonts w:hint="default" w:ascii="Times New Roman" w:hAnsi="Times New Roman" w:eastAsia="宋体" w:cs="Times New Roman"/>
                <w:color w:val="000000"/>
                <w:kern w:val="0"/>
                <w:sz w:val="24"/>
                <w:szCs w:val="24"/>
                <w:lang w:val="en-US" w:eastAsia="zh-CN" w:bidi="ar"/>
              </w:rPr>
              <w:t>主要污染物为 COD、SS，生活污水经厂内污水管网收集后排入苏州高新</w:t>
            </w: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 xml:space="preserve">，接管水质执行《污水综合排放标准》（GB8978-1996）中三级标准，氨氮、总磷、总氮执行《污水排入城镇下水道水质标准》CJ343-2010；集中处理后最终达到《太湖地区城镇污水处理厂及重点工业行业主要水污染物排放限值》（DB32-7/1072-2007）表 1（2）中城镇污水处理厂 I 类标准及《城镇污水处理厂污染物排放标准》（GB18918-2002）表 1 一级 A标准后进入京杭运河。 </w:t>
            </w:r>
          </w:p>
          <w:p>
            <w:pPr>
              <w:keepNext w:val="0"/>
              <w:keepLines w:val="0"/>
              <w:widowControl/>
              <w:suppressLineNumbers w:val="0"/>
              <w:ind w:firstLine="480" w:firstLineChars="200"/>
              <w:jc w:val="left"/>
              <w:rPr>
                <w:rFonts w:hint="default" w:ascii="Times New Roman" w:hAnsi="Times New Roman" w:eastAsia="宋体" w:cs="Times New Roman"/>
              </w:rPr>
            </w:pP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位于出口加工区南白荡河边，服务区域包括出口加工区等浒通片区运河以西的地区，采用循环式活性污泥处理工艺，总处理规模为 12 万吨/天，目前已投入运行的一期为 4 万吨/天，并于 2008 年 6 月开始实施提标工程，提标工艺为在原有循环式活性污泥处理的基础上再通过混凝沉淀、微过滤、紫外消毒处理。</w:t>
            </w: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目前的处理能力为40000t/d，本项目产生量</w:t>
            </w:r>
            <w:r>
              <w:rPr>
                <w:rFonts w:hint="eastAsia" w:ascii="Times New Roman" w:hAnsi="Times New Roman" w:cs="Times New Roman"/>
                <w:color w:val="000000"/>
                <w:kern w:val="0"/>
                <w:sz w:val="24"/>
                <w:szCs w:val="24"/>
                <w:lang w:val="en-US" w:eastAsia="zh-CN" w:bidi="ar"/>
              </w:rPr>
              <w:t>1.65t/</w:t>
            </w:r>
            <w:r>
              <w:rPr>
                <w:rFonts w:hint="eastAsia" w:cs="Times New Roman"/>
                <w:color w:val="000000"/>
                <w:kern w:val="0"/>
                <w:sz w:val="24"/>
                <w:szCs w:val="24"/>
                <w:lang w:val="en-US" w:eastAsia="zh-CN" w:bidi="ar"/>
              </w:rPr>
              <w:t>d，</w:t>
            </w:r>
            <w:r>
              <w:rPr>
                <w:rFonts w:hint="default" w:ascii="Times New Roman" w:hAnsi="Times New Roman" w:eastAsia="宋体" w:cs="Times New Roman"/>
                <w:color w:val="000000"/>
                <w:kern w:val="0"/>
                <w:sz w:val="24"/>
                <w:szCs w:val="24"/>
                <w:lang w:val="en-US" w:eastAsia="zh-CN" w:bidi="ar"/>
              </w:rPr>
              <w:t>仅占</w:t>
            </w:r>
            <w:r>
              <w:rPr>
                <w:rFonts w:hint="eastAsia" w:cs="Times New Roman"/>
                <w:color w:val="000000"/>
                <w:kern w:val="0"/>
                <w:sz w:val="24"/>
                <w:szCs w:val="24"/>
                <w:lang w:val="en-US" w:eastAsia="zh-CN" w:bidi="ar"/>
              </w:rPr>
              <w:t>净水厂</w:t>
            </w:r>
            <w:r>
              <w:rPr>
                <w:rFonts w:hint="default" w:ascii="Times New Roman" w:hAnsi="Times New Roman" w:eastAsia="宋体" w:cs="Times New Roman"/>
                <w:color w:val="000000"/>
                <w:kern w:val="0"/>
                <w:sz w:val="24"/>
                <w:szCs w:val="24"/>
                <w:lang w:val="en-US" w:eastAsia="zh-CN" w:bidi="ar"/>
              </w:rPr>
              <w:t>处理余量的微小部分。因此，</w:t>
            </w: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从处理能力上看，完全能够满足本项目以及全厂的污水处理要求。从污水管网建设情况来看：目前项目地周边已经铺设了配套污水主干管，待本项目建成运营后，项目污水可以由厂区标准排放口接入污水管网，输送至</w:t>
            </w: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 xml:space="preserve">进行处理。 </w:t>
            </w:r>
          </w:p>
          <w:p>
            <w:pPr>
              <w:keepNext w:val="0"/>
              <w:keepLines w:val="0"/>
              <w:widowControl/>
              <w:suppressLineNumbers w:val="0"/>
              <w:ind w:firstLine="480" w:firstLineChars="200"/>
              <w:jc w:val="left"/>
              <w:rPr>
                <w:rFonts w:hint="default" w:ascii="Times New Roman" w:hAnsi="Times New Roman" w:eastAsia="宋体" w:cs="Times New Roman"/>
                <w:b w:val="0"/>
                <w:bCs w:val="0"/>
              </w:rPr>
            </w:pPr>
            <w:r>
              <w:rPr>
                <w:rFonts w:hint="default" w:ascii="Times New Roman" w:hAnsi="Times New Roman" w:eastAsia="宋体" w:cs="Times New Roman"/>
                <w:color w:val="000000"/>
                <w:kern w:val="0"/>
                <w:sz w:val="24"/>
                <w:szCs w:val="24"/>
                <w:lang w:val="en-US" w:eastAsia="zh-CN" w:bidi="ar"/>
              </w:rPr>
              <w:t>因此，不论从水质、数量以及管网铺设情况来看，本项目生活污水接管</w:t>
            </w:r>
            <w:r>
              <w:rPr>
                <w:rFonts w:hint="eastAsia" w:cs="Times New Roman"/>
                <w:color w:val="000000"/>
                <w:kern w:val="0"/>
                <w:sz w:val="24"/>
                <w:szCs w:val="24"/>
                <w:lang w:val="en-US" w:eastAsia="zh-CN" w:bidi="ar"/>
              </w:rPr>
              <w:t>白荡水质净化厂</w:t>
            </w:r>
            <w:r>
              <w:rPr>
                <w:rFonts w:hint="default" w:ascii="Times New Roman" w:hAnsi="Times New Roman" w:eastAsia="宋体" w:cs="Times New Roman"/>
                <w:color w:val="000000"/>
                <w:kern w:val="0"/>
                <w:sz w:val="24"/>
                <w:szCs w:val="24"/>
                <w:lang w:val="en-US" w:eastAsia="zh-CN" w:bidi="ar"/>
              </w:rPr>
              <w:t xml:space="preserve"> 进行处理都是可行的。</w:t>
            </w:r>
          </w:p>
          <w:p>
            <w:pPr>
              <w:ind w:firstLine="482" w:firstLineChars="200"/>
              <w:jc w:val="left"/>
              <w:rPr>
                <w:rFonts w:hint="default" w:ascii="Times New Roman" w:hAnsi="Times New Roman" w:eastAsia="宋体" w:cs="Times New Roman"/>
                <w:b/>
                <w:bCs/>
              </w:rPr>
            </w:pPr>
            <w:r>
              <w:rPr>
                <w:rFonts w:hint="default" w:ascii="Times New Roman" w:hAnsi="Times New Roman" w:eastAsia="宋体" w:cs="Times New Roman"/>
                <w:b/>
                <w:bCs/>
              </w:rPr>
              <w:t>2、环境空气影响分析</w:t>
            </w:r>
          </w:p>
          <w:p>
            <w:pPr>
              <w:rPr>
                <w:rFonts w:hint="default" w:ascii="Times New Roman" w:hAnsi="Times New Roman" w:eastAsia="宋体" w:cs="Times New Roman"/>
              </w:rPr>
            </w:pPr>
            <w:r>
              <w:rPr>
                <w:rFonts w:hint="default" w:ascii="Times New Roman" w:hAnsi="Times New Roman" w:eastAsia="宋体" w:cs="Times New Roman"/>
              </w:rPr>
              <w:t>有组织排放</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本项目有机废气属于低浓度有机废气，产生浓度非甲烷总烃≤500mg/m</w:t>
            </w:r>
            <w:r>
              <w:rPr>
                <w:rFonts w:hint="default" w:ascii="Times New Roman" w:hAnsi="Times New Roman" w:eastAsia="宋体" w:cs="Times New Roman"/>
                <w:vertAlign w:val="superscript"/>
              </w:rPr>
              <w:t>3</w:t>
            </w:r>
            <w:r>
              <w:rPr>
                <w:rFonts w:hint="default" w:ascii="Times New Roman" w:hAnsi="Times New Roman" w:eastAsia="宋体" w:cs="Times New Roman"/>
              </w:rPr>
              <w:t>，拟采取</w:t>
            </w:r>
            <w:r>
              <w:t>活性炭吸附</w:t>
            </w:r>
            <w:r>
              <w:rPr>
                <w:rFonts w:hint="eastAsia"/>
                <w:lang w:val="en-US" w:eastAsia="zh-CN"/>
              </w:rPr>
              <w:t>+低温等离子</w:t>
            </w:r>
            <w:r>
              <w:rPr>
                <w:rFonts w:hint="default" w:ascii="Times New Roman" w:hAnsi="Times New Roman" w:eastAsia="宋体" w:cs="Times New Roman"/>
              </w:rPr>
              <w:t>工艺处理</w:t>
            </w:r>
            <w:r>
              <w:rPr>
                <w:rFonts w:hint="eastAsia" w:cs="Times New Roman"/>
                <w:lang w:val="en-US" w:eastAsia="zh-CN"/>
              </w:rPr>
              <w:t>挤塑废气</w:t>
            </w:r>
            <w:r>
              <w:rPr>
                <w:rFonts w:hint="default" w:ascii="Times New Roman" w:hAnsi="Times New Roman" w:eastAsia="宋体" w:cs="Times New Roman"/>
              </w:rPr>
              <w:t>。</w:t>
            </w:r>
          </w:p>
          <w:p>
            <w:pPr>
              <w:pStyle w:val="2"/>
              <w:rPr>
                <w:rFonts w:hint="default"/>
              </w:rPr>
            </w:pPr>
            <w:r>
              <w:rPr>
                <w:rFonts w:hint="default" w:ascii="Times New Roman" w:hAnsi="Times New Roman" w:eastAsia="宋体" w:cs="Times New Roman"/>
              </w:rPr>
              <w:t>低温等离子体是继固态、液态、放电电压时，气体被击穿，产生包括电子、各种离子、原子和自由基在内的混合整个体系呈现低温状态，但重粒子温度很低，体。放电过程中虽然电子温度很高，自由基低温等离子体降解污染物是利用这些高能电子、所以称为低温等离子体。并使污染物分子在极短的时间内发生分解，等活性粒子和废气中的污染物作用， 发生后续的各种反应以达到降解污染物的目的。等离子体反应区富含极高的物质，如高能电子、离子、自由基和激发态分子DBD使污染物质在极等，废气中的污染物质可与这些具有较高能量的物质发生反应</w:t>
            </w:r>
            <w:r>
              <w:rPr>
                <w:rFonts w:hint="eastAsia" w:ascii="Times New Roman" w:hAnsi="Times New Roman" w:cs="Times New Roman"/>
                <w:lang w:eastAsia="zh-CN"/>
              </w:rPr>
              <w:t>。</w:t>
            </w:r>
            <w:r>
              <w:rPr>
                <w:rFonts w:hint="default" w:ascii="Times New Roman" w:hAnsi="Times New Roman" w:eastAsia="宋体" w:cs="Times New Roman"/>
              </w:rPr>
              <w:t>活性炭微孔结构发达，具有很大的比表面积，由表面效应所产生的吸附作用是活性炭吸附最明显的特征之一。活性炭吸附主要有以下特点：活性炭是非极性的吸附剂，能选择吸附非极性物质；活性炭是疏水性的吸附剂，在有水或水蒸气存在的情况下仍能发挥作用；活性炭也径分布广，能够吸附分子大小不同的物质；活性炭的化学稳定性和热稳定性优于硅胶等其他吸附剂。活性炭吸附法工艺成熟，效果可靠，广泛应用于化工、喷漆、印刷、轻工等行业的有机废气处理。此外，活性炭具有孔径分布合理、吸附容量高、吸附速度快、机械强度大、在固定床中使用，气流阻力小，易于解吸和再生等优点。每年更换</w:t>
            </w:r>
            <w:r>
              <w:rPr>
                <w:rFonts w:hint="eastAsia" w:ascii="Times New Roman" w:hAnsi="Times New Roman" w:cs="Times New Roman"/>
                <w:lang w:val="en-US" w:eastAsia="zh-CN"/>
              </w:rPr>
              <w:t>两次</w:t>
            </w:r>
            <w:r>
              <w:rPr>
                <w:rFonts w:hint="default" w:ascii="Times New Roman" w:hAnsi="Times New Roman" w:eastAsia="宋体" w:cs="Times New Roman"/>
              </w:rPr>
              <w:t>活性炭（每次更换活性炭量</w:t>
            </w:r>
            <w:r>
              <w:rPr>
                <w:rFonts w:hint="eastAsia" w:ascii="Times New Roman" w:hAnsi="Times New Roman" w:cs="Times New Roman"/>
                <w:lang w:val="en-US" w:eastAsia="zh-CN"/>
              </w:rPr>
              <w:t>1t</w:t>
            </w:r>
            <w:r>
              <w:rPr>
                <w:rFonts w:hint="default" w:ascii="Times New Roman" w:hAnsi="Times New Roman" w:eastAsia="宋体" w:cs="Times New Roman"/>
              </w:rPr>
              <w:t>）。具有适用于处理低浓度有机废气、操作简单、能耗低、投资费用低和维护简单的特性。</w:t>
            </w:r>
          </w:p>
          <w:p>
            <w:pPr>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综上，本项目采用过活性炭吸附+低温等离子处理工艺，预计对非甲烷总烃处理效率90%。废气处理后非甲烷总烃、颗粒物浓度能稳定达到苏高新管〔2018〕74号文规定和《大气污染物综合排放标准》GB16297-1996）表 2二级标准。</w:t>
            </w:r>
          </w:p>
          <w:p>
            <w:pPr>
              <w:widowControl/>
              <w:snapToGrid w:val="0"/>
              <w:spacing w:before="93" w:beforeLines="30"/>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（1）估算模式及参数选取</w:t>
            </w:r>
          </w:p>
          <w:p>
            <w:pPr>
              <w:pStyle w:val="2"/>
              <w:ind w:firstLine="480" w:firstLineChars="200"/>
              <w:rPr>
                <w:rFonts w:hint="default" w:ascii="Times New Roman" w:hAnsi="Times New Roman" w:eastAsia="宋体" w:cs="Times New Roman"/>
              </w:rPr>
            </w:pPr>
            <w:r>
              <w:rPr>
                <w:rFonts w:hint="default" w:ascii="Times New Roman" w:hAnsi="Times New Roman" w:eastAsia="宋体" w:cs="Times New Roman"/>
              </w:rPr>
              <w:t>本项目采用《环境影响评价技术导则 大气环境》（HJ2.2-2018）推荐的AERSCREEN估算模型，参数见表7-</w:t>
            </w:r>
            <w:r>
              <w:rPr>
                <w:rFonts w:hint="eastAsia" w:ascii="Times New Roman" w:hAnsi="Times New Roman" w:eastAsia="宋体" w:cs="Times New Roman"/>
                <w:lang w:val="en-US" w:eastAsia="zh-CN"/>
              </w:rPr>
              <w:t>1</w:t>
            </w:r>
            <w:r>
              <w:rPr>
                <w:rFonts w:hint="default" w:ascii="Times New Roman" w:hAnsi="Times New Roman" w:eastAsia="宋体" w:cs="Times New Roman"/>
              </w:rPr>
              <w:t>。</w:t>
            </w:r>
          </w:p>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表7-</w:t>
            </w:r>
            <w:r>
              <w:rPr>
                <w:rFonts w:hint="eastAsia" w:ascii="Times New Roman" w:hAnsi="Times New Roman" w:eastAsia="宋体" w:cs="Times New Roman"/>
                <w:lang w:val="en-US" w:eastAsia="zh-CN"/>
              </w:rPr>
              <w:t>1</w:t>
            </w:r>
            <w:r>
              <w:rPr>
                <w:rFonts w:hint="default" w:ascii="Times New Roman" w:hAnsi="Times New Roman" w:eastAsia="宋体" w:cs="Times New Roman"/>
              </w:rPr>
              <w:t>估算模型参数表</w:t>
            </w:r>
          </w:p>
          <w:tbl>
            <w:tblPr>
              <w:tblStyle w:val="2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139"/>
              <w:gridCol w:w="3141"/>
              <w:gridCol w:w="31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80" w:type="dxa"/>
                  <w:gridSpan w:val="2"/>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参数</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取值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restart"/>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城市/农村选项</w:t>
                  </w: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城市/农村</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城市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continue"/>
                  <w:noWrap w:val="0"/>
                  <w:vAlign w:val="center"/>
                </w:tcPr>
                <w:p>
                  <w:pPr>
                    <w:widowControl/>
                    <w:snapToGrid w:val="0"/>
                    <w:spacing w:line="240" w:lineRule="auto"/>
                    <w:jc w:val="center"/>
                    <w:rPr>
                      <w:rFonts w:hint="default" w:ascii="Times New Roman" w:hAnsi="Times New Roman" w:eastAsia="宋体" w:cs="Times New Roman"/>
                    </w:rPr>
                  </w:pP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人口数（城市选项时）</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809876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80" w:type="dxa"/>
                  <w:gridSpan w:val="2"/>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最高环境温度/℃</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40.6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80" w:type="dxa"/>
                  <w:gridSpan w:val="2"/>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最低环境温度/℃</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80" w:type="dxa"/>
                  <w:gridSpan w:val="2"/>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土地利用类型</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城市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280" w:type="dxa"/>
                  <w:gridSpan w:val="2"/>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区域湿度条件</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湿度气候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restart"/>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是否考虑地形</w:t>
                  </w: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考虑地形</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continue"/>
                  <w:noWrap w:val="0"/>
                  <w:vAlign w:val="center"/>
                </w:tcPr>
                <w:p>
                  <w:pPr>
                    <w:widowControl/>
                    <w:snapToGrid w:val="0"/>
                    <w:spacing w:line="240" w:lineRule="auto"/>
                    <w:jc w:val="center"/>
                    <w:rPr>
                      <w:rFonts w:hint="default" w:ascii="Times New Roman" w:hAnsi="Times New Roman" w:eastAsia="宋体" w:cs="Times New Roman"/>
                    </w:rPr>
                  </w:pP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地形数据分辨率/m</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restart"/>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是否考虑岸线熏烟</w:t>
                  </w: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考虑岸线熏烟</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是  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continue"/>
                  <w:noWrap w:val="0"/>
                  <w:vAlign w:val="center"/>
                </w:tcPr>
                <w:p>
                  <w:pPr>
                    <w:widowControl/>
                    <w:snapToGrid w:val="0"/>
                    <w:spacing w:line="240" w:lineRule="auto"/>
                    <w:jc w:val="center"/>
                    <w:rPr>
                      <w:rFonts w:hint="default" w:ascii="Times New Roman" w:hAnsi="Times New Roman" w:eastAsia="宋体" w:cs="Times New Roman"/>
                    </w:rPr>
                  </w:pP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岸线距离/km</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139" w:type="dxa"/>
                  <w:vMerge w:val="continue"/>
                  <w:noWrap w:val="0"/>
                  <w:vAlign w:val="center"/>
                </w:tcPr>
                <w:p>
                  <w:pPr>
                    <w:widowControl/>
                    <w:snapToGrid w:val="0"/>
                    <w:spacing w:line="240" w:lineRule="auto"/>
                    <w:jc w:val="center"/>
                    <w:rPr>
                      <w:rFonts w:hint="default" w:ascii="Times New Roman" w:hAnsi="Times New Roman" w:eastAsia="宋体" w:cs="Times New Roman"/>
                    </w:rPr>
                  </w:pPr>
                </w:p>
              </w:tc>
              <w:tc>
                <w:tcPr>
                  <w:tcW w:w="3141"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岸线方向/°</w:t>
                  </w:r>
                </w:p>
              </w:tc>
              <w:tc>
                <w:tcPr>
                  <w:tcW w:w="3142" w:type="dxa"/>
                  <w:noWrap w:val="0"/>
                  <w:vAlign w:val="center"/>
                </w:tcPr>
                <w:p>
                  <w:pPr>
                    <w:widowControl/>
                    <w:snapToGrid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w:t>
                  </w:r>
                </w:p>
              </w:tc>
            </w:tr>
          </w:tbl>
          <w:p>
            <w:pPr>
              <w:widowControl/>
              <w:spacing w:before="93" w:beforeLines="30"/>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 xml:space="preserve">（2）废气源强分析 </w:t>
            </w:r>
          </w:p>
          <w:p>
            <w:pPr>
              <w:widowControl/>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根据工程分析，本项目营运期有组织及无组织排放的废气源强分别详见表7-</w:t>
            </w:r>
            <w:r>
              <w:rPr>
                <w:rFonts w:hint="eastAsia" w:ascii="Times New Roman" w:hAnsi="Times New Roman" w:eastAsia="宋体" w:cs="Times New Roman"/>
                <w:lang w:val="en-US" w:eastAsia="zh-CN"/>
              </w:rPr>
              <w:t>2</w:t>
            </w:r>
            <w:r>
              <w:rPr>
                <w:rFonts w:hint="default" w:ascii="Times New Roman" w:hAnsi="Times New Roman" w:eastAsia="宋体" w:cs="Times New Roman"/>
              </w:rPr>
              <w:t>、7-</w:t>
            </w:r>
            <w:r>
              <w:rPr>
                <w:rFonts w:hint="eastAsia" w:ascii="Times New Roman" w:hAnsi="Times New Roman" w:eastAsia="宋体" w:cs="Times New Roman"/>
                <w:lang w:val="en-US" w:eastAsia="zh-CN"/>
              </w:rPr>
              <w:t>3</w:t>
            </w:r>
            <w:r>
              <w:rPr>
                <w:rFonts w:hint="default" w:ascii="Times New Roman" w:hAnsi="Times New Roman" w:eastAsia="宋体" w:cs="Times New Roman"/>
              </w:rPr>
              <w:t>。</w:t>
            </w:r>
          </w:p>
          <w:p>
            <w:pPr>
              <w:widowControl/>
              <w:autoSpaceDE w:val="0"/>
              <w:autoSpaceDN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项目有组织废气污染源强参数表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35"/>
              <w:gridCol w:w="1143"/>
              <w:gridCol w:w="871"/>
              <w:gridCol w:w="911"/>
              <w:gridCol w:w="1051"/>
              <w:gridCol w:w="870"/>
              <w:gridCol w:w="1065"/>
              <w:gridCol w:w="885"/>
              <w:gridCol w:w="15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35"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点源 编号</w:t>
                  </w:r>
                </w:p>
              </w:tc>
              <w:tc>
                <w:tcPr>
                  <w:tcW w:w="114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点源 名称</w:t>
                  </w:r>
                </w:p>
              </w:tc>
              <w:tc>
                <w:tcPr>
                  <w:tcW w:w="87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高度</w:t>
                  </w:r>
                </w:p>
              </w:tc>
              <w:tc>
                <w:tcPr>
                  <w:tcW w:w="91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内径</w:t>
                  </w:r>
                </w:p>
              </w:tc>
              <w:tc>
                <w:tcPr>
                  <w:tcW w:w="105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烟气流速</w:t>
                  </w:r>
                </w:p>
              </w:tc>
              <w:tc>
                <w:tcPr>
                  <w:tcW w:w="870"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烟气温度</w:t>
                  </w:r>
                </w:p>
              </w:tc>
              <w:tc>
                <w:tcPr>
                  <w:tcW w:w="1065"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小时</w:t>
                  </w:r>
                </w:p>
              </w:tc>
              <w:tc>
                <w:tcPr>
                  <w:tcW w:w="885"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工况</w:t>
                  </w:r>
                </w:p>
              </w:tc>
              <w:tc>
                <w:tcPr>
                  <w:tcW w:w="159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污染物排放速率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35"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4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87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91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05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870"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065"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885"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59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35"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4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8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91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105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m/s</w:t>
                  </w:r>
                </w:p>
              </w:tc>
              <w:tc>
                <w:tcPr>
                  <w:tcW w:w="870" w:type="dxa"/>
                  <w:noWrap w:val="0"/>
                  <w:vAlign w:val="center"/>
                </w:tcPr>
                <w:p>
                  <w:pPr>
                    <w:widowControl/>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p>
              </w:tc>
              <w:tc>
                <w:tcPr>
                  <w:tcW w:w="106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p>
              </w:tc>
              <w:tc>
                <w:tcPr>
                  <w:tcW w:w="88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9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3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43"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P1</w:t>
                  </w:r>
                </w:p>
              </w:tc>
              <w:tc>
                <w:tcPr>
                  <w:tcW w:w="8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911" w:type="dxa"/>
                  <w:noWrap w:val="0"/>
                  <w:vAlign w:val="center"/>
                </w:tcPr>
                <w:p>
                  <w:pPr>
                    <w:widowControl/>
                    <w:snapToGrid w:val="0"/>
                    <w:spacing w:line="240" w:lineRule="auto"/>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0.</w:t>
                  </w:r>
                  <w:r>
                    <w:rPr>
                      <w:rFonts w:hint="eastAsia" w:cs="Times New Roman"/>
                      <w:sz w:val="21"/>
                      <w:szCs w:val="21"/>
                      <w:lang w:val="en-US" w:eastAsia="zh-CN"/>
                    </w:rPr>
                    <w:t>5</w:t>
                  </w:r>
                </w:p>
              </w:tc>
              <w:tc>
                <w:tcPr>
                  <w:tcW w:w="1051" w:type="dxa"/>
                  <w:noWrap w:val="0"/>
                  <w:vAlign w:val="center"/>
                </w:tcPr>
                <w:p>
                  <w:pPr>
                    <w:widowControl/>
                    <w:snapToGrid w:val="0"/>
                    <w:spacing w:line="240" w:lineRule="auto"/>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1</w:t>
                  </w:r>
                  <w:r>
                    <w:rPr>
                      <w:rFonts w:hint="eastAsia" w:cs="Times New Roman"/>
                      <w:sz w:val="21"/>
                      <w:szCs w:val="21"/>
                      <w:lang w:val="en-US" w:eastAsia="zh-CN"/>
                    </w:rPr>
                    <w:t>8</w:t>
                  </w:r>
                </w:p>
              </w:tc>
              <w:tc>
                <w:tcPr>
                  <w:tcW w:w="870"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w:t>
                  </w:r>
                </w:p>
              </w:tc>
              <w:tc>
                <w:tcPr>
                  <w:tcW w:w="1065"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2400</w:t>
                  </w:r>
                </w:p>
              </w:tc>
              <w:tc>
                <w:tcPr>
                  <w:tcW w:w="88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正常</w:t>
                  </w:r>
                </w:p>
              </w:tc>
              <w:tc>
                <w:tcPr>
                  <w:tcW w:w="1591"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0.056</w:t>
                  </w:r>
                </w:p>
              </w:tc>
            </w:tr>
          </w:tbl>
          <w:p>
            <w:pPr>
              <w:widowControl/>
              <w:autoSpaceDE w:val="0"/>
              <w:autoSpaceDN w:val="0"/>
              <w:spacing w:before="156" w:beforeLines="50" w:line="240" w:lineRule="auto"/>
              <w:jc w:val="center"/>
              <w:rPr>
                <w:rFonts w:hint="default" w:ascii="Times New Roman" w:hAnsi="Times New Roman" w:eastAsia="宋体" w:cs="Times New Roman"/>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项目无组织废气污染源强参数表</w:t>
            </w:r>
          </w:p>
          <w:tbl>
            <w:tblPr>
              <w:tblStyle w:val="2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51"/>
              <w:gridCol w:w="1171"/>
              <w:gridCol w:w="1171"/>
              <w:gridCol w:w="1171"/>
              <w:gridCol w:w="1171"/>
              <w:gridCol w:w="912"/>
              <w:gridCol w:w="1287"/>
              <w:gridCol w:w="1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面源名称</w:t>
                  </w:r>
                </w:p>
              </w:tc>
              <w:tc>
                <w:tcPr>
                  <w:tcW w:w="117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面源长度</w:t>
                  </w:r>
                </w:p>
              </w:tc>
              <w:tc>
                <w:tcPr>
                  <w:tcW w:w="117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面源宽度</w:t>
                  </w:r>
                </w:p>
              </w:tc>
              <w:tc>
                <w:tcPr>
                  <w:tcW w:w="117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面源初始</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排放高度</w:t>
                  </w:r>
                </w:p>
              </w:tc>
              <w:tc>
                <w:tcPr>
                  <w:tcW w:w="117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小时</w:t>
                  </w:r>
                </w:p>
              </w:tc>
              <w:tc>
                <w:tcPr>
                  <w:tcW w:w="912"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工况</w:t>
                  </w:r>
                </w:p>
              </w:tc>
              <w:tc>
                <w:tcPr>
                  <w:tcW w:w="2575"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污染物排放速率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7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7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7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7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912"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287"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1288"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t>
                  </w:r>
                </w:p>
              </w:tc>
              <w:tc>
                <w:tcPr>
                  <w:tcW w:w="912"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287"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1288"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5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52</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1171"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2400</w:t>
                  </w:r>
                </w:p>
              </w:tc>
              <w:tc>
                <w:tcPr>
                  <w:tcW w:w="912"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正常</w:t>
                  </w:r>
                </w:p>
              </w:tc>
              <w:tc>
                <w:tcPr>
                  <w:tcW w:w="1287"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0.0625</w:t>
                  </w:r>
                </w:p>
              </w:tc>
              <w:tc>
                <w:tcPr>
                  <w:tcW w:w="1288" w:type="dxa"/>
                  <w:noWrap w:val="0"/>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0.0136</w:t>
                  </w:r>
                </w:p>
              </w:tc>
            </w:tr>
          </w:tbl>
          <w:p>
            <w:pPr>
              <w:widowControl/>
              <w:spacing w:before="93" w:beforeLines="30"/>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（3）估算结果及评价等级判定</w:t>
            </w:r>
          </w:p>
          <w:p>
            <w:pPr>
              <w:pStyle w:val="2"/>
              <w:ind w:firstLine="480"/>
              <w:rPr>
                <w:rFonts w:hint="default" w:ascii="Times New Roman" w:hAnsi="Times New Roman" w:eastAsia="宋体" w:cs="Times New Roman"/>
              </w:rPr>
            </w:pPr>
            <w:r>
              <w:rPr>
                <w:rFonts w:hint="default" w:ascii="Times New Roman" w:hAnsi="Times New Roman" w:eastAsia="宋体" w:cs="Times New Roman"/>
              </w:rPr>
              <w:t>采用《环境影响评价技术导则大气环境》(HJ2.2-2018) AERSCREEN面源、点源估算模式预测生产车间无组织排放、有组织排放最大落地浓度对下风向大气环境的影响，预测结果如下所示。Pmax代表最大地面空气质量浓度占标率，如污染物数大于1，取P值中最大者Pmax。同一项目有多个污染源（两个及以上，下同）时，则按各污染源分别确定评价等级，并取评价等级最高者作为项目的评价等级。</w:t>
            </w:r>
          </w:p>
          <w:p>
            <w:pPr>
              <w:widowControl/>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建设项目主要污染源估算模型计算结果表</w:t>
            </w:r>
          </w:p>
          <w:tbl>
            <w:tblPr>
              <w:tblStyle w:val="26"/>
              <w:tblW w:w="4996" w:type="pct"/>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356"/>
              <w:gridCol w:w="1358"/>
              <w:gridCol w:w="1356"/>
              <w:gridCol w:w="1356"/>
              <w:gridCol w:w="2"/>
              <w:gridCol w:w="1354"/>
              <w:gridCol w:w="13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Merge w:val="restart"/>
                  <w:tcBorders>
                    <w:top w:val="single" w:color="auto" w:sz="12" w:space="0"/>
                  </w:tcBorders>
                  <w:noWrap w:val="0"/>
                  <w:tcMar>
                    <w:left w:w="11" w:type="dxa"/>
                    <w:right w:w="11"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下风向距离/m</w:t>
                  </w:r>
                </w:p>
              </w:tc>
              <w:tc>
                <w:tcPr>
                  <w:tcW w:w="1441" w:type="pct"/>
                  <w:gridSpan w:val="2"/>
                  <w:tcBorders>
                    <w:top w:val="single" w:color="auto" w:sz="12" w:space="0"/>
                    <w:right w:val="single" w:color="auto" w:sz="4" w:space="0"/>
                  </w:tcBorders>
                  <w:noWrap w:val="0"/>
                  <w:tcMar>
                    <w:left w:w="11" w:type="dxa"/>
                    <w:right w:w="11"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P1</w:t>
                  </w:r>
                  <w:r>
                    <w:rPr>
                      <w:rFonts w:hint="default" w:ascii="Times New Roman" w:hAnsi="Times New Roman" w:eastAsia="宋体" w:cs="Times New Roman"/>
                      <w:sz w:val="21"/>
                      <w:szCs w:val="21"/>
                    </w:rPr>
                    <w:t>（非甲烷总烃）</w:t>
                  </w:r>
                </w:p>
              </w:tc>
              <w:tc>
                <w:tcPr>
                  <w:tcW w:w="1441" w:type="pct"/>
                  <w:gridSpan w:val="3"/>
                  <w:tcBorders>
                    <w:top w:val="single" w:color="auto" w:sz="12" w:space="0"/>
                    <w:right w:val="single" w:color="auto" w:sz="4" w:space="0"/>
                  </w:tcBorders>
                  <w:noWrap w:val="0"/>
                  <w:vAlign w:val="center"/>
                </w:tcPr>
                <w:p>
                  <w:pPr>
                    <w:widowControl/>
                    <w:snapToGrid w:val="0"/>
                    <w:spacing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车间无组织排放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1442" w:type="pct"/>
                  <w:gridSpan w:val="2"/>
                  <w:tcBorders>
                    <w:top w:val="single" w:color="auto" w:sz="12" w:space="0"/>
                    <w:left w:val="single" w:color="auto" w:sz="4"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车间无组织排放</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Merge w:val="continue"/>
                  <w:tcBorders>
                    <w:bottom w:val="single" w:color="auto" w:sz="12" w:space="0"/>
                  </w:tcBorders>
                  <w:noWrap w:val="0"/>
                  <w:tcMar>
                    <w:left w:w="11" w:type="dxa"/>
                    <w:right w:w="11"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720" w:type="pct"/>
                  <w:tcBorders>
                    <w:bottom w:val="single" w:color="auto" w:sz="12" w:space="0"/>
                    <w:right w:val="single" w:color="auto" w:sz="4" w:space="0"/>
                  </w:tcBorders>
                  <w:noWrap w:val="0"/>
                  <w:tcMar>
                    <w:left w:w="11" w:type="dxa"/>
                    <w:right w:w="11"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721" w:type="pct"/>
                  <w:tcBorders>
                    <w:bottom w:val="single" w:color="auto" w:sz="12" w:space="0"/>
                    <w:right w:val="single" w:color="auto" w:sz="4"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c>
                <w:tcPr>
                  <w:tcW w:w="720" w:type="pct"/>
                  <w:tcBorders>
                    <w:bottom w:val="single" w:color="auto" w:sz="12" w:space="0"/>
                    <w:right w:val="single" w:color="auto" w:sz="4"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预测浓度（μg/m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720" w:type="pct"/>
                  <w:tcBorders>
                    <w:bottom w:val="single" w:color="auto" w:sz="12" w:space="0"/>
                    <w:right w:val="single" w:color="auto" w:sz="4"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c>
                <w:tcPr>
                  <w:tcW w:w="720" w:type="pct"/>
                  <w:gridSpan w:val="2"/>
                  <w:tcBorders>
                    <w:bottom w:val="single" w:color="auto" w:sz="12" w:space="0"/>
                    <w:right w:val="single" w:color="auto" w:sz="4"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预测浓度（μg/m3）</w:t>
                  </w:r>
                </w:p>
              </w:tc>
              <w:tc>
                <w:tcPr>
                  <w:tcW w:w="722" w:type="pct"/>
                  <w:tcBorders>
                    <w:left w:val="single" w:color="auto" w:sz="4" w:space="0"/>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占标率（%）</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tcBorders>
                    <w:top w:val="single" w:color="auto" w:sz="12" w:space="0"/>
                    <w:bottom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50</w:t>
                  </w:r>
                </w:p>
              </w:tc>
              <w:tc>
                <w:tcPr>
                  <w:tcW w:w="720" w:type="pct"/>
                  <w:tcBorders>
                    <w:top w:val="single" w:color="auto" w:sz="12" w:space="0"/>
                    <w:bottom w:val="single" w:color="auto" w:sz="4" w:space="0"/>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6.0619</w:t>
                  </w:r>
                </w:p>
              </w:tc>
              <w:tc>
                <w:tcPr>
                  <w:tcW w:w="721" w:type="pct"/>
                  <w:tcBorders>
                    <w:top w:val="single" w:color="auto" w:sz="12"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0.3031</w:t>
                  </w:r>
                </w:p>
              </w:tc>
              <w:tc>
                <w:tcPr>
                  <w:tcW w:w="720" w:type="pct"/>
                  <w:tcBorders>
                    <w:top w:val="single" w:color="auto" w:sz="12"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21.6990</w:t>
                  </w:r>
                </w:p>
              </w:tc>
              <w:tc>
                <w:tcPr>
                  <w:tcW w:w="720" w:type="pct"/>
                  <w:tcBorders>
                    <w:top w:val="single" w:color="auto" w:sz="12"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1.0850</w:t>
                  </w:r>
                </w:p>
              </w:tc>
              <w:tc>
                <w:tcPr>
                  <w:tcW w:w="720" w:type="pct"/>
                  <w:gridSpan w:val="2"/>
                  <w:tcBorders>
                    <w:top w:val="single" w:color="auto" w:sz="12" w:space="0"/>
                    <w:left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4.7217</w:t>
                  </w:r>
                </w:p>
              </w:tc>
              <w:tc>
                <w:tcPr>
                  <w:tcW w:w="722" w:type="pct"/>
                  <w:tcBorders>
                    <w:top w:val="single" w:color="auto" w:sz="12"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0.5246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tcBorders>
                    <w:top w:val="single" w:color="auto" w:sz="4" w:space="0"/>
                    <w:bottom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100</w:t>
                  </w:r>
                </w:p>
              </w:tc>
              <w:tc>
                <w:tcPr>
                  <w:tcW w:w="720" w:type="pct"/>
                  <w:tcBorders>
                    <w:top w:val="single" w:color="auto" w:sz="4" w:space="0"/>
                    <w:bottom w:val="single" w:color="auto" w:sz="4" w:space="0"/>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6.0203</w:t>
                  </w:r>
                </w:p>
              </w:tc>
              <w:tc>
                <w:tcPr>
                  <w:tcW w:w="721"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0.3010</w:t>
                  </w:r>
                </w:p>
              </w:tc>
              <w:tc>
                <w:tcPr>
                  <w:tcW w:w="720"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13.5570</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0.6778</w:t>
                  </w:r>
                </w:p>
              </w:tc>
              <w:tc>
                <w:tcPr>
                  <w:tcW w:w="720" w:type="pct"/>
                  <w:gridSpan w:val="2"/>
                  <w:tcBorders>
                    <w:top w:val="single" w:color="auto" w:sz="4" w:space="0"/>
                    <w:left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2.9500</w:t>
                  </w:r>
                </w:p>
              </w:tc>
              <w:tc>
                <w:tcPr>
                  <w:tcW w:w="722" w:type="pc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0.3278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tcBorders>
                    <w:top w:val="single" w:color="auto" w:sz="4" w:space="0"/>
                    <w:bottom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200</w:t>
                  </w:r>
                </w:p>
              </w:tc>
              <w:tc>
                <w:tcPr>
                  <w:tcW w:w="720" w:type="pct"/>
                  <w:tcBorders>
                    <w:top w:val="single" w:color="auto" w:sz="4" w:space="0"/>
                    <w:bottom w:val="single" w:color="auto" w:sz="4" w:space="0"/>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3.5968</w:t>
                  </w:r>
                </w:p>
              </w:tc>
              <w:tc>
                <w:tcPr>
                  <w:tcW w:w="721"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0.1798</w:t>
                  </w:r>
                </w:p>
              </w:tc>
              <w:tc>
                <w:tcPr>
                  <w:tcW w:w="720"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6.3875</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0.3194</w:t>
                  </w:r>
                </w:p>
              </w:tc>
              <w:tc>
                <w:tcPr>
                  <w:tcW w:w="720" w:type="pct"/>
                  <w:gridSpan w:val="2"/>
                  <w:tcBorders>
                    <w:top w:val="single" w:color="auto" w:sz="4" w:space="0"/>
                    <w:left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1.3899</w:t>
                  </w:r>
                </w:p>
              </w:tc>
              <w:tc>
                <w:tcPr>
                  <w:tcW w:w="722" w:type="pc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0.1544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tcBorders>
                    <w:top w:val="single" w:color="auto" w:sz="4" w:space="0"/>
                    <w:bottom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300</w:t>
                  </w:r>
                </w:p>
              </w:tc>
              <w:tc>
                <w:tcPr>
                  <w:tcW w:w="720" w:type="pct"/>
                  <w:tcBorders>
                    <w:top w:val="single" w:color="auto" w:sz="4" w:space="0"/>
                    <w:bottom w:val="single" w:color="auto" w:sz="4" w:space="0"/>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2.4926</w:t>
                  </w:r>
                </w:p>
              </w:tc>
              <w:tc>
                <w:tcPr>
                  <w:tcW w:w="721"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0.1246</w:t>
                  </w:r>
                </w:p>
              </w:tc>
              <w:tc>
                <w:tcPr>
                  <w:tcW w:w="720"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3.8623</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0.1931</w:t>
                  </w:r>
                </w:p>
              </w:tc>
              <w:tc>
                <w:tcPr>
                  <w:tcW w:w="720" w:type="pct"/>
                  <w:gridSpan w:val="2"/>
                  <w:tcBorders>
                    <w:top w:val="single" w:color="auto" w:sz="4" w:space="0"/>
                    <w:left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0.8404</w:t>
                  </w:r>
                </w:p>
              </w:tc>
              <w:tc>
                <w:tcPr>
                  <w:tcW w:w="722" w:type="pc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0.0934</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tcBorders>
                    <w:top w:val="single" w:color="auto" w:sz="4" w:space="0"/>
                    <w:bottom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400</w:t>
                  </w:r>
                </w:p>
              </w:tc>
              <w:tc>
                <w:tcPr>
                  <w:tcW w:w="720" w:type="pct"/>
                  <w:tcBorders>
                    <w:top w:val="single" w:color="auto" w:sz="4" w:space="0"/>
                    <w:bottom w:val="single" w:color="auto" w:sz="4" w:space="0"/>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1.8171</w:t>
                  </w:r>
                </w:p>
              </w:tc>
              <w:tc>
                <w:tcPr>
                  <w:tcW w:w="721"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0.0909</w:t>
                  </w:r>
                </w:p>
              </w:tc>
              <w:tc>
                <w:tcPr>
                  <w:tcW w:w="720"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2.6672</w:t>
                  </w:r>
                </w:p>
              </w:tc>
              <w:tc>
                <w:tcPr>
                  <w:tcW w:w="7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0.1334</w:t>
                  </w:r>
                </w:p>
              </w:tc>
              <w:tc>
                <w:tcPr>
                  <w:tcW w:w="720" w:type="pct"/>
                  <w:gridSpan w:val="2"/>
                  <w:tcBorders>
                    <w:top w:val="single" w:color="auto" w:sz="4" w:space="0"/>
                    <w:left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0.5804</w:t>
                  </w:r>
                </w:p>
              </w:tc>
              <w:tc>
                <w:tcPr>
                  <w:tcW w:w="722" w:type="pc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0.0645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500</w:t>
                  </w:r>
                </w:p>
              </w:tc>
              <w:tc>
                <w:tcPr>
                  <w:tcW w:w="720" w:type="pct"/>
                  <w:tcBorders>
                    <w:right w:val="single" w:color="auto" w:sz="4" w:space="0"/>
                  </w:tcBorders>
                  <w:noWrap w:val="0"/>
                  <w:tcMar>
                    <w:left w:w="11" w:type="dxa"/>
                    <w:right w:w="11"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1.3928</w:t>
                  </w:r>
                </w:p>
              </w:tc>
              <w:tc>
                <w:tcPr>
                  <w:tcW w:w="721" w:type="pct"/>
                  <w:tcBorders>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0.0696</w:t>
                  </w:r>
                </w:p>
              </w:tc>
              <w:tc>
                <w:tcPr>
                  <w:tcW w:w="720" w:type="pct"/>
                  <w:tcBorders>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1.9945</w:t>
                  </w:r>
                </w:p>
              </w:tc>
              <w:tc>
                <w:tcPr>
                  <w:tcW w:w="720" w:type="pct"/>
                  <w:tcBorders>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0.0997</w:t>
                  </w:r>
                </w:p>
              </w:tc>
              <w:tc>
                <w:tcPr>
                  <w:tcW w:w="720"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0.4340</w:t>
                  </w:r>
                </w:p>
              </w:tc>
              <w:tc>
                <w:tcPr>
                  <w:tcW w:w="722" w:type="pct"/>
                  <w:tcBorders>
                    <w:left w:val="single" w:color="auto" w:sz="4" w:space="0"/>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0.0482</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1.1102</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0.0555</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1.5670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0.0784</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0.3410</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0.0379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0.9120</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0.0456</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1.2763</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0.0638</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0.2777</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0.0309</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0.7669</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0.0383</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1.0676</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0.0534</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0.2323</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0.0258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900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0.6570</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0.0328</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0.9115</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0.0456</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0.1984</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0.0220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0.5713</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0.0286</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0.7912</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0.0396</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0.1722</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0.0191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0.4477</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0.0224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0.6188</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0.0309</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0.1346</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0.3784</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0.0189</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0.5024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0.0251</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0.1093</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0.0121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0.3336</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0.0167</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0.4194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0.0210</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0.0913</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0.0101</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0.2964</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0.0148</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0.3575</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0.0179</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0.0778</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0.0086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0.2654</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0.0133</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0.3100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0.0155</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0.0674</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0.0075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2500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0.2072</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0.2291</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0.0115</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0.0498</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3000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0.1674</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0.0084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0.1793</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0.0090</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0.0390</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3500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0.1389</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0.0069</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0.1464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0.0073</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0.0318</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0.0035</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4000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0.1178</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0.0059</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0.1236</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0.0062</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0.0269</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0.0030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4500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0.1015</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0.0051</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0.1075</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0.0054</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0.0234</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0.0026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5000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0.0887</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0.0044</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0.0951</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0.0048</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0.0207</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0.0023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下风向最大的浓度</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3.4103</w:t>
                  </w:r>
                </w:p>
              </w:tc>
              <w:tc>
                <w:tcPr>
                  <w:tcW w:w="72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0.1705</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23.9300</w:t>
                  </w:r>
                </w:p>
              </w:tc>
              <w:tc>
                <w:tcPr>
                  <w:tcW w:w="720"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1.1965</w:t>
                  </w:r>
                </w:p>
              </w:tc>
              <w:tc>
                <w:tcPr>
                  <w:tcW w:w="720" w:type="pct"/>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5.2072</w:t>
                  </w:r>
                </w:p>
              </w:tc>
              <w:tc>
                <w:tcPr>
                  <w:tcW w:w="722"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0.5786</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75" w:type="pct"/>
                  <w:vAlign w:val="center"/>
                </w:tcPr>
                <w:p>
                  <w:pPr>
                    <w:spacing w:line="240" w:lineRule="auto"/>
                    <w:jc w:val="center"/>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最大浓度出现距离</w:t>
                  </w:r>
                </w:p>
              </w:tc>
              <w:tc>
                <w:tcPr>
                  <w:tcW w:w="1441" w:type="pct"/>
                  <w:gridSpan w:val="2"/>
                  <w:vAlign w:val="center"/>
                </w:tcPr>
                <w:p>
                  <w:pPr>
                    <w:spacing w:line="240" w:lineRule="auto"/>
                    <w:jc w:val="center"/>
                    <w:rPr>
                      <w:rFonts w:hint="default" w:ascii="Times New Roman" w:hAnsi="Times New Roman" w:eastAsia="宋体" w:cs="Times New Roman"/>
                      <w:b w:val="0"/>
                      <w:sz w:val="21"/>
                      <w:szCs w:val="21"/>
                    </w:rPr>
                  </w:pPr>
                  <w:r>
                    <w:rPr>
                      <w:rFonts w:hint="eastAsia" w:ascii="Times New Roman" w:hAnsi="Times New Roman" w:cs="Times New Roman"/>
                      <w:b w:val="0"/>
                      <w:sz w:val="21"/>
                      <w:szCs w:val="21"/>
                      <w:lang w:val="en-US" w:eastAsia="zh-CN"/>
                    </w:rPr>
                    <w:t>56</w:t>
                  </w:r>
                </w:p>
              </w:tc>
              <w:tc>
                <w:tcPr>
                  <w:tcW w:w="1441" w:type="pct"/>
                  <w:gridSpan w:val="3"/>
                  <w:vAlign w:val="center"/>
                </w:tcPr>
                <w:p>
                  <w:pPr>
                    <w:spacing w:line="240" w:lineRule="auto"/>
                    <w:jc w:val="center"/>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28</w:t>
                  </w:r>
                </w:p>
              </w:tc>
              <w:tc>
                <w:tcPr>
                  <w:tcW w:w="1442" w:type="pct"/>
                  <w:gridSpan w:val="2"/>
                  <w:vAlign w:val="center"/>
                </w:tcPr>
                <w:p>
                  <w:pPr>
                    <w:spacing w:line="240" w:lineRule="auto"/>
                    <w:jc w:val="center"/>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28</w:t>
                  </w:r>
                </w:p>
              </w:tc>
            </w:tr>
          </w:tbl>
          <w:p>
            <w:pPr>
              <w:spacing w:line="480" w:lineRule="exact"/>
              <w:ind w:firstLine="4"/>
            </w:pPr>
            <w:r>
              <w:rPr>
                <w:rFonts w:ascii="宋体" w:hAnsi="宋体" w:eastAsia="宋体" w:cs="宋体"/>
                <w:b w:val="0"/>
                <w:sz w:val="24"/>
              </w:rPr>
              <w:t xml:space="preserve"> </w:t>
            </w:r>
            <w:r>
              <w:rPr>
                <w:rFonts w:hint="eastAsia" w:ascii="宋体" w:hAnsi="宋体" w:cs="宋体"/>
                <w:b w:val="0"/>
                <w:sz w:val="24"/>
                <w:lang w:val="en-US" w:eastAsia="zh-CN"/>
              </w:rPr>
              <w:t xml:space="preserve">  </w:t>
            </w:r>
            <w:r>
              <w:rPr>
                <w:rFonts w:ascii="宋体" w:hAnsi="宋体" w:eastAsia="宋体" w:cs="宋体"/>
                <w:b w:val="0"/>
                <w:sz w:val="24"/>
              </w:rPr>
              <w:t>本项目所有污染源的正常排放的污染物的Pmax和D10%预测结果如下:</w:t>
            </w:r>
          </w:p>
          <w:p>
            <w:pPr>
              <w:spacing w:line="480" w:lineRule="exact"/>
              <w:jc w:val="center"/>
            </w:pPr>
            <w:r>
              <w:rPr>
                <w:rFonts w:hint="default" w:ascii="Times New Roman" w:hAnsi="Times New Roman" w:eastAsia="宋体" w:cs="Times New Roman"/>
                <w:b w:val="0"/>
                <w:sz w:val="24"/>
              </w:rPr>
              <w:t xml:space="preserve"> </w:t>
            </w: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 xml:space="preserve">7-5  </w:t>
            </w:r>
            <w:r>
              <w:rPr>
                <w:rFonts w:hint="default" w:ascii="Times New Roman" w:hAnsi="Times New Roman" w:eastAsia="宋体" w:cs="Times New Roman"/>
                <w:b/>
                <w:bCs/>
                <w:sz w:val="21"/>
                <w:szCs w:val="21"/>
              </w:rPr>
              <w:t>Pmax和D10%预测和计算结果一览表</w:t>
            </w:r>
          </w:p>
          <w:tbl>
            <w:tblPr>
              <w:tblStyle w:val="26"/>
              <w:tblW w:w="4983" w:type="pct"/>
              <w:tblInd w:w="0" w:type="dxa"/>
              <w:tblBorders>
                <w:top w:val="single" w:color="auto" w:sz="12" w:space="0"/>
                <w:left w:val="none" w:color="auto" w:sz="0" w:space="0"/>
                <w:bottom w:val="single" w:color="auto" w:sz="12" w:space="0"/>
                <w:right w:val="non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5"/>
              <w:gridCol w:w="1174"/>
              <w:gridCol w:w="1721"/>
              <w:gridCol w:w="1734"/>
              <w:gridCol w:w="1775"/>
              <w:gridCol w:w="1481"/>
            </w:tblGrid>
            <w:tr>
              <w:tblPrEx>
                <w:tblBorders>
                  <w:top w:val="single" w:color="auto" w:sz="12" w:space="0"/>
                  <w:left w:val="none" w:color="auto" w:sz="0" w:space="0"/>
                  <w:bottom w:val="single" w:color="auto" w:sz="12"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1"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625"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评价因子</w:t>
                  </w:r>
                </w:p>
              </w:tc>
              <w:tc>
                <w:tcPr>
                  <w:tcW w:w="916"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评价标准(μg/m³)</w:t>
                  </w:r>
                </w:p>
              </w:tc>
              <w:tc>
                <w:tcPr>
                  <w:tcW w:w="923"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Cmax(μg/m³)</w:t>
                  </w:r>
                </w:p>
              </w:tc>
              <w:tc>
                <w:tcPr>
                  <w:tcW w:w="945"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Pmax(%)</w:t>
                  </w:r>
                </w:p>
              </w:tc>
              <w:tc>
                <w:tcPr>
                  <w:tcW w:w="788" w:type="pct"/>
                  <w:tcBorders>
                    <w:bottom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D10%(m)</w:t>
                  </w:r>
                </w:p>
              </w:tc>
            </w:tr>
            <w:tr>
              <w:tblPrEx>
                <w:tblBorders>
                  <w:top w:val="single" w:color="auto" w:sz="12" w:space="0"/>
                  <w:left w:val="none" w:color="auto" w:sz="0" w:space="0"/>
                  <w:bottom w:val="single" w:color="auto" w:sz="12"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1"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点源</w:t>
                  </w:r>
                </w:p>
              </w:tc>
              <w:tc>
                <w:tcPr>
                  <w:tcW w:w="625"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NMHC</w:t>
                  </w:r>
                </w:p>
              </w:tc>
              <w:tc>
                <w:tcPr>
                  <w:tcW w:w="916"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2000.0</w:t>
                  </w:r>
                </w:p>
              </w:tc>
              <w:tc>
                <w:tcPr>
                  <w:tcW w:w="923"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6.8490</w:t>
                  </w:r>
                </w:p>
              </w:tc>
              <w:tc>
                <w:tcPr>
                  <w:tcW w:w="945"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0.3424</w:t>
                  </w:r>
                </w:p>
              </w:tc>
              <w:tc>
                <w:tcPr>
                  <w:tcW w:w="788" w:type="pct"/>
                  <w:tcBorders>
                    <w:top w:val="single" w:color="auto" w:sz="12"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w:t>
                  </w:r>
                </w:p>
              </w:tc>
            </w:tr>
            <w:tr>
              <w:tblPrEx>
                <w:tblBorders>
                  <w:top w:val="single" w:color="auto" w:sz="12" w:space="0"/>
                  <w:left w:val="none" w:color="auto" w:sz="0" w:space="0"/>
                  <w:bottom w:val="single" w:color="auto" w:sz="12"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1"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625"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NMHC</w:t>
                  </w:r>
                </w:p>
              </w:tc>
              <w:tc>
                <w:tcPr>
                  <w:tcW w:w="916"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2000.0</w:t>
                  </w:r>
                </w:p>
              </w:tc>
              <w:tc>
                <w:tcPr>
                  <w:tcW w:w="923"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47.8790</w:t>
                  </w:r>
                </w:p>
              </w:tc>
              <w:tc>
                <w:tcPr>
                  <w:tcW w:w="945"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2.3939</w:t>
                  </w:r>
                </w:p>
              </w:tc>
              <w:tc>
                <w:tcPr>
                  <w:tcW w:w="788"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w:t>
                  </w:r>
                </w:p>
              </w:tc>
            </w:tr>
            <w:tr>
              <w:tblPrEx>
                <w:tblBorders>
                  <w:top w:val="single" w:color="auto" w:sz="12" w:space="0"/>
                  <w:left w:val="none" w:color="auto" w:sz="0" w:space="0"/>
                  <w:bottom w:val="single" w:color="auto" w:sz="12" w:space="0"/>
                  <w:right w:val="non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1"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625"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c>
                <w:tcPr>
                  <w:tcW w:w="916"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900.0</w:t>
                  </w:r>
                </w:p>
              </w:tc>
              <w:tc>
                <w:tcPr>
                  <w:tcW w:w="923"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5.2188</w:t>
                  </w:r>
                </w:p>
              </w:tc>
              <w:tc>
                <w:tcPr>
                  <w:tcW w:w="945"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0.5799</w:t>
                  </w:r>
                </w:p>
              </w:tc>
              <w:tc>
                <w:tcPr>
                  <w:tcW w:w="788" w:type="pct"/>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w:t>
                  </w:r>
                </w:p>
              </w:tc>
            </w:tr>
          </w:tbl>
          <w:p>
            <w:pPr>
              <w:widowControl/>
              <w:ind w:firstLine="480" w:firstLineChars="200"/>
              <w:jc w:val="left"/>
              <w:rPr>
                <w:rFonts w:hint="eastAsia" w:ascii="Times New Roman" w:hAnsi="Times New Roman" w:eastAsia="宋体" w:cs="Times New Roman"/>
                <w:lang w:eastAsia="zh-CN"/>
              </w:rPr>
            </w:pPr>
            <w:r>
              <w:rPr>
                <w:rFonts w:hint="default" w:ascii="Times New Roman" w:hAnsi="Times New Roman" w:eastAsia="宋体" w:cs="Times New Roman"/>
              </w:rPr>
              <w:t>本项目Pmax最大值出现为矩形面源排放的NMHCPmax值为1.1965%,Cmax为23.93μg/m³,根据《环境影响评价技术导则 大气环境》（HJ2.2-2018）分级判据，确定本项目大气环境影响评价工作等级为二级</w:t>
            </w:r>
            <w:r>
              <w:rPr>
                <w:rFonts w:hint="eastAsia" w:ascii="Times New Roman" w:hAnsi="Times New Roman" w:eastAsia="宋体" w:cs="Times New Roman"/>
                <w:lang w:eastAsia="zh-CN"/>
              </w:rPr>
              <w:t>。</w:t>
            </w:r>
          </w:p>
          <w:p>
            <w:pPr>
              <w:widowControl/>
              <w:ind w:firstLine="402" w:firstLineChars="200"/>
              <w:jc w:val="left"/>
              <w:rPr>
                <w:rFonts w:hint="eastAsia" w:ascii="Times New Roman" w:hAnsi="Times New Roman" w:eastAsia="宋体" w:cs="Times New Roman"/>
                <w:b/>
                <w:bCs/>
                <w:sz w:val="20"/>
                <w:szCs w:val="20"/>
                <w:lang w:eastAsia="zh-CN"/>
              </w:rPr>
            </w:pPr>
            <w:r>
              <w:rPr>
                <w:rFonts w:hint="default" w:ascii="Times New Roman" w:hAnsi="Times New Roman" w:eastAsia="宋体" w:cs="Times New Roman"/>
                <w:b/>
                <w:bCs/>
                <w:sz w:val="20"/>
                <w:szCs w:val="20"/>
              </w:rPr>
              <w:t>注：本次预测不考虑《环境影响评价技术导则 大气环境》（HJ2.2-2018）章节5.3.3中规定的评价等级判定还应遵守的规定</w:t>
            </w:r>
            <w:r>
              <w:rPr>
                <w:rFonts w:hint="eastAsia" w:cs="Times New Roman"/>
                <w:b/>
                <w:bCs/>
                <w:sz w:val="20"/>
                <w:szCs w:val="20"/>
                <w:lang w:eastAsia="zh-CN"/>
              </w:rPr>
              <w:t>。</w:t>
            </w:r>
          </w:p>
          <w:p>
            <w:pPr>
              <w:widowControl/>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（4）卫生防护距离计算</w:t>
            </w:r>
          </w:p>
          <w:p>
            <w:pPr>
              <w:widowControl/>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由《制定地方大气污染物排放标准的技术方法》(GB/T3840-1991)可知，产生有害因素的工业企业与居民区之间应设置卫生防护距离，计算公式为：</w:t>
            </w:r>
          </w:p>
          <w:p>
            <w:pPr>
              <w:widowControl/>
              <w:ind w:firstLine="48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1819910" cy="447675"/>
                  <wp:effectExtent l="0" t="0" r="0"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819910" cy="447675"/>
                          </a:xfrm>
                          <a:prstGeom prst="rect">
                            <a:avLst/>
                          </a:prstGeom>
                          <a:noFill/>
                          <a:ln>
                            <a:noFill/>
                          </a:ln>
                        </pic:spPr>
                      </pic:pic>
                    </a:graphicData>
                  </a:graphic>
                </wp:inline>
              </w:drawing>
            </w:r>
          </w:p>
          <w:p>
            <w:pPr>
              <w:widowControl/>
              <w:ind w:firstLine="480"/>
              <w:jc w:val="left"/>
              <w:rPr>
                <w:rFonts w:hint="default" w:ascii="Times New Roman" w:hAnsi="Times New Roman" w:eastAsia="宋体" w:cs="Times New Roman"/>
              </w:rPr>
            </w:pPr>
            <w:r>
              <w:rPr>
                <w:rFonts w:hint="default" w:ascii="Times New Roman" w:hAnsi="Times New Roman" w:eastAsia="宋体" w:cs="Times New Roman"/>
              </w:rPr>
              <w:t>式中：</w:t>
            </w:r>
            <w:r>
              <w:rPr>
                <w:rFonts w:hint="default" w:ascii="Times New Roman" w:hAnsi="Times New Roman" w:eastAsia="宋体" w:cs="Times New Roman"/>
              </w:rPr>
              <w:drawing>
                <wp:inline distT="0" distB="0" distL="114300" distR="114300">
                  <wp:extent cx="228600" cy="2286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228600" cy="228600"/>
                          </a:xfrm>
                          <a:prstGeom prst="rect">
                            <a:avLst/>
                          </a:prstGeom>
                          <a:noFill/>
                          <a:ln>
                            <a:noFill/>
                          </a:ln>
                        </pic:spPr>
                      </pic:pic>
                    </a:graphicData>
                  </a:graphic>
                </wp:inline>
              </w:drawing>
            </w:r>
            <w:r>
              <w:rPr>
                <w:rFonts w:hint="default" w:ascii="Times New Roman" w:hAnsi="Times New Roman" w:eastAsia="宋体" w:cs="Times New Roman"/>
              </w:rPr>
              <w:t>—标准浓度限值(mg/Nm3)；</w:t>
            </w:r>
          </w:p>
          <w:p>
            <w:pPr>
              <w:widowControl/>
              <w:ind w:firstLine="1200" w:firstLineChars="500"/>
              <w:jc w:val="left"/>
              <w:rPr>
                <w:rFonts w:hint="default" w:ascii="Times New Roman" w:hAnsi="Times New Roman" w:eastAsia="宋体" w:cs="Times New Roman"/>
              </w:rPr>
            </w:pPr>
            <w:r>
              <w:rPr>
                <w:rFonts w:hint="default" w:ascii="Times New Roman" w:hAnsi="Times New Roman" w:eastAsia="宋体" w:cs="Times New Roman"/>
              </w:rPr>
              <w:object>
                <v:shape id="_x0000_i1025" o:spt="75" type="#_x0000_t75" style="height:12pt;width:11.25pt;" o:ole="t" fillcolor="#6D6D6D"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rFonts w:hint="default" w:ascii="Times New Roman" w:hAnsi="Times New Roman" w:eastAsia="宋体" w:cs="Times New Roman"/>
              </w:rPr>
              <w:t>—工业企业所需卫生防护距离(m)；</w:t>
            </w:r>
          </w:p>
          <w:p>
            <w:pPr>
              <w:widowControl/>
              <w:ind w:firstLine="1200" w:firstLineChars="500"/>
              <w:jc w:val="left"/>
              <w:rPr>
                <w:rFonts w:hint="default" w:ascii="Times New Roman" w:hAnsi="Times New Roman" w:eastAsia="宋体" w:cs="Times New Roman"/>
              </w:rPr>
            </w:pPr>
            <w:r>
              <w:rPr>
                <w:rFonts w:hint="default" w:ascii="Times New Roman" w:hAnsi="Times New Roman" w:eastAsia="宋体" w:cs="Times New Roman"/>
              </w:rPr>
              <w:object>
                <v:shape id="_x0000_i1026" o:spt="75" type="#_x0000_t75" style="height:10.5pt;width:8.25pt;" o:ole="t" fillcolor="#6D6D6D"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hint="default" w:ascii="Times New Roman" w:hAnsi="Times New Roman" w:eastAsia="宋体" w:cs="Times New Roman"/>
              </w:rPr>
              <w:t>—有害气体无组织排放源所在生产单元的等效半径(m)；</w:t>
            </w:r>
          </w:p>
          <w:p>
            <w:pPr>
              <w:widowControl/>
              <w:ind w:firstLine="1200" w:firstLineChars="500"/>
              <w:jc w:val="left"/>
              <w:rPr>
                <w:rFonts w:hint="default" w:ascii="Times New Roman" w:hAnsi="Times New Roman" w:eastAsia="宋体" w:cs="Times New Roman"/>
              </w:rPr>
            </w:pPr>
            <w:r>
              <w:rPr>
                <w:rFonts w:hint="default" w:ascii="Times New Roman" w:hAnsi="Times New Roman" w:eastAsia="宋体" w:cs="Times New Roman"/>
              </w:rPr>
              <w:object>
                <v:shape id="_x0000_i1027" o:spt="75" type="#_x0000_t75" style="height:14.25pt;width:72pt;" o:ole="t" fillcolor="#6D6D6D"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7" r:id="rId18">
                  <o:LockedField>false</o:LockedField>
                </o:OLEObject>
              </w:object>
            </w:r>
            <w:r>
              <w:rPr>
                <w:rFonts w:hint="default" w:ascii="Times New Roman" w:hAnsi="Times New Roman" w:eastAsia="宋体" w:cs="Times New Roman"/>
              </w:rPr>
              <w:t>—卫生防护距离计算系数；</w:t>
            </w:r>
          </w:p>
          <w:p>
            <w:pPr>
              <w:widowControl/>
              <w:ind w:firstLine="1200" w:firstLineChars="500"/>
              <w:jc w:val="left"/>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28600" cy="200025"/>
                  <wp:effectExtent l="0" t="0" r="0" b="698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0"/>
                          <a:stretch>
                            <a:fillRect/>
                          </a:stretch>
                        </pic:blipFill>
                        <pic:spPr>
                          <a:xfrm>
                            <a:off x="0" y="0"/>
                            <a:ext cx="228600" cy="200025"/>
                          </a:xfrm>
                          <a:prstGeom prst="rect">
                            <a:avLst/>
                          </a:prstGeom>
                          <a:noFill/>
                          <a:ln>
                            <a:noFill/>
                          </a:ln>
                        </pic:spPr>
                      </pic:pic>
                    </a:graphicData>
                  </a:graphic>
                </wp:inline>
              </w:drawing>
            </w:r>
            <w:r>
              <w:rPr>
                <w:rFonts w:hint="default" w:ascii="Times New Roman" w:hAnsi="Times New Roman" w:eastAsia="宋体" w:cs="Times New Roman"/>
              </w:rPr>
              <w:t>—有害气体泄漏量可达到的控制水平(kg/h)。</w:t>
            </w:r>
          </w:p>
          <w:p>
            <w:pPr>
              <w:widowControl/>
              <w:snapToGrid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根据《制定地方大气污染物地方排放标准的技术方法》（GB/T3840-1991）中相关规定，卫生防护距离在100m以内时，级差为50m；超过100m，但小于或等于1000m时，级差为100m。当计算的L值在两级之间时，取偏宽的一级。无组织排放多种有害气体的工业企业，当计算的两种或两种以上的有害气体的卫生防护距离在同一级别时，该类工业企业的卫生防护距离应提高一级。</w:t>
            </w:r>
          </w:p>
          <w:p>
            <w:pPr>
              <w:widowControl/>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rPr>
              <w:t>有害气体的卫生防护距离*</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43"/>
              <w:gridCol w:w="1325"/>
              <w:gridCol w:w="1043"/>
              <w:gridCol w:w="1043"/>
              <w:gridCol w:w="687"/>
              <w:gridCol w:w="687"/>
              <w:gridCol w:w="687"/>
              <w:gridCol w:w="687"/>
              <w:gridCol w:w="690"/>
              <w:gridCol w:w="916"/>
              <w:gridCol w:w="9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4" w:hRule="atLeast"/>
                <w:jc w:val="center"/>
              </w:trPr>
              <w:tc>
                <w:tcPr>
                  <w:tcW w:w="2068" w:type="dxa"/>
                  <w:gridSpan w:val="2"/>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面源污染物名称</w:t>
                  </w:r>
                </w:p>
              </w:tc>
              <w:tc>
                <w:tcPr>
                  <w:tcW w:w="1043"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Qc</w:t>
                  </w:r>
                </w:p>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1043"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(mg/Nm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687"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w:t>
                  </w:r>
                </w:p>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687"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p>
              </w:tc>
              <w:tc>
                <w:tcPr>
                  <w:tcW w:w="687"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p>
              </w:tc>
              <w:tc>
                <w:tcPr>
                  <w:tcW w:w="687"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c>
                <w:tcPr>
                  <w:tcW w:w="690"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t>
                  </w:r>
                </w:p>
              </w:tc>
              <w:tc>
                <w:tcPr>
                  <w:tcW w:w="916"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L计</w:t>
                  </w:r>
                </w:p>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914" w:type="dxa"/>
                  <w:tcBorders>
                    <w:top w:val="single" w:color="auto" w:sz="12" w:space="0"/>
                    <w:bottom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w:t>
                  </w:r>
                </w:p>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743" w:type="dxa"/>
                  <w:vMerge w:val="restart"/>
                  <w:tcBorders>
                    <w:top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车间</w:t>
                  </w:r>
                </w:p>
              </w:tc>
              <w:tc>
                <w:tcPr>
                  <w:tcW w:w="1325" w:type="dxa"/>
                  <w:tcBorders>
                    <w:top w:val="single" w:color="auto" w:sz="12" w:space="0"/>
                  </w:tcBorders>
                  <w:noWrap w:val="0"/>
                  <w:tcMar>
                    <w:left w:w="0" w:type="dxa"/>
                    <w:right w:w="0" w:type="dxa"/>
                  </w:tcMar>
                  <w:vAlign w:val="center"/>
                </w:tcPr>
                <w:p>
                  <w:pPr>
                    <w:widowControl/>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1043" w:type="dxa"/>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0.0625</w:t>
                  </w:r>
                </w:p>
              </w:tc>
              <w:tc>
                <w:tcPr>
                  <w:tcW w:w="1043" w:type="dxa"/>
                  <w:tcBorders>
                    <w:top w:val="single" w:color="auto" w:sz="12" w:space="0"/>
                  </w:tcBorders>
                  <w:noWrap w:val="0"/>
                  <w:tcMar>
                    <w:left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w:t>
                  </w:r>
                </w:p>
              </w:tc>
              <w:tc>
                <w:tcPr>
                  <w:tcW w:w="687" w:type="dxa"/>
                  <w:vMerge w:val="restart"/>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w:t>
                  </w:r>
                </w:p>
              </w:tc>
              <w:tc>
                <w:tcPr>
                  <w:tcW w:w="687" w:type="dxa"/>
                  <w:vMerge w:val="restart"/>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470</w:t>
                  </w:r>
                </w:p>
              </w:tc>
              <w:tc>
                <w:tcPr>
                  <w:tcW w:w="687" w:type="dxa"/>
                  <w:vMerge w:val="restart"/>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0.021</w:t>
                  </w:r>
                </w:p>
              </w:tc>
              <w:tc>
                <w:tcPr>
                  <w:tcW w:w="687" w:type="dxa"/>
                  <w:vMerge w:val="restart"/>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1.85</w:t>
                  </w:r>
                </w:p>
              </w:tc>
              <w:tc>
                <w:tcPr>
                  <w:tcW w:w="690" w:type="dxa"/>
                  <w:vMerge w:val="restart"/>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0.84</w:t>
                  </w:r>
                </w:p>
              </w:tc>
              <w:tc>
                <w:tcPr>
                  <w:tcW w:w="916" w:type="dxa"/>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1.75</w:t>
                  </w:r>
                </w:p>
              </w:tc>
              <w:tc>
                <w:tcPr>
                  <w:tcW w:w="914" w:type="dxa"/>
                  <w:tcBorders>
                    <w:top w:val="single" w:color="auto" w:sz="12" w:space="0"/>
                  </w:tcBorders>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70" w:hRule="atLeast"/>
                <w:jc w:val="center"/>
              </w:trPr>
              <w:tc>
                <w:tcPr>
                  <w:tcW w:w="743" w:type="dxa"/>
                  <w:vMerge w:val="continue"/>
                  <w:noWrap w:val="0"/>
                  <w:tcMar>
                    <w:left w:w="0" w:type="dxa"/>
                    <w:right w:w="0" w:type="dxa"/>
                  </w:tcMar>
                  <w:vAlign w:val="center"/>
                </w:tcPr>
                <w:p>
                  <w:pPr>
                    <w:autoSpaceDE w:val="0"/>
                    <w:autoSpaceDN w:val="0"/>
                    <w:snapToGrid w:val="0"/>
                    <w:spacing w:line="240" w:lineRule="auto"/>
                    <w:jc w:val="center"/>
                    <w:rPr>
                      <w:rFonts w:hint="default" w:ascii="Times New Roman" w:hAnsi="Times New Roman" w:eastAsia="宋体" w:cs="Times New Roman"/>
                      <w:sz w:val="21"/>
                      <w:szCs w:val="21"/>
                    </w:rPr>
                  </w:pPr>
                </w:p>
              </w:tc>
              <w:tc>
                <w:tcPr>
                  <w:tcW w:w="1325" w:type="dxa"/>
                  <w:noWrap w:val="0"/>
                  <w:tcMar>
                    <w:left w:w="0" w:type="dxa"/>
                    <w:right w:w="0" w:type="dxa"/>
                  </w:tcMar>
                  <w:vAlign w:val="center"/>
                </w:tcPr>
                <w:p>
                  <w:pPr>
                    <w:autoSpaceDE w:val="0"/>
                    <w:autoSpaceDN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043" w:type="dxa"/>
                  <w:noWrap w:val="0"/>
                  <w:tcMar>
                    <w:left w:w="0" w:type="dxa"/>
                    <w:right w:w="0" w:type="dxa"/>
                  </w:tcMar>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0.01</w:t>
                  </w:r>
                  <w:r>
                    <w:rPr>
                      <w:rFonts w:hint="eastAsia" w:cs="Times New Roman"/>
                      <w:sz w:val="21"/>
                      <w:szCs w:val="21"/>
                      <w:lang w:val="en-US" w:eastAsia="zh-CN"/>
                    </w:rPr>
                    <w:t>36</w:t>
                  </w:r>
                </w:p>
              </w:tc>
              <w:tc>
                <w:tcPr>
                  <w:tcW w:w="1043" w:type="dxa"/>
                  <w:noWrap w:val="0"/>
                  <w:tcMar>
                    <w:left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val="0"/>
                      <w:sz w:val="21"/>
                      <w:szCs w:val="21"/>
                      <w:lang w:val="en-US" w:eastAsia="zh-CN"/>
                    </w:rPr>
                    <w:t>0.9</w:t>
                  </w:r>
                </w:p>
              </w:tc>
              <w:tc>
                <w:tcPr>
                  <w:tcW w:w="687" w:type="dxa"/>
                  <w:vMerge w:val="continue"/>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687" w:type="dxa"/>
                  <w:vMerge w:val="continue"/>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687" w:type="dxa"/>
                  <w:vMerge w:val="continue"/>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687" w:type="dxa"/>
                  <w:vMerge w:val="continue"/>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690" w:type="dxa"/>
                  <w:vMerge w:val="continue"/>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p>
              </w:tc>
              <w:tc>
                <w:tcPr>
                  <w:tcW w:w="916" w:type="dxa"/>
                  <w:noWrap w:val="0"/>
                  <w:tcMar>
                    <w:left w:w="0" w:type="dxa"/>
                    <w:right w:w="0" w:type="dxa"/>
                  </w:tcMar>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0.246</w:t>
                  </w:r>
                </w:p>
              </w:tc>
              <w:tc>
                <w:tcPr>
                  <w:tcW w:w="914" w:type="dxa"/>
                  <w:noWrap w:val="0"/>
                  <w:tcMar>
                    <w:left w:w="0" w:type="dxa"/>
                    <w:right w:w="0" w:type="dxa"/>
                  </w:tcMar>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r>
          </w:tbl>
          <w:p>
            <w:pPr>
              <w:widowControl/>
              <w:jc w:val="left"/>
              <w:rPr>
                <w:rFonts w:hint="default" w:ascii="Times New Roman" w:hAnsi="Times New Roman" w:eastAsia="宋体" w:cs="Times New Roman"/>
              </w:rPr>
            </w:pPr>
            <w:r>
              <w:rPr>
                <w:rFonts w:hint="default" w:ascii="Times New Roman" w:hAnsi="Times New Roman" w:eastAsia="宋体" w:cs="Times New Roman"/>
              </w:rPr>
              <w:t>*说明：表中数据单位同计算公式中的单位。</w:t>
            </w:r>
          </w:p>
          <w:p>
            <w:pPr>
              <w:widowControl/>
              <w:autoSpaceDE w:val="0"/>
              <w:autoSpaceDN w:val="0"/>
              <w:adjustRightInd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lang w:eastAsia="zh-CN"/>
              </w:rPr>
              <w:t>根据原环评，现有项目</w:t>
            </w:r>
            <w:r>
              <w:rPr>
                <w:rFonts w:hint="default" w:ascii="Times New Roman" w:hAnsi="Times New Roman" w:eastAsia="宋体" w:cs="Times New Roman"/>
                <w:color w:val="000000"/>
                <w:sz w:val="24"/>
              </w:rPr>
              <w:t>卫生防护距离取50米</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lang w:eastAsia="zh-CN"/>
              </w:rPr>
              <w:t>结合</w:t>
            </w:r>
            <w:r>
              <w:rPr>
                <w:rFonts w:hint="default" w:ascii="Times New Roman" w:hAnsi="Times New Roman" w:eastAsia="宋体" w:cs="Times New Roman"/>
              </w:rPr>
              <w:t>以上计算结果，</w:t>
            </w:r>
            <w:r>
              <w:rPr>
                <w:rFonts w:hint="eastAsia"/>
              </w:rPr>
              <w:t>当按两种或两种以上的有害气体计算的卫生防护距离在同一级别，该工业企业的卫生防护距离级别应提高一级，</w:t>
            </w:r>
            <w:r>
              <w:rPr>
                <w:rFonts w:hint="default" w:ascii="Times New Roman" w:hAnsi="Times New Roman" w:eastAsia="宋体" w:cs="Times New Roman"/>
              </w:rPr>
              <w:t>本项目</w:t>
            </w:r>
            <w:r>
              <w:rPr>
                <w:rFonts w:hint="default" w:ascii="Times New Roman" w:hAnsi="Times New Roman" w:eastAsia="宋体" w:cs="Times New Roman"/>
                <w:lang w:val="en-US" w:eastAsia="zh-CN"/>
              </w:rPr>
              <w:t>以厂界</w:t>
            </w:r>
            <w:r>
              <w:rPr>
                <w:rFonts w:hint="default" w:ascii="Times New Roman" w:hAnsi="Times New Roman" w:eastAsia="宋体" w:cs="Times New Roman"/>
              </w:rPr>
              <w:t>设置100m的卫生防护距离。经现场勘查，本项目以生产车间为边界周边100m范围内没有居民区、医院、学校等敏感目标。在本项目卫生防护距离内，今后也不得建设居民区、医院、学校等敏感建筑。</w:t>
            </w:r>
          </w:p>
          <w:p>
            <w:pPr>
              <w:pStyle w:val="2"/>
              <w:ind w:firstLine="480"/>
              <w:rPr>
                <w:rFonts w:hint="default" w:ascii="Times New Roman" w:hAnsi="Times New Roman" w:eastAsia="宋体" w:cs="Times New Roman"/>
              </w:rPr>
            </w:pPr>
            <w:r>
              <w:rPr>
                <w:rFonts w:hint="default" w:ascii="Times New Roman" w:hAnsi="Times New Roman" w:eastAsia="宋体" w:cs="Times New Roman"/>
              </w:rPr>
              <w:t>因此，本项目营运期产生的大气污染物对项目周环境空气的影响较小，不会改变区域的环境空气质量类别。</w:t>
            </w:r>
          </w:p>
          <w:p>
            <w:pPr>
              <w:widowControl/>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建设项目大气环境影响评价自查表</w:t>
            </w:r>
          </w:p>
          <w:tbl>
            <w:tblPr>
              <w:tblStyle w:val="26"/>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94"/>
              <w:gridCol w:w="1578"/>
              <w:gridCol w:w="921"/>
              <w:gridCol w:w="736"/>
              <w:gridCol w:w="238"/>
              <w:gridCol w:w="203"/>
              <w:gridCol w:w="18"/>
              <w:gridCol w:w="276"/>
              <w:gridCol w:w="507"/>
              <w:gridCol w:w="637"/>
              <w:gridCol w:w="702"/>
              <w:gridCol w:w="636"/>
              <w:gridCol w:w="399"/>
              <w:gridCol w:w="860"/>
              <w:gridCol w:w="7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2704" w:type="dxa"/>
                  <w:gridSpan w:val="2"/>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工作内容</w:t>
                  </w:r>
                </w:p>
              </w:tc>
              <w:tc>
                <w:tcPr>
                  <w:tcW w:w="6709" w:type="dxa"/>
                  <w:gridSpan w:val="13"/>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自查项目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评价等级与范围</w:t>
                  </w:r>
                </w:p>
              </w:tc>
              <w:tc>
                <w:tcPr>
                  <w:tcW w:w="1641" w:type="dxa"/>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评价等级</w:t>
                  </w:r>
                </w:p>
              </w:tc>
              <w:tc>
                <w:tcPr>
                  <w:tcW w:w="1640" w:type="dxa"/>
                  <w:gridSpan w:val="2"/>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3429" w:type="dxa"/>
                  <w:gridSpan w:val="9"/>
                  <w:tcBorders>
                    <w:top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r>
                    <w:rPr>
                      <w:rFonts w:hint="default" w:ascii="Times New Roman" w:hAnsi="Times New Roman" w:eastAsia="宋体" w:cs="Times New Roman"/>
                      <w:sz w:val="21"/>
                      <w:szCs w:val="21"/>
                    </w:rPr>
                    <w:sym w:font="Wingdings 2" w:char="0052"/>
                  </w:r>
                </w:p>
              </w:tc>
              <w:tc>
                <w:tcPr>
                  <w:tcW w:w="1640" w:type="dxa"/>
                  <w:gridSpan w:val="2"/>
                  <w:tcBorders>
                    <w:top w:val="single" w:color="auto" w:sz="12" w:space="0"/>
                  </w:tcBorders>
                  <w:noWrap w:val="0"/>
                  <w:vAlign w:val="center"/>
                </w:tcPr>
                <w:p>
                  <w:pPr>
                    <w:widowControl/>
                    <w:snapToGrid w:val="0"/>
                    <w:spacing w:line="240" w:lineRule="auto"/>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三级</w:t>
                  </w:r>
                  <w:r>
                    <w:rPr>
                      <w:rFonts w:hint="eastAsia" w:cs="Times New Roman"/>
                      <w:sz w:val="21"/>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评价范围</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边长=50km□</w:t>
                  </w:r>
                </w:p>
              </w:tc>
              <w:tc>
                <w:tcPr>
                  <w:tcW w:w="3429" w:type="dxa"/>
                  <w:gridSpan w:val="9"/>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边长5～50km□</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边长=5km□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评价因子</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r>
                    <w:rPr>
                      <w:rFonts w:hint="default" w:ascii="Times New Roman" w:hAnsi="Times New Roman" w:eastAsia="宋体" w:cs="Times New Roman"/>
                      <w:sz w:val="21"/>
                      <w:szCs w:val="21"/>
                    </w:rPr>
                    <w:t>排放量</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≥2000t/a□</w:t>
                  </w:r>
                </w:p>
              </w:tc>
              <w:tc>
                <w:tcPr>
                  <w:tcW w:w="3429" w:type="dxa"/>
                  <w:gridSpan w:val="9"/>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500～2000t/a□</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评价因子</w:t>
                  </w:r>
                </w:p>
              </w:tc>
              <w:tc>
                <w:tcPr>
                  <w:tcW w:w="5069" w:type="dxa"/>
                  <w:gridSpan w:val="11"/>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基本污染物（SO2、NO2、PM10、CO、O3、PM2.5）</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其他污染物（ 非甲烷总烃 ）</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包括二次PM2.5</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不包括二次PM2.5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评价标准</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评价标准</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国家标准☑</w:t>
                  </w:r>
                </w:p>
              </w:tc>
              <w:tc>
                <w:tcPr>
                  <w:tcW w:w="1759"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地方标准□</w:t>
                  </w:r>
                </w:p>
              </w:tc>
              <w:tc>
                <w:tcPr>
                  <w:tcW w:w="1670" w:type="dxa"/>
                  <w:gridSpan w:val="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附录D□</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现状评价</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环境功能区</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一类区□</w:t>
                  </w:r>
                </w:p>
              </w:tc>
              <w:tc>
                <w:tcPr>
                  <w:tcW w:w="3429" w:type="dxa"/>
                  <w:gridSpan w:val="9"/>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一类和二类区□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评价基准年</w:t>
                  </w:r>
                </w:p>
              </w:tc>
              <w:tc>
                <w:tcPr>
                  <w:tcW w:w="6709" w:type="dxa"/>
                  <w:gridSpan w:val="1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201</w:t>
                  </w:r>
                  <w:r>
                    <w:rPr>
                      <w:rFonts w:hint="eastAsia" w:cs="Times New Roman"/>
                      <w:sz w:val="21"/>
                      <w:szCs w:val="21"/>
                      <w:lang w:val="en-US" w:eastAsia="zh-CN"/>
                    </w:rPr>
                    <w:t>8</w:t>
                  </w:r>
                  <w:r>
                    <w:rPr>
                      <w:rFonts w:hint="default" w:ascii="Times New Roman" w:hAnsi="Times New Roman" w:eastAsia="宋体" w:cs="Times New Roman"/>
                      <w:sz w:val="21"/>
                      <w:szCs w:val="21"/>
                    </w:rPr>
                    <w:t xml:space="preserve">  ）年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现状调查数据来源</w:t>
                  </w:r>
                </w:p>
              </w:tc>
              <w:tc>
                <w:tcPr>
                  <w:tcW w:w="2087"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长期例行监测数据□</w:t>
                  </w:r>
                </w:p>
              </w:tc>
              <w:tc>
                <w:tcPr>
                  <w:tcW w:w="2982"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主管部门发布的数据☑</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现状补充监测□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现状评价</w:t>
                  </w:r>
                </w:p>
              </w:tc>
              <w:tc>
                <w:tcPr>
                  <w:tcW w:w="3399" w:type="dxa"/>
                  <w:gridSpan w:val="8"/>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达标区□</w:t>
                  </w:r>
                </w:p>
              </w:tc>
              <w:tc>
                <w:tcPr>
                  <w:tcW w:w="331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不达标区☑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调查内容</w:t>
                  </w:r>
                </w:p>
              </w:tc>
              <w:tc>
                <w:tcPr>
                  <w:tcW w:w="2071" w:type="dxa"/>
                  <w:gridSpan w:val="4"/>
                  <w:noWrap w:val="0"/>
                  <w:vAlign w:val="center"/>
                </w:tcPr>
                <w:p>
                  <w:pPr>
                    <w:widowControl/>
                    <w:snapToGrid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本项目正常排放源□</w:t>
                  </w:r>
                </w:p>
                <w:p>
                  <w:pPr>
                    <w:widowControl/>
                    <w:snapToGrid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本项目非正常排放源□</w:t>
                  </w:r>
                </w:p>
                <w:p>
                  <w:pPr>
                    <w:widowControl/>
                    <w:snapToGrid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现有污染源□</w:t>
                  </w:r>
                </w:p>
              </w:tc>
              <w:tc>
                <w:tcPr>
                  <w:tcW w:w="1328" w:type="dxa"/>
                  <w:gridSpan w:val="4"/>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拟替代的污染源□</w:t>
                  </w:r>
                </w:p>
              </w:tc>
              <w:tc>
                <w:tcPr>
                  <w:tcW w:w="1670" w:type="dxa"/>
                  <w:gridSpan w:val="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其他在建、拟建项目</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区域污染源□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大气环境影响预测与评价</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预测模型</w:t>
                  </w:r>
                </w:p>
              </w:tc>
              <w:tc>
                <w:tcPr>
                  <w:tcW w:w="894" w:type="dxa"/>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AREMOD</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46" w:type="dxa"/>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ADMS</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92" w:type="dxa"/>
                  <w:gridSpan w:val="5"/>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AUSTAL2000</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93" w:type="dxa"/>
                  <w:gridSpan w:val="2"/>
                  <w:noWrap w:val="0"/>
                  <w:tcMar>
                    <w:left w:w="0" w:type="dxa"/>
                    <w:right w:w="0" w:type="dxa"/>
                  </w:tcMar>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EDMS/AEDT□</w:t>
                  </w:r>
                </w:p>
              </w:tc>
              <w:tc>
                <w:tcPr>
                  <w:tcW w:w="1044"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CALPUFF</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9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网格模型</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745"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预测范围</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边长≥50km□</w:t>
                  </w:r>
                </w:p>
              </w:tc>
              <w:tc>
                <w:tcPr>
                  <w:tcW w:w="3429" w:type="dxa"/>
                  <w:gridSpan w:val="9"/>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边长5~50km□</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边长=5km</w:t>
                  </w:r>
                  <w:r>
                    <w:rPr>
                      <w:rFonts w:hint="default" w:ascii="Times New Roman" w:hAnsi="Times New Roman" w:eastAsia="宋体" w:cs="Times New Roman"/>
                      <w:sz w:val="21"/>
                      <w:szCs w:val="21"/>
                    </w:rPr>
                    <w:sym w:font="Wingdings 2" w:char="0052"/>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预测因子</w:t>
                  </w:r>
                </w:p>
              </w:tc>
              <w:tc>
                <w:tcPr>
                  <w:tcW w:w="3399" w:type="dxa"/>
                  <w:gridSpan w:val="8"/>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预测因子（颗粒物、 非甲烷总烃）</w:t>
                  </w:r>
                </w:p>
              </w:tc>
              <w:tc>
                <w:tcPr>
                  <w:tcW w:w="331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包括二次PM2.5□</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不包括二次PM2.5</w:t>
                  </w:r>
                  <w:r>
                    <w:rPr>
                      <w:rFonts w:hint="default" w:ascii="Times New Roman" w:hAnsi="Times New Roman" w:eastAsia="宋体" w:cs="Times New Roman"/>
                      <w:sz w:val="21"/>
                      <w:szCs w:val="21"/>
                    </w:rPr>
                    <w:sym w:font="Wingdings 2" w:char="0052"/>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正常排放短期浓度贡献值</w:t>
                  </w:r>
                </w:p>
              </w:tc>
              <w:tc>
                <w:tcPr>
                  <w:tcW w:w="3399" w:type="dxa"/>
                  <w:gridSpan w:val="8"/>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C本项目最大占标≤100%</w:t>
                  </w:r>
                  <w:r>
                    <w:rPr>
                      <w:rFonts w:hint="default" w:ascii="Times New Roman" w:hAnsi="Times New Roman" w:eastAsia="宋体" w:cs="Times New Roman"/>
                      <w:sz w:val="21"/>
                      <w:szCs w:val="21"/>
                    </w:rPr>
                    <w:sym w:font="Wingdings 2" w:char="0052"/>
                  </w:r>
                </w:p>
              </w:tc>
              <w:tc>
                <w:tcPr>
                  <w:tcW w:w="331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C本项目最大占标率＞100%□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正常排放年平均浓度贡献值</w:t>
                  </w:r>
                </w:p>
              </w:tc>
              <w:tc>
                <w:tcPr>
                  <w:tcW w:w="894"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一类区</w:t>
                  </w:r>
                </w:p>
              </w:tc>
              <w:tc>
                <w:tcPr>
                  <w:tcW w:w="2505" w:type="dxa"/>
                  <w:gridSpan w:val="7"/>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C本项目最大占标率≤10%</w:t>
                  </w:r>
                  <w:r>
                    <w:rPr>
                      <w:rFonts w:hint="default" w:ascii="Times New Roman" w:hAnsi="Times New Roman" w:eastAsia="宋体" w:cs="Times New Roman"/>
                      <w:sz w:val="21"/>
                      <w:szCs w:val="21"/>
                    </w:rPr>
                    <w:sym w:font="Wingdings 2" w:char="00A3"/>
                  </w:r>
                </w:p>
              </w:tc>
              <w:tc>
                <w:tcPr>
                  <w:tcW w:w="331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C本项目最大标率＞10%□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894"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2505" w:type="dxa"/>
                  <w:gridSpan w:val="7"/>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C本项目最大占标率≤30%□</w:t>
                  </w:r>
                </w:p>
              </w:tc>
              <w:tc>
                <w:tcPr>
                  <w:tcW w:w="331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C本项目最大标率＞30%□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非正常排放1h浓度贡献值</w:t>
                  </w:r>
                </w:p>
              </w:tc>
              <w:tc>
                <w:tcPr>
                  <w:tcW w:w="1872" w:type="dxa"/>
                  <w:gridSpan w:val="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非正常持续时长</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）h</w:t>
                  </w:r>
                </w:p>
              </w:tc>
              <w:tc>
                <w:tcPr>
                  <w:tcW w:w="2789" w:type="dxa"/>
                  <w:gridSpan w:val="7"/>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C非正常占标率≤100%□</w:t>
                  </w:r>
                </w:p>
              </w:tc>
              <w:tc>
                <w:tcPr>
                  <w:tcW w:w="2048" w:type="dxa"/>
                  <w:gridSpan w:val="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C非正常占标率＞100%□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保证率日平均浓度和年平均浓度叠加</w:t>
                  </w:r>
                </w:p>
              </w:tc>
              <w:tc>
                <w:tcPr>
                  <w:tcW w:w="2832" w:type="dxa"/>
                  <w:gridSpan w:val="7"/>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C叠加达标□</w:t>
                  </w:r>
                </w:p>
              </w:tc>
              <w:tc>
                <w:tcPr>
                  <w:tcW w:w="3877"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C叠加不达标□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区域环境质量的整体变化情况</w:t>
                  </w:r>
                </w:p>
              </w:tc>
              <w:tc>
                <w:tcPr>
                  <w:tcW w:w="2832" w:type="dxa"/>
                  <w:gridSpan w:val="7"/>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k≤-20％□</w:t>
                  </w:r>
                </w:p>
              </w:tc>
              <w:tc>
                <w:tcPr>
                  <w:tcW w:w="3877"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环境监测</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污染源监测</w:t>
                  </w:r>
                </w:p>
              </w:tc>
              <w:tc>
                <w:tcPr>
                  <w:tcW w:w="2349"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监测因子：（非甲烷总烃、颗粒物 ）</w:t>
                  </w:r>
                </w:p>
              </w:tc>
              <w:tc>
                <w:tcPr>
                  <w:tcW w:w="272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有组织废气监测☑</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无组织废气监测☑</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环境质量监测</w:t>
                  </w:r>
                </w:p>
              </w:tc>
              <w:tc>
                <w:tcPr>
                  <w:tcW w:w="2349" w:type="dxa"/>
                  <w:gridSpan w:val="6"/>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监测因子：（SO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、CO、O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r>
                    <w:rPr>
                      <w:rFonts w:hint="default" w:ascii="Times New Roman" w:hAnsi="Times New Roman" w:eastAsia="宋体" w:cs="Times New Roman"/>
                      <w:sz w:val="21"/>
                      <w:szCs w:val="21"/>
                    </w:rPr>
                    <w:t>）</w:t>
                  </w:r>
                </w:p>
              </w:tc>
              <w:tc>
                <w:tcPr>
                  <w:tcW w:w="2720" w:type="dxa"/>
                  <w:gridSpan w:val="5"/>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监测点位数（  /  ）</w:t>
                  </w:r>
                </w:p>
              </w:tc>
              <w:tc>
                <w:tcPr>
                  <w:tcW w:w="1640" w:type="dxa"/>
                  <w:gridSpan w:val="2"/>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restart"/>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评价结论</w:t>
                  </w: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环境影响</w:t>
                  </w:r>
                </w:p>
              </w:tc>
              <w:tc>
                <w:tcPr>
                  <w:tcW w:w="6709" w:type="dxa"/>
                  <w:gridSpan w:val="1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可以接受☑          不可以接受□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大气防护距离</w:t>
                  </w:r>
                </w:p>
              </w:tc>
              <w:tc>
                <w:tcPr>
                  <w:tcW w:w="6709" w:type="dxa"/>
                  <w:gridSpan w:val="13"/>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距（  ）厂界最远（）m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063" w:type="dxa"/>
                  <w:vMerge w:val="continue"/>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p>
              </w:tc>
              <w:tc>
                <w:tcPr>
                  <w:tcW w:w="1641" w:type="dxa"/>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污染源排放量</w:t>
                  </w:r>
                </w:p>
              </w:tc>
              <w:tc>
                <w:tcPr>
                  <w:tcW w:w="1640" w:type="dxa"/>
                  <w:gridSpan w:val="2"/>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SO2：（  ）t/a</w:t>
                  </w:r>
                </w:p>
              </w:tc>
              <w:tc>
                <w:tcPr>
                  <w:tcW w:w="1759" w:type="dxa"/>
                  <w:gridSpan w:val="6"/>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NO2：（  ）t/a</w:t>
                  </w:r>
                </w:p>
              </w:tc>
              <w:tc>
                <w:tcPr>
                  <w:tcW w:w="1670" w:type="dxa"/>
                  <w:gridSpan w:val="3"/>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r>
                    <w:rPr>
                      <w:rFonts w:hint="eastAsia" w:cs="Times New Roman"/>
                      <w:sz w:val="21"/>
                      <w:szCs w:val="21"/>
                      <w:lang w:val="en-US" w:eastAsia="zh-CN"/>
                    </w:rPr>
                    <w:t>0.0327</w:t>
                  </w:r>
                  <w:r>
                    <w:rPr>
                      <w:rFonts w:hint="default" w:ascii="Times New Roman" w:hAnsi="Times New Roman" w:eastAsia="宋体" w:cs="Times New Roman"/>
                      <w:sz w:val="21"/>
                      <w:szCs w:val="21"/>
                    </w:rPr>
                    <w:t>）t/a</w:t>
                  </w:r>
                </w:p>
              </w:tc>
              <w:tc>
                <w:tcPr>
                  <w:tcW w:w="1640" w:type="dxa"/>
                  <w:gridSpan w:val="2"/>
                  <w:tcBorders>
                    <w:bottom w:val="single" w:color="auto" w:sz="12" w:space="0"/>
                  </w:tcBorders>
                  <w:noWrap w:val="0"/>
                  <w:vAlign w:val="center"/>
                </w:tcPr>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p>
                  <w:pPr>
                    <w:widowControl/>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cs="Times New Roman"/>
                      <w:sz w:val="21"/>
                      <w:szCs w:val="21"/>
                      <w:lang w:val="en-US" w:eastAsia="zh-CN"/>
                    </w:rPr>
                    <w:t>0.57</w:t>
                  </w:r>
                  <w:r>
                    <w:rPr>
                      <w:rFonts w:hint="default" w:ascii="Times New Roman" w:hAnsi="Times New Roman" w:eastAsia="宋体" w:cs="Times New Roman"/>
                      <w:sz w:val="21"/>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9413" w:type="dxa"/>
                  <w:gridSpan w:val="15"/>
                  <w:tcBorders>
                    <w:top w:val="single" w:color="auto" w:sz="12" w:space="0"/>
                    <w:bottom w:val="single" w:color="auto" w:sz="12" w:space="0"/>
                  </w:tcBorders>
                  <w:noWrap w:val="0"/>
                  <w:vAlign w:val="center"/>
                </w:tcPr>
                <w:p>
                  <w:pPr>
                    <w:widowControl/>
                    <w:snapToGrid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为勾选项，填</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为内容填写项</w:t>
                  </w:r>
                </w:p>
              </w:tc>
            </w:tr>
          </w:tbl>
          <w:p>
            <w:pPr>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3、声环境影响分析</w:t>
            </w:r>
          </w:p>
          <w:p>
            <w:pPr>
              <w:pStyle w:val="2"/>
              <w:ind w:firstLine="480"/>
              <w:rPr>
                <w:rFonts w:hint="default" w:ascii="Times New Roman" w:hAnsi="Times New Roman" w:eastAsia="宋体" w:cs="Times New Roman"/>
              </w:rPr>
            </w:pPr>
            <w:r>
              <w:rPr>
                <w:rFonts w:hint="default" w:ascii="Times New Roman" w:hAnsi="Times New Roman" w:eastAsia="宋体" w:cs="Times New Roman"/>
              </w:rPr>
              <w:t>本项目噪声源强主要来自于</w:t>
            </w:r>
            <w:r>
              <w:rPr>
                <w:rFonts w:hint="eastAsia" w:cs="Times New Roman"/>
                <w:lang w:val="en-US" w:eastAsia="zh-CN"/>
              </w:rPr>
              <w:t>捏合机及</w:t>
            </w:r>
            <w:r>
              <w:rPr>
                <w:rFonts w:hint="default" w:ascii="Times New Roman" w:hAnsi="Times New Roman" w:eastAsia="宋体" w:cs="Times New Roman"/>
              </w:rPr>
              <w:t>空压机产生的噪声，源强在 75~85dB(A)左右，通过厂房隔音及降噪措施并进行合理布局，确保厂界噪声达到《工业企业厂界环境噪声排放标准》（GB12348-2008）3类标准。</w:t>
            </w:r>
          </w:p>
          <w:p>
            <w:pPr>
              <w:ind w:firstLine="482" w:firstLineChars="200"/>
              <w:rPr>
                <w:rFonts w:hint="default" w:ascii="Times New Roman" w:hAnsi="Times New Roman" w:eastAsia="宋体" w:cs="Times New Roman"/>
                <w:b/>
                <w:bCs/>
              </w:rPr>
            </w:pPr>
            <w:r>
              <w:rPr>
                <w:rFonts w:hint="default" w:ascii="Times New Roman" w:hAnsi="Times New Roman" w:eastAsia="宋体" w:cs="Times New Roman"/>
                <w:b/>
                <w:bCs/>
              </w:rPr>
              <w:t>4、固体废弃物影响分析</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项目固废处置本着</w:t>
            </w:r>
            <w:r>
              <w:rPr>
                <w:rFonts w:hint="default" w:ascii="Times New Roman" w:hAnsi="Times New Roman" w:eastAsia="宋体" w:cs="Times New Roman"/>
                <w:lang w:eastAsia="zh-CN"/>
              </w:rPr>
              <w:t>“</w:t>
            </w:r>
            <w:r>
              <w:rPr>
                <w:rFonts w:hint="default" w:ascii="Times New Roman" w:hAnsi="Times New Roman" w:eastAsia="宋体" w:cs="Times New Roman"/>
              </w:rPr>
              <w:t>资源化、减量化和无害化</w:t>
            </w:r>
            <w:r>
              <w:rPr>
                <w:rFonts w:hint="default" w:ascii="Times New Roman" w:hAnsi="Times New Roman" w:eastAsia="宋体" w:cs="Times New Roman"/>
                <w:lang w:eastAsia="zh-CN"/>
              </w:rPr>
              <w:t>”</w:t>
            </w:r>
            <w:r>
              <w:rPr>
                <w:rFonts w:hint="default" w:ascii="Times New Roman" w:hAnsi="Times New Roman" w:eastAsia="宋体" w:cs="Times New Roman"/>
              </w:rPr>
              <w:t>的原则，具体见表7-</w:t>
            </w:r>
            <w:r>
              <w:rPr>
                <w:rFonts w:hint="eastAsia" w:cs="Times New Roman"/>
                <w:lang w:val="en-US" w:eastAsia="zh-CN"/>
              </w:rPr>
              <w:t>8</w:t>
            </w:r>
            <w:r>
              <w:rPr>
                <w:rFonts w:hint="default" w:ascii="Times New Roman" w:hAnsi="Times New Roman" w:eastAsia="宋体" w:cs="Times New Roman"/>
              </w:rPr>
              <w:t>、7-</w:t>
            </w:r>
            <w:r>
              <w:rPr>
                <w:rFonts w:hint="eastAsia" w:cs="Times New Roman"/>
                <w:lang w:val="en-US" w:eastAsia="zh-CN"/>
              </w:rPr>
              <w:t>9</w:t>
            </w:r>
            <w:r>
              <w:rPr>
                <w:rFonts w:hint="default" w:ascii="Times New Roman" w:hAnsi="Times New Roman" w:eastAsia="宋体" w:cs="Times New Roman"/>
              </w:rPr>
              <w:t>。</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8</w:t>
            </w:r>
            <w:r>
              <w:rPr>
                <w:rFonts w:hint="default" w:ascii="Times New Roman" w:hAnsi="Times New Roman" w:eastAsia="宋体" w:cs="Times New Roman"/>
                <w:b/>
                <w:bCs/>
                <w:sz w:val="21"/>
                <w:szCs w:val="21"/>
              </w:rPr>
              <w:t>建设项目危险废物贮存场所（设施）基本情况表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3"/>
              <w:gridCol w:w="1593"/>
              <w:gridCol w:w="1114"/>
              <w:gridCol w:w="1434"/>
              <w:gridCol w:w="954"/>
              <w:gridCol w:w="638"/>
              <w:gridCol w:w="637"/>
              <w:gridCol w:w="956"/>
              <w:gridCol w:w="10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53"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贮存场所名称</w:t>
                  </w:r>
                </w:p>
              </w:tc>
              <w:tc>
                <w:tcPr>
                  <w:tcW w:w="1593"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危险废物名称</w:t>
                  </w:r>
                </w:p>
              </w:tc>
              <w:tc>
                <w:tcPr>
                  <w:tcW w:w="1114"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危险废物类别</w:t>
                  </w:r>
                </w:p>
              </w:tc>
              <w:tc>
                <w:tcPr>
                  <w:tcW w:w="1434"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危险废物代号</w:t>
                  </w:r>
                </w:p>
              </w:tc>
              <w:tc>
                <w:tcPr>
                  <w:tcW w:w="954"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位置</w:t>
                  </w:r>
                </w:p>
              </w:tc>
              <w:tc>
                <w:tcPr>
                  <w:tcW w:w="638"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占地面积</w:t>
                  </w:r>
                </w:p>
              </w:tc>
              <w:tc>
                <w:tcPr>
                  <w:tcW w:w="637"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贮存方式</w:t>
                  </w:r>
                </w:p>
              </w:tc>
              <w:tc>
                <w:tcPr>
                  <w:tcW w:w="956"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w:t>
                  </w:r>
                </w:p>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w:t>
                  </w:r>
                </w:p>
              </w:tc>
              <w:tc>
                <w:tcPr>
                  <w:tcW w:w="1043"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3"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w:t>
                  </w:r>
                </w:p>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贮存间</w:t>
                  </w:r>
                </w:p>
              </w:tc>
              <w:tc>
                <w:tcPr>
                  <w:tcW w:w="1593" w:type="dxa"/>
                  <w:tcBorders>
                    <w:top w:val="single" w:color="auto" w:sz="12" w:space="0"/>
                    <w:bottom w:val="single" w:color="auto" w:sz="4" w:space="0"/>
                  </w:tcBorders>
                  <w:noWrap w:val="0"/>
                  <w:vAlign w:val="center"/>
                </w:tcPr>
                <w:p>
                  <w:pPr>
                    <w:snapToGrid w:val="0"/>
                    <w:spacing w:line="240" w:lineRule="auto"/>
                    <w:jc w:val="center"/>
                    <w:rPr>
                      <w:rFonts w:hint="default" w:ascii="Times New Roman" w:hAnsi="Times New Roman" w:eastAsia="宋体" w:cs="Times New Roman"/>
                      <w:kern w:val="0"/>
                      <w:sz w:val="21"/>
                      <w:szCs w:val="21"/>
                      <w:lang w:val="en-US" w:eastAsia="zh-CN" w:bidi="ar-SA"/>
                    </w:rPr>
                  </w:pPr>
                  <w:r>
                    <w:rPr>
                      <w:sz w:val="21"/>
                      <w:szCs w:val="21"/>
                    </w:rPr>
                    <w:t>废</w:t>
                  </w:r>
                  <w:r>
                    <w:rPr>
                      <w:rFonts w:hint="eastAsia"/>
                      <w:sz w:val="21"/>
                      <w:szCs w:val="21"/>
                      <w:lang w:val="en-US" w:eastAsia="zh-CN"/>
                    </w:rPr>
                    <w:t>活性炭</w:t>
                  </w:r>
                </w:p>
              </w:tc>
              <w:tc>
                <w:tcPr>
                  <w:tcW w:w="1114" w:type="dxa"/>
                  <w:tcBorders>
                    <w:top w:val="single" w:color="auto" w:sz="12" w:space="0"/>
                    <w:bottom w:val="single" w:color="auto" w:sz="4" w:space="0"/>
                  </w:tcBorders>
                  <w:noWrap w:val="0"/>
                  <w:vAlign w:val="center"/>
                </w:tcPr>
                <w:p>
                  <w:pPr>
                    <w:snapToGrid w:val="0"/>
                    <w:spacing w:line="240" w:lineRule="auto"/>
                    <w:jc w:val="center"/>
                    <w:rPr>
                      <w:rFonts w:hint="default" w:ascii="Times New Roman" w:hAnsi="Times New Roman" w:eastAsia="宋体" w:cs="Times New Roman"/>
                      <w:kern w:val="0"/>
                      <w:sz w:val="21"/>
                      <w:szCs w:val="21"/>
                      <w:lang w:val="en-US" w:eastAsia="zh-CN" w:bidi="ar-SA"/>
                    </w:rPr>
                  </w:pPr>
                  <w:r>
                    <w:rPr>
                      <w:sz w:val="21"/>
                      <w:szCs w:val="21"/>
                    </w:rPr>
                    <w:t>HW49</w:t>
                  </w:r>
                </w:p>
              </w:tc>
              <w:tc>
                <w:tcPr>
                  <w:tcW w:w="1434"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kern w:val="0"/>
                      <w:sz w:val="21"/>
                      <w:szCs w:val="21"/>
                      <w:lang w:val="en-US" w:eastAsia="zh-CN" w:bidi="ar-SA"/>
                    </w:rPr>
                  </w:pPr>
                  <w:r>
                    <w:rPr>
                      <w:sz w:val="21"/>
                      <w:szCs w:val="21"/>
                    </w:rPr>
                    <w:t>900-041-49</w:t>
                  </w:r>
                </w:p>
              </w:tc>
              <w:tc>
                <w:tcPr>
                  <w:tcW w:w="954"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危废车间</w:t>
                  </w:r>
                </w:p>
              </w:tc>
              <w:tc>
                <w:tcPr>
                  <w:tcW w:w="638"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637"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袋装</w:t>
                  </w:r>
                </w:p>
              </w:tc>
              <w:tc>
                <w:tcPr>
                  <w:tcW w:w="956" w:type="dxa"/>
                  <w:tcBorders>
                    <w:top w:val="single" w:color="auto" w:sz="12" w:space="0"/>
                  </w:tcBorders>
                  <w:noWrap w:val="0"/>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t</w:t>
                  </w:r>
                </w:p>
              </w:tc>
              <w:tc>
                <w:tcPr>
                  <w:tcW w:w="1043" w:type="dxa"/>
                  <w:tcBorders>
                    <w:top w:val="single" w:color="auto" w:sz="12" w:space="0"/>
                  </w:tcBorders>
                  <w:noWrap w:val="0"/>
                  <w:vAlign w:val="center"/>
                </w:tcPr>
                <w:p>
                  <w:pPr>
                    <w:snapToGrid w:val="0"/>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一季</w:t>
                  </w:r>
                </w:p>
              </w:tc>
            </w:tr>
          </w:tbl>
          <w:p>
            <w:pPr>
              <w:spacing w:before="156" w:beforeLines="50"/>
              <w:jc w:val="center"/>
              <w:rPr>
                <w:rFonts w:hint="default" w:ascii="Times New Roman" w:hAnsi="Times New Roman" w:eastAsia="宋体" w:cs="Times New Roman"/>
              </w:rPr>
            </w:pPr>
            <w:r>
              <w:rPr>
                <w:rFonts w:hint="default" w:ascii="Times New Roman" w:hAnsi="Times New Roman" w:eastAsia="宋体" w:cs="Times New Roman"/>
                <w:b/>
                <w:bCs/>
                <w:sz w:val="21"/>
                <w:szCs w:val="21"/>
              </w:rPr>
              <w:t>表7-</w:t>
            </w:r>
            <w:r>
              <w:rPr>
                <w:rFonts w:hint="eastAsia" w:ascii="Times New Roman" w:hAnsi="Times New Roman" w:eastAsia="宋体" w:cs="Times New Roman"/>
                <w:b/>
                <w:bCs/>
                <w:sz w:val="21"/>
                <w:szCs w:val="21"/>
                <w:lang w:val="en-US" w:eastAsia="zh-CN"/>
              </w:rPr>
              <w:t>9</w:t>
            </w:r>
            <w:r>
              <w:rPr>
                <w:rFonts w:hint="default" w:ascii="Times New Roman" w:hAnsi="Times New Roman" w:eastAsia="宋体" w:cs="Times New Roman"/>
                <w:b/>
                <w:bCs/>
                <w:sz w:val="21"/>
                <w:szCs w:val="21"/>
              </w:rPr>
              <w:t>建设项目固体废物利用处置方式评价表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2"/>
              <w:gridCol w:w="1041"/>
              <w:gridCol w:w="1119"/>
              <w:gridCol w:w="1050"/>
              <w:gridCol w:w="682"/>
              <w:gridCol w:w="845"/>
              <w:gridCol w:w="1173"/>
              <w:gridCol w:w="965"/>
              <w:gridCol w:w="948"/>
              <w:gridCol w:w="11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492"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041"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固废名称</w:t>
                  </w:r>
                </w:p>
              </w:tc>
              <w:tc>
                <w:tcPr>
                  <w:tcW w:w="1119"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属性</w:t>
                  </w:r>
                </w:p>
              </w:tc>
              <w:tc>
                <w:tcPr>
                  <w:tcW w:w="1050"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产生工序</w:t>
                  </w:r>
                </w:p>
              </w:tc>
              <w:tc>
                <w:tcPr>
                  <w:tcW w:w="682"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形态</w:t>
                  </w:r>
                </w:p>
              </w:tc>
              <w:tc>
                <w:tcPr>
                  <w:tcW w:w="845"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分类编号</w:t>
                  </w:r>
                </w:p>
              </w:tc>
              <w:tc>
                <w:tcPr>
                  <w:tcW w:w="1173"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废物代码</w:t>
                  </w:r>
                </w:p>
              </w:tc>
              <w:tc>
                <w:tcPr>
                  <w:tcW w:w="965"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估算产生量t/a</w:t>
                  </w:r>
                </w:p>
              </w:tc>
              <w:tc>
                <w:tcPr>
                  <w:tcW w:w="948"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利用处理方式</w:t>
                  </w:r>
                </w:p>
              </w:tc>
              <w:tc>
                <w:tcPr>
                  <w:tcW w:w="1107" w:type="dxa"/>
                  <w:tcBorders>
                    <w:top w:val="single" w:color="auto" w:sz="12" w:space="0"/>
                    <w:bottom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利用处置单位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492"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41"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不合格品</w:t>
                  </w:r>
                </w:p>
              </w:tc>
              <w:tc>
                <w:tcPr>
                  <w:tcW w:w="1119" w:type="dxa"/>
                  <w:vMerge w:val="restart"/>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w:t>
                  </w:r>
                </w:p>
              </w:tc>
              <w:tc>
                <w:tcPr>
                  <w:tcW w:w="1050"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检验</w:t>
                  </w:r>
                </w:p>
              </w:tc>
              <w:tc>
                <w:tcPr>
                  <w:tcW w:w="682"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tcBorders>
                    <w:top w:val="single" w:color="auto" w:sz="12" w:space="0"/>
                  </w:tcBorders>
                  <w:noWrap w:val="0"/>
                  <w:vAlign w:val="center"/>
                </w:tcPr>
                <w:p>
                  <w:pPr>
                    <w:topLinePunct/>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73"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65" w:type="dxa"/>
                  <w:tcBorders>
                    <w:top w:val="single" w:color="auto" w:sz="12" w:space="0"/>
                  </w:tcBorders>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c>
                <w:tcPr>
                  <w:tcW w:w="948"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w:t>
                  </w:r>
                </w:p>
              </w:tc>
              <w:tc>
                <w:tcPr>
                  <w:tcW w:w="1107" w:type="dxa"/>
                  <w:tcBorders>
                    <w:top w:val="single" w:color="auto" w:sz="12" w:space="0"/>
                  </w:tcBorders>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外售利用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492"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41"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废包装</w:t>
                  </w:r>
                </w:p>
              </w:tc>
              <w:tc>
                <w:tcPr>
                  <w:tcW w:w="1119" w:type="dxa"/>
                  <w:vMerge w:val="continue"/>
                  <w:noWrap w:val="0"/>
                  <w:vAlign w:val="center"/>
                </w:tcPr>
                <w:p>
                  <w:pPr>
                    <w:snapToGrid w:val="0"/>
                    <w:spacing w:line="240" w:lineRule="auto"/>
                    <w:jc w:val="center"/>
                    <w:rPr>
                      <w:rFonts w:hint="default" w:ascii="Times New Roman" w:hAnsi="Times New Roman" w:eastAsia="宋体" w:cs="Times New Roman"/>
                      <w:sz w:val="21"/>
                      <w:szCs w:val="21"/>
                    </w:rPr>
                  </w:pPr>
                </w:p>
              </w:tc>
              <w:tc>
                <w:tcPr>
                  <w:tcW w:w="1050"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入库</w:t>
                  </w:r>
                </w:p>
              </w:tc>
              <w:tc>
                <w:tcPr>
                  <w:tcW w:w="682"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noWrap w:val="0"/>
                  <w:vAlign w:val="center"/>
                </w:tcPr>
                <w:p>
                  <w:pPr>
                    <w:topLinePunct/>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73"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65"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948"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利用</w:t>
                  </w:r>
                </w:p>
              </w:tc>
              <w:tc>
                <w:tcPr>
                  <w:tcW w:w="1107"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供应商回收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492"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1041"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布袋收尘</w:t>
                  </w:r>
                </w:p>
              </w:tc>
              <w:tc>
                <w:tcPr>
                  <w:tcW w:w="1119" w:type="dxa"/>
                  <w:vMerge w:val="continue"/>
                  <w:noWrap w:val="0"/>
                  <w:vAlign w:val="center"/>
                </w:tcPr>
                <w:p>
                  <w:pPr>
                    <w:snapToGrid w:val="0"/>
                    <w:spacing w:line="240" w:lineRule="auto"/>
                    <w:jc w:val="center"/>
                    <w:rPr>
                      <w:rFonts w:hint="default" w:ascii="Times New Roman" w:hAnsi="Times New Roman" w:eastAsia="宋体" w:cs="Times New Roman"/>
                      <w:sz w:val="21"/>
                      <w:szCs w:val="21"/>
                    </w:rPr>
                  </w:pPr>
                </w:p>
              </w:tc>
              <w:tc>
                <w:tcPr>
                  <w:tcW w:w="1050"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废气处理</w:t>
                  </w:r>
                </w:p>
              </w:tc>
              <w:tc>
                <w:tcPr>
                  <w:tcW w:w="682"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固态</w:t>
                  </w:r>
                </w:p>
              </w:tc>
              <w:tc>
                <w:tcPr>
                  <w:tcW w:w="845" w:type="dxa"/>
                  <w:noWrap w:val="0"/>
                  <w:vAlign w:val="center"/>
                </w:tcPr>
                <w:p>
                  <w:pPr>
                    <w:topLinePunct/>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p>
              </w:tc>
              <w:tc>
                <w:tcPr>
                  <w:tcW w:w="1173"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p>
              </w:tc>
              <w:tc>
                <w:tcPr>
                  <w:tcW w:w="965"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0.2673</w:t>
                  </w:r>
                </w:p>
              </w:tc>
              <w:tc>
                <w:tcPr>
                  <w:tcW w:w="948" w:type="dxa"/>
                  <w:noWrap w:val="0"/>
                  <w:vAlign w:val="center"/>
                </w:tcPr>
                <w:p>
                  <w:pPr>
                    <w:snapToGrid w:val="0"/>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利用</w:t>
                  </w:r>
                </w:p>
              </w:tc>
              <w:tc>
                <w:tcPr>
                  <w:tcW w:w="1107" w:type="dxa"/>
                  <w:noWrap w:val="0"/>
                  <w:vAlign w:val="center"/>
                </w:tcPr>
                <w:p>
                  <w:pPr>
                    <w:snapToGrid w:val="0"/>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本厂回用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492"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1041" w:type="dxa"/>
                  <w:noWrap w:val="0"/>
                  <w:vAlign w:val="center"/>
                </w:tcPr>
                <w:p>
                  <w:pPr>
                    <w:snapToGrid w:val="0"/>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废活性炭</w:t>
                  </w:r>
                </w:p>
              </w:tc>
              <w:tc>
                <w:tcPr>
                  <w:tcW w:w="1119"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050" w:type="dxa"/>
                  <w:noWrap w:val="0"/>
                  <w:vAlign w:val="center"/>
                </w:tcPr>
                <w:p>
                  <w:pPr>
                    <w:snapToGrid w:val="0"/>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废气处理</w:t>
                  </w:r>
                </w:p>
              </w:tc>
              <w:tc>
                <w:tcPr>
                  <w:tcW w:w="682"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845"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HW49</w:t>
                  </w:r>
                </w:p>
              </w:tc>
              <w:tc>
                <w:tcPr>
                  <w:tcW w:w="1173"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900-041-49</w:t>
                  </w:r>
                </w:p>
              </w:tc>
              <w:tc>
                <w:tcPr>
                  <w:tcW w:w="965" w:type="dxa"/>
                  <w:noWrap w:val="0"/>
                  <w:vAlign w:val="center"/>
                </w:tcPr>
                <w:p>
                  <w:pPr>
                    <w:widowControl/>
                    <w:spacing w:line="240" w:lineRule="auto"/>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1</w:t>
                  </w:r>
                </w:p>
              </w:tc>
              <w:tc>
                <w:tcPr>
                  <w:tcW w:w="948"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w:t>
                  </w:r>
                </w:p>
              </w:tc>
              <w:tc>
                <w:tcPr>
                  <w:tcW w:w="1107" w:type="dxa"/>
                  <w:vMerge w:val="restart"/>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委托</w:t>
                  </w:r>
                  <w:r>
                    <w:rPr>
                      <w:rFonts w:hint="default" w:ascii="Times New Roman" w:hAnsi="Times New Roman" w:eastAsia="宋体" w:cs="Times New Roman"/>
                      <w:sz w:val="21"/>
                      <w:szCs w:val="21"/>
                    </w:rPr>
                    <w:t>有资质单位处理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492" w:type="dxa"/>
                  <w:noWrap w:val="0"/>
                  <w:vAlign w:val="center"/>
                </w:tcPr>
                <w:p>
                  <w:pPr>
                    <w:snapToGrid w:val="0"/>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5</w:t>
                  </w:r>
                </w:p>
              </w:tc>
              <w:tc>
                <w:tcPr>
                  <w:tcW w:w="1041"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119"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一般废物</w:t>
                  </w:r>
                </w:p>
              </w:tc>
              <w:tc>
                <w:tcPr>
                  <w:tcW w:w="1050"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w:t>
                  </w:r>
                </w:p>
              </w:tc>
              <w:tc>
                <w:tcPr>
                  <w:tcW w:w="682"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固态</w:t>
                  </w:r>
                </w:p>
              </w:tc>
              <w:tc>
                <w:tcPr>
                  <w:tcW w:w="845"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73"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65" w:type="dxa"/>
                  <w:noWrap w:val="0"/>
                  <w:vAlign w:val="center"/>
                </w:tcPr>
                <w:p>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948" w:type="dxa"/>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处置</w:t>
                  </w:r>
                </w:p>
              </w:tc>
              <w:tc>
                <w:tcPr>
                  <w:tcW w:w="1107" w:type="dxa"/>
                  <w:vMerge w:val="continue"/>
                  <w:noWrap w:val="0"/>
                  <w:vAlign w:val="center"/>
                </w:tcPr>
                <w:p>
                  <w:pPr>
                    <w:snapToGrid w:val="0"/>
                    <w:spacing w:line="240" w:lineRule="auto"/>
                    <w:jc w:val="center"/>
                    <w:rPr>
                      <w:rFonts w:hint="default" w:ascii="Times New Roman" w:hAnsi="Times New Roman" w:eastAsia="宋体" w:cs="Times New Roman"/>
                      <w:sz w:val="21"/>
                      <w:szCs w:val="21"/>
                    </w:rPr>
                  </w:pPr>
                </w:p>
              </w:tc>
            </w:tr>
          </w:tbl>
          <w:p>
            <w:pPr>
              <w:tabs>
                <w:tab w:val="left" w:pos="7200"/>
              </w:tabs>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本项目设置的危废贮存场所严格按照《危险废物贮存污染控制标准》（GB 18597-2001）及修改公告的要求设置，危险废物的收集、运输应按照《危险废物收集贮存运输技术规范》（HJ2025-2012）的要求进行，按《环境保护图形标志—固体废物贮存（处置）场》（GB15562.2-1995）设置环境保护图形标志。 </w:t>
            </w:r>
          </w:p>
          <w:p>
            <w:pPr>
              <w:tabs>
                <w:tab w:val="left" w:pos="7200"/>
              </w:tabs>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固废的收集：危险废物按照要求置于指定的存放桶（袋）统一送危废暂存间存放。生活垃圾按照环卫部门要求，在办公区、休息区等生活场所设置垃圾收集桶，并由清洁工人定期清理到生活垃圾箱以备环卫部门进行处理。</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固废的贮存：危废暂存间设置符合《危险废物贮存污染控制标准》（GB18597-2001）的专用标志。危险废物使用专用的容器贮存后放置在危废储存间。危险废物暂存区要求如下： a、在常温常压下不水解、不挥发的固体危险废物可在贮存设施内分别堆放。 b、各贮存容器有明显标志，并且按实际情况标明各废物的特性。 c、危废储存间有集排水和防渗漏防腐设施并符合消防要求。 d、贮存场所内将采用安全照明设施，并设置观察窗口。 e、装载液体、半固体危险废物的容器内须留足够空间。 f、必须有泄漏液体收集装置、气体导出口及气体净化装置。 g、用以存放装载液体、半固体危险废物容器的地方，必须有耐腐蚀的硬化地面，且表面无裂隙。 h、基础必须防渗，危险废物堆要防风、防雨、防晒。建设单位计划建设10m</w:t>
            </w:r>
            <w:r>
              <w:rPr>
                <w:rFonts w:hint="default" w:ascii="Times New Roman" w:hAnsi="Times New Roman" w:eastAsia="宋体" w:cs="Times New Roman"/>
                <w:vertAlign w:val="superscript"/>
              </w:rPr>
              <w:t>2</w:t>
            </w:r>
            <w:r>
              <w:rPr>
                <w:rFonts w:hint="default" w:ascii="Times New Roman" w:hAnsi="Times New Roman" w:eastAsia="宋体" w:cs="Times New Roman"/>
              </w:rPr>
              <w:t xml:space="preserve">危废暂存间，危险固废均妥善暂存在暂存间的废液桶和收集袋中，并且定期委托有危险废物处理资质单位处置。因此，项目危废暂存间贮存能力满足需求。对于非危险废物范畴的废物放置在一般固废储存间。对于生活垃圾每天倒入新区设置的垃圾箱，并由城市环卫部门每天定时清理。 </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固废的运输：在危险废物的清运过程中，建设单位应做好密闭措施，防止固废抛洒遗漏而导致污染物扩散，保证在运输过程中无抛、洒、滴、漏现象发生。危险废物由危废运输单位委托有资质的运输公司运输，运输车辆在醒目处标有特殊标志，告知公众为危险品运输车辆。运输、搬运过程采取专人专车并做到轻拿轻放，保证货物不倾泻、翻出。</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 xml:space="preserve">各类固废按其性质、种类分类收集、贮存，一般工业固体废物执行《一般工业固体废物贮存、处置场污染控制标准》 （GB18599-2001），危险废物执行《危险废物贮存污染控制标准》（GB18597-2001）和《危险废物转移联单管理办法》； </w:t>
            </w:r>
          </w:p>
          <w:p>
            <w:pPr>
              <w:ind w:firstLine="480" w:firstLineChars="200"/>
              <w:rPr>
                <w:rFonts w:hint="default" w:ascii="Times New Roman" w:hAnsi="Times New Roman" w:eastAsia="宋体" w:cs="Times New Roman"/>
              </w:rPr>
            </w:pPr>
            <w:r>
              <w:rPr>
                <w:rFonts w:hint="default" w:ascii="Times New Roman" w:hAnsi="Times New Roman" w:eastAsia="宋体" w:cs="Times New Roman"/>
              </w:rPr>
              <w:t>经上述分析可知，项目各类废物分类收集、分别存放，均得到了妥善的处理或处置，不会对周围环境产生二次污染。</w:t>
            </w:r>
          </w:p>
          <w:p>
            <w:pPr>
              <w:tabs>
                <w:tab w:val="left" w:pos="7200"/>
              </w:tabs>
              <w:ind w:firstLine="472" w:firstLineChars="196"/>
              <w:jc w:val="left"/>
              <w:rPr>
                <w:rFonts w:hint="default" w:ascii="Times New Roman" w:hAnsi="Times New Roman" w:eastAsia="宋体" w:cs="Times New Roman"/>
                <w:b/>
                <w:bCs/>
              </w:rPr>
            </w:pPr>
            <w:r>
              <w:rPr>
                <w:rFonts w:hint="default" w:ascii="Times New Roman" w:hAnsi="Times New Roman" w:eastAsia="宋体" w:cs="Times New Roman"/>
                <w:b/>
                <w:bCs/>
              </w:rPr>
              <w:t>5、环境风险防范措施</w:t>
            </w:r>
          </w:p>
          <w:p>
            <w:pPr>
              <w:tabs>
                <w:tab w:val="left" w:pos="7200"/>
              </w:tabs>
              <w:ind w:firstLine="48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（1）风险调查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cs="Times New Roman"/>
                <w:lang w:val="en-US" w:eastAsia="zh-CN"/>
              </w:rPr>
            </w:pPr>
            <w:r>
              <w:rPr>
                <w:rFonts w:hint="default" w:ascii="Times New Roman" w:hAnsi="Times New Roman" w:eastAsia="宋体" w:cs="Times New Roman"/>
                <w:lang w:val="en-US" w:eastAsia="zh-CN"/>
              </w:rPr>
              <w:t>建设项目风险源调查主要包括调查建设项目危险物质数量和分布情况、生产工艺特点，收集危险物质安全技术说明书（MSDS）等基础资料。根据《建设项目环境风险评价技术导则》（HJ169-2018）中附录 B 表 B.1，确定本项目</w:t>
            </w:r>
            <w:r>
              <w:rPr>
                <w:rFonts w:hint="eastAsia" w:cs="Times New Roman"/>
                <w:lang w:val="en-US" w:eastAsia="zh-CN"/>
              </w:rPr>
              <w:t>不涉及风险物质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2）风险潜势初判</w:t>
            </w:r>
          </w:p>
          <w:p>
            <w:pPr>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析建设项目生产、使用、储存过程中涉及的有毒有害、易燃易爆物质，根据危险物质的临界量，定量分析危险物质数量与临界量的比值（Q）和所属行业及生产工艺特点（M），对危险物质及工艺系统危险性（P）等级进行判断。当只涉及一种危险物质时，计算该物质的总量与其临界量比值，即为 Q； 当存在多种危险物质时，则按下列公示计算物质总量与其临界量比（Q）：</w:t>
            </w:r>
          </w:p>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Cs w:val="21"/>
              </w:rPr>
              <w:drawing>
                <wp:inline distT="0" distB="0" distL="114300" distR="114300">
                  <wp:extent cx="3208020" cy="647700"/>
                  <wp:effectExtent l="0" t="0" r="11430" b="0"/>
                  <wp:docPr id="7" name="图片 7" descr="C:\Users\lenovo\AppData\Local\DOCUME~1\ADMINI~1\LOCALS~1\Temp\ksohtml\wps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Local\DOCUME~1\ADMINI~1\LOCALS~1\Temp\ksohtml\wps35.tmp.png"/>
                          <pic:cNvPicPr>
                            <a:picLocks noChangeAspect="1"/>
                          </pic:cNvPicPr>
                        </pic:nvPicPr>
                        <pic:blipFill>
                          <a:blip r:embed="rId21"/>
                          <a:stretch>
                            <a:fillRect/>
                          </a:stretch>
                        </pic:blipFill>
                        <pic:spPr>
                          <a:xfrm>
                            <a:off x="0" y="0"/>
                            <a:ext cx="3208020" cy="647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w:t>
            </w:r>
            <w:r>
              <w:rPr>
                <w:rFonts w:hint="default" w:ascii="Times New Roman" w:hAnsi="Times New Roman" w:eastAsia="宋体" w:cs="Times New Roman"/>
                <w:color w:val="auto"/>
                <w:sz w:val="24"/>
                <w:szCs w:val="24"/>
                <w:vertAlign w:val="subscript"/>
              </w:rPr>
              <w:t>1</w:t>
            </w:r>
            <w:r>
              <w:rPr>
                <w:rFonts w:hint="default" w:ascii="Times New Roman" w:hAnsi="Times New Roman" w:eastAsia="宋体" w:cs="Times New Roman"/>
                <w:color w:val="auto"/>
                <w:sz w:val="24"/>
                <w:szCs w:val="24"/>
              </w:rPr>
              <w:t>, q</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 ..., 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——每种环境风险物质的最大存在总量，t；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Q</w:t>
            </w:r>
            <w:r>
              <w:rPr>
                <w:rFonts w:hint="default" w:ascii="Times New Roman" w:hAnsi="Times New Roman" w:eastAsia="宋体" w:cs="Times New Roman"/>
                <w:color w:val="auto"/>
                <w:sz w:val="24"/>
                <w:szCs w:val="24"/>
                <w:vertAlign w:val="subscript"/>
              </w:rPr>
              <w:t>1</w:t>
            </w:r>
            <w:r>
              <w:rPr>
                <w:rFonts w:hint="default" w:ascii="Times New Roman" w:hAnsi="Times New Roman" w:eastAsia="宋体" w:cs="Times New Roman"/>
                <w:color w:val="auto"/>
                <w:sz w:val="24"/>
                <w:szCs w:val="24"/>
              </w:rPr>
              <w:t>, Q</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 ..., 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——每种环境风险物质的临界量，t。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Q＜1 时，该项目环境风险潜势为Ⅰ。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 Q≥1 时，将 Q 值划分为：（1）1≤Q＜10；（2）10≤Q＜100；（3）Q≥100。</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4"/>
                <w:szCs w:val="24"/>
              </w:rPr>
              <w:t>根据《建设项目环境风险评价技术导则》（HJ169-2018）附录 B 表 B.1 以及表 B.2的危险物质临界量，本项目危险物质总量与其临界量比值 Q 计算结果</w:t>
            </w:r>
            <w:r>
              <w:rPr>
                <w:rFonts w:hint="eastAsia" w:cs="Times New Roman"/>
                <w:color w:val="auto"/>
                <w:sz w:val="24"/>
                <w:szCs w:val="24"/>
                <w:lang w:val="en-US" w:eastAsia="zh-CN"/>
              </w:rPr>
              <w:t>为0</w:t>
            </w:r>
            <w:r>
              <w:rPr>
                <w:rFonts w:hint="default" w:ascii="Times New Roman" w:hAnsi="Times New Roman" w:eastAsia="宋体" w:cs="Times New Roman"/>
                <w:color w:val="auto"/>
                <w:sz w:val="24"/>
                <w:szCs w:val="24"/>
              </w:rPr>
              <w:t>：</w:t>
            </w:r>
          </w:p>
          <w:p>
            <w:pPr>
              <w:tabs>
                <w:tab w:val="left" w:pos="7200"/>
              </w:tabs>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因此，本项目环境风险潜势为Ⅰ。</w:t>
            </w:r>
          </w:p>
          <w:p>
            <w:pPr>
              <w:tabs>
                <w:tab w:val="left" w:pos="7200"/>
              </w:tabs>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（3）评价等级</w:t>
            </w:r>
          </w:p>
          <w:p>
            <w:pPr>
              <w:pStyle w:val="2"/>
              <w:ind w:left="0" w:leftChars="0" w:firstLine="480" w:firstLineChars="200"/>
              <w:rPr>
                <w:rFonts w:hint="default" w:ascii="Times New Roman" w:hAnsi="Times New Roman" w:eastAsia="宋体" w:cs="Times New Roman"/>
              </w:rPr>
            </w:pPr>
            <w:r>
              <w:rPr>
                <w:rFonts w:hint="default" w:ascii="Times New Roman" w:hAnsi="Times New Roman" w:eastAsia="宋体" w:cs="Times New Roman"/>
              </w:rPr>
              <w:t>按照《建设项目环境风险评价技术导则》（HJ169-2018）表 7-22 确定评价工作等级。</w:t>
            </w:r>
          </w:p>
          <w:p>
            <w:pPr>
              <w:pStyle w:val="2"/>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w:t>
            </w:r>
            <w:r>
              <w:rPr>
                <w:rFonts w:hint="default" w:ascii="Times New Roman" w:hAnsi="Times New Roman" w:eastAsia="宋体" w:cs="Times New Roman"/>
                <w:b/>
                <w:bCs/>
                <w:sz w:val="21"/>
                <w:szCs w:val="21"/>
                <w:lang w:val="en-US" w:eastAsia="zh-CN"/>
              </w:rPr>
              <w:t>15</w:t>
            </w:r>
            <w:r>
              <w:rPr>
                <w:rFonts w:hint="default" w:ascii="Times New Roman" w:hAnsi="Times New Roman" w:eastAsia="宋体" w:cs="Times New Roman"/>
                <w:b/>
                <w:bCs/>
                <w:sz w:val="21"/>
                <w:szCs w:val="21"/>
              </w:rPr>
              <w:t>评价工作等级划分</w:t>
            </w:r>
          </w:p>
          <w:tbl>
            <w:tblPr>
              <w:tblStyle w:val="27"/>
              <w:tblW w:w="942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1884"/>
              <w:gridCol w:w="1884"/>
              <w:gridCol w:w="1885"/>
              <w:gridCol w:w="18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4" w:type="dxa"/>
                  <w:noWrap w:val="0"/>
                  <w:vAlign w:val="top"/>
                </w:tcPr>
                <w:p>
                  <w:pPr>
                    <w:spacing w:line="240" w:lineRule="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环境风险潜势</w:t>
                  </w:r>
                </w:p>
              </w:tc>
              <w:tc>
                <w:tcPr>
                  <w:tcW w:w="1884" w:type="dxa"/>
                  <w:noWrap w:val="0"/>
                  <w:vAlign w:val="top"/>
                </w:tcPr>
                <w:p>
                  <w:pPr>
                    <w:spacing w:line="24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Ⅳ、Ⅳ+</w:t>
                  </w:r>
                </w:p>
              </w:tc>
              <w:tc>
                <w:tcPr>
                  <w:tcW w:w="1884" w:type="dxa"/>
                  <w:noWrap w:val="0"/>
                  <w:vAlign w:val="top"/>
                </w:tcPr>
                <w:p>
                  <w:pPr>
                    <w:spacing w:line="24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Ⅲ</w:t>
                  </w:r>
                </w:p>
              </w:tc>
              <w:tc>
                <w:tcPr>
                  <w:tcW w:w="1885" w:type="dxa"/>
                  <w:noWrap w:val="0"/>
                  <w:vAlign w:val="top"/>
                </w:tcPr>
                <w:p>
                  <w:pPr>
                    <w:spacing w:line="24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Ⅱ</w:t>
                  </w:r>
                </w:p>
              </w:tc>
              <w:tc>
                <w:tcPr>
                  <w:tcW w:w="1885" w:type="dxa"/>
                  <w:noWrap w:val="0"/>
                  <w:vAlign w:val="top"/>
                </w:tcPr>
                <w:p>
                  <w:pPr>
                    <w:spacing w:line="24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4" w:type="dxa"/>
                  <w:noWrap w:val="0"/>
                  <w:vAlign w:val="top"/>
                </w:tcPr>
                <w:p>
                  <w:pPr>
                    <w:spacing w:line="240" w:lineRule="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评价工作等级</w:t>
                  </w:r>
                </w:p>
              </w:tc>
              <w:tc>
                <w:tcPr>
                  <w:tcW w:w="1884" w:type="dxa"/>
                  <w:noWrap w:val="0"/>
                  <w:vAlign w:val="top"/>
                </w:tcPr>
                <w:p>
                  <w:pPr>
                    <w:spacing w:line="240" w:lineRule="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w:t>
                  </w:r>
                </w:p>
              </w:tc>
              <w:tc>
                <w:tcPr>
                  <w:tcW w:w="1884" w:type="dxa"/>
                  <w:noWrap w:val="0"/>
                  <w:vAlign w:val="top"/>
                </w:tcPr>
                <w:p>
                  <w:pPr>
                    <w:spacing w:line="240" w:lineRule="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二</w:t>
                  </w:r>
                </w:p>
              </w:tc>
              <w:tc>
                <w:tcPr>
                  <w:tcW w:w="1885" w:type="dxa"/>
                  <w:noWrap w:val="0"/>
                  <w:vAlign w:val="top"/>
                </w:tcPr>
                <w:p>
                  <w:pPr>
                    <w:spacing w:line="240" w:lineRule="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三</w:t>
                  </w:r>
                </w:p>
              </w:tc>
              <w:tc>
                <w:tcPr>
                  <w:tcW w:w="1885" w:type="dxa"/>
                  <w:noWrap w:val="0"/>
                  <w:vAlign w:val="top"/>
                </w:tcPr>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简单分析</w:t>
                  </w:r>
                  <w:r>
                    <w:rPr>
                      <w:rFonts w:hint="default" w:ascii="Times New Roman" w:hAnsi="Times New Roman" w:eastAsia="宋体" w:cs="Times New Roman"/>
                      <w:sz w:val="21"/>
                      <w:szCs w:val="21"/>
                      <w:vertAlign w:val="baseline"/>
                      <w:lang w:val="en-US" w:eastAsia="zh-CN"/>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22" w:type="dxa"/>
                  <w:gridSpan w:val="5"/>
                  <w:noWrap w:val="0"/>
                  <w:vAlign w:val="top"/>
                </w:tcPr>
                <w:p>
                  <w:pPr>
                    <w:spacing w:line="24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a 是相对于详细评价工作内容而言，在描述危险物质、环境影响途径、环境危害后果、风险防范措施等方面给出定性的说明。见附录 A。</w:t>
                  </w:r>
                </w:p>
              </w:tc>
            </w:tr>
          </w:tbl>
          <w:p>
            <w:pPr>
              <w:ind w:firstLine="480" w:firstLineChars="200"/>
              <w:rPr>
                <w:rFonts w:hint="default" w:ascii="Times New Roman" w:hAnsi="Times New Roman" w:eastAsia="宋体" w:cs="Times New Roman"/>
              </w:rPr>
            </w:pPr>
            <w:r>
              <w:rPr>
                <w:rFonts w:hint="default" w:ascii="Times New Roman" w:hAnsi="Times New Roman" w:eastAsia="宋体" w:cs="Times New Roman"/>
              </w:rPr>
              <w:t>本项目环境风险潜势为Ⅰ，由表7-</w:t>
            </w:r>
            <w:r>
              <w:rPr>
                <w:rFonts w:hint="default" w:ascii="Times New Roman" w:hAnsi="Times New Roman" w:eastAsia="宋体" w:cs="Times New Roman"/>
                <w:lang w:val="en-US" w:eastAsia="zh-CN"/>
              </w:rPr>
              <w:t>15</w:t>
            </w:r>
            <w:r>
              <w:rPr>
                <w:rFonts w:hint="default" w:ascii="Times New Roman" w:hAnsi="Times New Roman" w:eastAsia="宋体" w:cs="Times New Roman"/>
              </w:rPr>
              <w:t>判定可知，本项目评价工作等级为简单分析。</w:t>
            </w:r>
          </w:p>
          <w:p>
            <w:pPr>
              <w:tabs>
                <w:tab w:val="left" w:pos="7200"/>
              </w:tabs>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风险识别范围：本次环境风险识别包括项目</w:t>
            </w:r>
            <w:r>
              <w:rPr>
                <w:rFonts w:hint="eastAsia" w:cs="Times New Roman"/>
                <w:lang w:val="en-US" w:eastAsia="zh-CN"/>
              </w:rPr>
              <w:t>挤塑等工艺</w:t>
            </w:r>
            <w:r>
              <w:rPr>
                <w:rFonts w:hint="default" w:ascii="Times New Roman" w:hAnsi="Times New Roman" w:eastAsia="宋体" w:cs="Times New Roman"/>
              </w:rPr>
              <w:t>风险识别和可能涉及的物质风险识别。</w:t>
            </w:r>
          </w:p>
          <w:p>
            <w:pPr>
              <w:tabs>
                <w:tab w:val="left" w:pos="7200"/>
              </w:tabs>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风险识别内容：可能存在事故风险如下：</w:t>
            </w:r>
            <w:r>
              <w:rPr>
                <w:rFonts w:hint="eastAsia" w:cs="Times New Roman"/>
                <w:lang w:val="en-US" w:eastAsia="zh-CN"/>
              </w:rPr>
              <w:t>线路老化发生火灾对周围大气造成影响</w:t>
            </w:r>
            <w:r>
              <w:rPr>
                <w:rFonts w:hint="default" w:ascii="Times New Roman" w:hAnsi="Times New Roman" w:eastAsia="宋体" w:cs="Times New Roman"/>
              </w:rPr>
              <w:t>，对周围大气环境风险影响不明显。</w:t>
            </w:r>
          </w:p>
          <w:p>
            <w:pPr>
              <w:ind w:firstLine="472" w:firstLineChars="196"/>
              <w:jc w:val="left"/>
              <w:rPr>
                <w:rFonts w:hint="default" w:ascii="Times New Roman" w:hAnsi="Times New Roman" w:eastAsia="宋体" w:cs="Times New Roman"/>
                <w:b/>
                <w:bCs/>
              </w:rPr>
            </w:pPr>
            <w:r>
              <w:rPr>
                <w:rFonts w:hint="default" w:ascii="Times New Roman" w:hAnsi="Times New Roman" w:eastAsia="宋体" w:cs="Times New Roman"/>
                <w:b/>
                <w:bCs/>
              </w:rPr>
              <w:t>6、环境监测和排污口规范化</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（1）大气污染源监测</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按《大气污染物综合排放标准》 GB16297-1996）表 2二级标准规定的监测分析方法对废气污染源进行日常例行监测，废气污染源监测点设置应满足GB/T 16157、HJ75 等技术规范的要求，排气筒设置检测孔，在排污口附近醒目处，设置环境保护图形标志牌。有关废气污染源监测项目及监测频次见表7-1</w:t>
            </w:r>
            <w:r>
              <w:rPr>
                <w:rFonts w:hint="eastAsia" w:cs="Times New Roman"/>
                <w:lang w:val="en-US" w:eastAsia="zh-CN"/>
              </w:rPr>
              <w:t>3</w:t>
            </w:r>
            <w:r>
              <w:rPr>
                <w:rFonts w:hint="default" w:ascii="Times New Roman" w:hAnsi="Times New Roman" w:eastAsia="宋体" w:cs="Times New Roman"/>
              </w:rPr>
              <w:t>。</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表7-1</w:t>
            </w: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废气污染源监测项目及频次</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82"/>
              <w:gridCol w:w="1349"/>
              <w:gridCol w:w="1815"/>
              <w:gridCol w:w="45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682" w:type="dxa"/>
                  <w:tcBorders>
                    <w:top w:val="single" w:color="auto" w:sz="12" w:space="0"/>
                    <w:bottom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监测点位置</w:t>
                  </w:r>
                </w:p>
              </w:tc>
              <w:tc>
                <w:tcPr>
                  <w:tcW w:w="1349" w:type="dxa"/>
                  <w:tcBorders>
                    <w:top w:val="single" w:color="auto" w:sz="12" w:space="0"/>
                    <w:bottom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监测项目</w:t>
                  </w:r>
                </w:p>
              </w:tc>
              <w:tc>
                <w:tcPr>
                  <w:tcW w:w="1815" w:type="dxa"/>
                  <w:tcBorders>
                    <w:top w:val="single" w:color="auto" w:sz="12" w:space="0"/>
                    <w:bottom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监测频次</w:t>
                  </w:r>
                </w:p>
              </w:tc>
              <w:tc>
                <w:tcPr>
                  <w:tcW w:w="4576" w:type="dxa"/>
                  <w:tcBorders>
                    <w:top w:val="single" w:color="auto" w:sz="12" w:space="0"/>
                    <w:bottom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执行排放标准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1682" w:type="dxa"/>
                  <w:tcBorders>
                    <w:top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排气筒</w:t>
                  </w:r>
                </w:p>
              </w:tc>
              <w:tc>
                <w:tcPr>
                  <w:tcW w:w="1349" w:type="dxa"/>
                  <w:tcBorders>
                    <w:top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非甲烷总烃</w:t>
                  </w:r>
                </w:p>
              </w:tc>
              <w:tc>
                <w:tcPr>
                  <w:tcW w:w="1815" w:type="dxa"/>
                  <w:vMerge w:val="restart"/>
                  <w:tcBorders>
                    <w:top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每年监测1次</w:t>
                  </w:r>
                </w:p>
              </w:tc>
              <w:tc>
                <w:tcPr>
                  <w:tcW w:w="4576" w:type="dxa"/>
                  <w:vMerge w:val="restart"/>
                  <w:tcBorders>
                    <w:top w:val="single" w:color="auto" w:sz="12" w:space="0"/>
                  </w:tcBorders>
                  <w:noWrap w:val="0"/>
                  <w:vAlign w:val="center"/>
                </w:tcPr>
                <w:p>
                  <w:pPr>
                    <w:pStyle w:val="109"/>
                    <w:adjustRightInd/>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苏高新管〔2018〕74号文规定和《大气污染物综合排放标准》GB16297-1996）表 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1682" w:type="dxa"/>
                  <w:noWrap w:val="0"/>
                  <w:vAlign w:val="center"/>
                </w:tcPr>
                <w:p>
                  <w:pPr>
                    <w:pStyle w:val="109"/>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厂界无组织监控</w:t>
                  </w:r>
                </w:p>
              </w:tc>
              <w:tc>
                <w:tcPr>
                  <w:tcW w:w="1349" w:type="dxa"/>
                  <w:noWrap w:val="0"/>
                  <w:vAlign w:val="center"/>
                </w:tcPr>
                <w:p>
                  <w:pPr>
                    <w:pStyle w:val="109"/>
                    <w:spacing w:line="240" w:lineRule="auto"/>
                    <w:rPr>
                      <w:rFonts w:hint="default" w:ascii="Times New Roman" w:hAnsi="Times New Roman" w:eastAsia="宋体" w:cs="Times New Roman"/>
                      <w:b w:val="0"/>
                      <w:sz w:val="21"/>
                    </w:rPr>
                  </w:pPr>
                  <w:r>
                    <w:rPr>
                      <w:rFonts w:hint="default" w:ascii="Times New Roman" w:hAnsi="Times New Roman" w:eastAsia="宋体" w:cs="Times New Roman"/>
                      <w:b w:val="0"/>
                      <w:sz w:val="21"/>
                    </w:rPr>
                    <w:t>颗粒物</w:t>
                  </w:r>
                </w:p>
              </w:tc>
              <w:tc>
                <w:tcPr>
                  <w:tcW w:w="1815" w:type="dxa"/>
                  <w:vMerge w:val="continue"/>
                  <w:noWrap w:val="0"/>
                  <w:vAlign w:val="center"/>
                </w:tcPr>
                <w:p>
                  <w:pPr>
                    <w:pStyle w:val="61"/>
                    <w:spacing w:line="240" w:lineRule="auto"/>
                    <w:rPr>
                      <w:rFonts w:hint="default" w:ascii="Times New Roman" w:hAnsi="Times New Roman" w:eastAsia="宋体" w:cs="Times New Roman"/>
                      <w:sz w:val="21"/>
                      <w:szCs w:val="21"/>
                    </w:rPr>
                  </w:pPr>
                </w:p>
              </w:tc>
              <w:tc>
                <w:tcPr>
                  <w:tcW w:w="4576" w:type="dxa"/>
                  <w:vMerge w:val="continue"/>
                  <w:noWrap w:val="0"/>
                  <w:vAlign w:val="center"/>
                </w:tcPr>
                <w:p>
                  <w:pPr>
                    <w:pStyle w:val="61"/>
                    <w:spacing w:line="240" w:lineRule="auto"/>
                    <w:rPr>
                      <w:rFonts w:hint="default" w:ascii="Times New Roman" w:hAnsi="Times New Roman" w:eastAsia="宋体" w:cs="Times New Roman"/>
                      <w:sz w:val="21"/>
                      <w:szCs w:val="21"/>
                    </w:rPr>
                  </w:pPr>
                </w:p>
              </w:tc>
            </w:tr>
          </w:tbl>
          <w:p>
            <w:pPr>
              <w:rPr>
                <w:rFonts w:hint="eastAsia"/>
                <w:lang w:val="en-US" w:eastAsia="zh-CN"/>
              </w:rPr>
            </w:pPr>
            <w:r>
              <w:rPr>
                <w:rFonts w:hint="eastAsia"/>
                <w:lang w:val="en-US" w:eastAsia="zh-CN"/>
              </w:rPr>
              <w:t>非甲烷总烃：</w:t>
            </w:r>
          </w:p>
          <w:p>
            <w:pPr>
              <w:bidi w:val="0"/>
              <w:jc w:val="center"/>
              <w:rPr>
                <w:rFonts w:hint="eastAsia"/>
                <w:lang w:val="en-US" w:eastAsia="zh-CN"/>
              </w:rPr>
            </w:pPr>
            <w:r>
              <w:rPr>
                <w:rFonts w:hint="default" w:ascii="Times New Roman" w:hAnsi="Times New Roman" w:eastAsia="宋体" w:cs="Times New Roman"/>
                <w:b/>
                <w:bCs/>
                <w:sz w:val="21"/>
                <w:szCs w:val="21"/>
              </w:rPr>
              <w:t>表7-1</w:t>
            </w:r>
            <w:r>
              <w:rPr>
                <w:rFonts w:hint="eastAsia" w:cs="Times New Roman"/>
                <w:b/>
                <w:bCs/>
                <w:sz w:val="21"/>
                <w:szCs w:val="21"/>
                <w:lang w:val="en-US" w:eastAsia="zh-CN"/>
              </w:rPr>
              <w:t>4</w:t>
            </w:r>
            <w:r>
              <w:rPr>
                <w:rFonts w:hint="default" w:ascii="Times New Roman" w:hAnsi="Times New Roman" w:eastAsia="宋体" w:cs="Times New Roman"/>
                <w:b/>
                <w:bCs/>
                <w:sz w:val="21"/>
                <w:szCs w:val="21"/>
              </w:rPr>
              <w:t xml:space="preserve"> </w:t>
            </w:r>
            <w:r>
              <w:rPr>
                <w:rFonts w:hint="eastAsia" w:cs="Times New Roman"/>
                <w:b/>
                <w:bCs/>
                <w:sz w:val="21"/>
                <w:szCs w:val="21"/>
                <w:lang w:val="en-US" w:eastAsia="zh-CN"/>
              </w:rPr>
              <w:t>非甲烷总烃无组织排放</w:t>
            </w:r>
            <w:r>
              <w:rPr>
                <w:rFonts w:hint="default" w:ascii="Times New Roman" w:hAnsi="Times New Roman" w:eastAsia="宋体" w:cs="Times New Roman"/>
                <w:b/>
                <w:bCs/>
                <w:sz w:val="21"/>
                <w:szCs w:val="21"/>
              </w:rPr>
              <w:t>监测频次</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245"/>
              <w:gridCol w:w="1649"/>
              <w:gridCol w:w="273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pPr>
                    <w:spacing w:line="240" w:lineRule="auto"/>
                    <w:jc w:val="center"/>
                    <w:rPr>
                      <w:rFonts w:ascii="Times New Roman" w:hAnsi="Times New Roman" w:eastAsia="宋体" w:cs="Times New Roman"/>
                      <w:kern w:val="2"/>
                      <w:sz w:val="21"/>
                      <w:szCs w:val="21"/>
                      <w:lang w:val="en-US" w:eastAsia="zh-CN" w:bidi="ar-SA"/>
                    </w:rPr>
                  </w:pPr>
                  <w:r>
                    <w:rPr>
                      <w:sz w:val="21"/>
                      <w:szCs w:val="21"/>
                    </w:rPr>
                    <w:t>污染物名称</w:t>
                  </w:r>
                </w:p>
              </w:tc>
              <w:tc>
                <w:tcPr>
                  <w:tcW w:w="661" w:type="pct"/>
                  <w:vAlign w:val="center"/>
                </w:tcPr>
                <w:p>
                  <w:pPr>
                    <w:snapToGrid w:val="0"/>
                    <w:spacing w:line="240" w:lineRule="auto"/>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排放限值</w:t>
                  </w:r>
                </w:p>
              </w:tc>
              <w:tc>
                <w:tcPr>
                  <w:tcW w:w="876" w:type="pct"/>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特别排放限值</w:t>
                  </w:r>
                </w:p>
              </w:tc>
              <w:tc>
                <w:tcPr>
                  <w:tcW w:w="1454" w:type="pct"/>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限值含义</w:t>
                  </w:r>
                </w:p>
              </w:tc>
              <w:tc>
                <w:tcPr>
                  <w:tcW w:w="1280" w:type="pct"/>
                  <w:vAlign w:val="center"/>
                </w:tcPr>
                <w:p>
                  <w:pPr>
                    <w:pStyle w:val="61"/>
                    <w:bidi w:val="0"/>
                    <w:spacing w:line="240" w:lineRule="auto"/>
                    <w:jc w:val="center"/>
                    <w:rPr>
                      <w:rFonts w:hint="default" w:eastAsia="宋体"/>
                      <w:sz w:val="21"/>
                      <w:szCs w:val="21"/>
                      <w:vertAlign w:val="baseline"/>
                      <w:lang w:val="en-US" w:eastAsia="zh-CN"/>
                    </w:rPr>
                  </w:pPr>
                  <w:r>
                    <w:rPr>
                      <w:rFonts w:hint="eastAsia"/>
                      <w:sz w:val="21"/>
                      <w:szCs w:val="21"/>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240" w:lineRule="auto"/>
                    <w:jc w:val="center"/>
                    <w:rPr>
                      <w:rFonts w:ascii="Times New Roman" w:hAnsi="Times New Roman" w:eastAsia="宋体" w:cs="Times New Roman"/>
                      <w:kern w:val="2"/>
                      <w:sz w:val="21"/>
                      <w:szCs w:val="21"/>
                      <w:lang w:val="en-US" w:eastAsia="zh-CN" w:bidi="ar-SA"/>
                    </w:rPr>
                  </w:pPr>
                  <w:r>
                    <w:rPr>
                      <w:sz w:val="21"/>
                      <w:szCs w:val="21"/>
                    </w:rPr>
                    <w:t>非甲烷总烃</w:t>
                  </w:r>
                </w:p>
              </w:tc>
              <w:tc>
                <w:tcPr>
                  <w:tcW w:w="66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w:t>
                  </w:r>
                </w:p>
              </w:tc>
              <w:tc>
                <w:tcPr>
                  <w:tcW w:w="876" w:type="pct"/>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w:t>
                  </w:r>
                </w:p>
              </w:tc>
              <w:tc>
                <w:tcPr>
                  <w:tcW w:w="1454"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监控点处1h平均浓度值</w:t>
                  </w:r>
                </w:p>
              </w:tc>
              <w:tc>
                <w:tcPr>
                  <w:tcW w:w="1280" w:type="pct"/>
                  <w:vMerge w:val="restart"/>
                  <w:vAlign w:val="center"/>
                </w:tcPr>
                <w:p>
                  <w:pPr>
                    <w:pStyle w:val="2"/>
                    <w:spacing w:line="240" w:lineRule="auto"/>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pStyle w:val="2"/>
                    <w:jc w:val="center"/>
                    <w:rPr>
                      <w:vertAlign w:val="baseline"/>
                    </w:rPr>
                  </w:pPr>
                </w:p>
              </w:tc>
              <w:tc>
                <w:tcPr>
                  <w:tcW w:w="661"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30</w:t>
                  </w:r>
                </w:p>
              </w:tc>
              <w:tc>
                <w:tcPr>
                  <w:tcW w:w="876"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20</w:t>
                  </w:r>
                </w:p>
              </w:tc>
              <w:tc>
                <w:tcPr>
                  <w:tcW w:w="1454" w:type="pct"/>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监控点任意一次浓度值</w:t>
                  </w:r>
                </w:p>
              </w:tc>
              <w:tc>
                <w:tcPr>
                  <w:tcW w:w="1280" w:type="pct"/>
                  <w:vMerge w:val="continue"/>
                  <w:vAlign w:val="center"/>
                </w:tcPr>
                <w:p>
                  <w:pPr>
                    <w:pStyle w:val="2"/>
                    <w:spacing w:line="240" w:lineRule="auto"/>
                    <w:ind w:left="0" w:leftChars="0" w:firstLine="0" w:firstLineChars="0"/>
                    <w:jc w:val="center"/>
                    <w:rPr>
                      <w:sz w:val="21"/>
                      <w:szCs w:val="21"/>
                      <w:vertAlign w:val="baseline"/>
                    </w:rPr>
                  </w:pPr>
                </w:p>
              </w:tc>
            </w:tr>
          </w:tbl>
          <w:p>
            <w:pPr>
              <w:pStyle w:val="2"/>
              <w:ind w:left="0" w:leftChars="0" w:firstLine="0" w:firstLineChars="0"/>
              <w:rPr>
                <w:rFonts w:hint="default"/>
                <w:lang w:val="en-US" w:eastAsia="zh-CN"/>
              </w:rPr>
            </w:pPr>
            <w:r>
              <w:rPr>
                <w:rFonts w:hint="eastAsia"/>
                <w:lang w:val="en-US" w:eastAsia="zh-CN"/>
              </w:rPr>
              <w:t>厂区内VOCs无组织排放监测要求：</w:t>
            </w:r>
          </w:p>
          <w:p>
            <w:pPr>
              <w:ind w:firstLine="480" w:firstLineChars="200"/>
              <w:rPr>
                <w:rFonts w:hint="default"/>
                <w:lang w:val="en-US" w:eastAsia="zh-CN"/>
              </w:rPr>
            </w:pPr>
            <w:r>
              <w:rPr>
                <w:rFonts w:hint="eastAsia"/>
                <w:lang w:val="en-US" w:eastAsia="zh-CN"/>
              </w:rPr>
              <w:t>对厂区内VOCs无组织排放进行监控时，在厂房门窗或通风口、其他开口（孔）等排放口外1m，距离地面1.5m以上位置处进行监测。若厂房不完整（如有顶无围墙），则在操作工位下风向1m，距离地面1.5m以上位置处进行监测。</w:t>
            </w:r>
          </w:p>
          <w:p>
            <w:pPr>
              <w:ind w:firstLine="480" w:firstLineChars="200"/>
              <w:jc w:val="left"/>
              <w:rPr>
                <w:rFonts w:hint="default" w:ascii="Times New Roman" w:hAnsi="Times New Roman" w:eastAsia="宋体" w:cs="Times New Roman"/>
              </w:rPr>
            </w:pPr>
            <w:r>
              <w:rPr>
                <w:rFonts w:hint="eastAsia"/>
                <w:bCs/>
                <w:lang w:val="en-US" w:eastAsia="zh-CN"/>
              </w:rPr>
              <w:t>厂区内NMHC任何1h平均浓度的监测采用HJ604、HJ1012规定的方法，以连续1h采样获取平均值，或在1h内以等时间间隔采集3-4个样品计平均值。厂区内NMHC任意一次浓度值的监测，按便携式监测仪器相关规定执行。</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（2）水污染源监测</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对企业外排的主要水污染物指标进行监测，在废水排放口、雨水排放口设置采样点，在排污口附近醒目处，设置环境保护图形标志牌。</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监测地点：污水排口</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监测因子：pH、COD、SS、NH</w:t>
            </w:r>
            <w:r>
              <w:rPr>
                <w:rFonts w:hint="default" w:ascii="Times New Roman" w:hAnsi="Times New Roman" w:eastAsia="宋体" w:cs="Times New Roman"/>
                <w:vertAlign w:val="subscript"/>
              </w:rPr>
              <w:t>3</w:t>
            </w:r>
            <w:r>
              <w:rPr>
                <w:rFonts w:hint="default" w:ascii="Times New Roman" w:hAnsi="Times New Roman" w:eastAsia="宋体" w:cs="Times New Roman"/>
              </w:rPr>
              <w:t>-H、TP 、TN、石油类</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监测频率：每季度监测一个生产周期（4次/周期）。</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（3）噪声监测</w:t>
            </w:r>
          </w:p>
          <w:p>
            <w:pPr>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定期监测厂界四周噪声，监测频率为每季度一次，并在噪声监测点附近醒目处设置环境保护图形标志牌。</w:t>
            </w:r>
          </w:p>
          <w:p>
            <w:pPr>
              <w:pStyle w:val="2"/>
              <w:ind w:firstLine="480" w:firstLineChars="200"/>
              <w:rPr>
                <w:rFonts w:hint="default" w:ascii="Times New Roman" w:hAnsi="Times New Roman" w:eastAsia="宋体" w:cs="Times New Roman"/>
              </w:rPr>
            </w:pPr>
            <w:r>
              <w:rPr>
                <w:rFonts w:hint="default" w:ascii="Times New Roman" w:hAnsi="Times New Roman" w:eastAsia="宋体" w:cs="Times New Roman"/>
              </w:rPr>
              <w:t>以上各监测项可以委托有监测能力和资质的环境监测机构进行定期监测。</w:t>
            </w:r>
          </w:p>
          <w:p>
            <w:pPr>
              <w:pStyle w:val="2"/>
              <w:numPr>
                <w:ilvl w:val="0"/>
                <w:numId w:val="0"/>
              </w:numPr>
              <w:ind w:firstLine="482" w:firstLineChars="200"/>
              <w:rPr>
                <w:rFonts w:hint="default" w:ascii="Times New Roman" w:hAnsi="Times New Roman" w:eastAsia="宋体" w:cs="Times New Roman"/>
                <w:b/>
                <w:bCs/>
              </w:rPr>
            </w:pPr>
            <w:r>
              <w:rPr>
                <w:rFonts w:hint="default" w:ascii="Times New Roman" w:hAnsi="Times New Roman" w:eastAsia="宋体" w:cs="Times New Roman"/>
                <w:b/>
                <w:bCs/>
                <w:lang w:val="en-US" w:eastAsia="zh-CN"/>
              </w:rPr>
              <w:t>7、</w:t>
            </w:r>
            <w:r>
              <w:rPr>
                <w:rFonts w:hint="default" w:ascii="Times New Roman" w:hAnsi="Times New Roman" w:eastAsia="宋体" w:cs="Times New Roman"/>
                <w:b/>
                <w:bCs/>
              </w:rPr>
              <w:t>土壤分析</w:t>
            </w:r>
          </w:p>
          <w:p>
            <w:pPr>
              <w:pStyle w:val="2"/>
              <w:ind w:firstLine="480"/>
              <w:rPr>
                <w:rFonts w:hint="default" w:ascii="Times New Roman" w:hAnsi="Times New Roman" w:eastAsia="宋体" w:cs="Times New Roman"/>
              </w:rPr>
            </w:pPr>
            <w:r>
              <w:rPr>
                <w:rFonts w:hint="default" w:ascii="Times New Roman" w:hAnsi="Times New Roman" w:eastAsia="宋体" w:cs="Times New Roman"/>
              </w:rPr>
              <w:t>本项目主要为[</w:t>
            </w:r>
            <w:r>
              <w:rPr>
                <w:rFonts w:hint="eastAsia" w:cs="Times New Roman"/>
                <w:lang w:val="en-US" w:eastAsia="zh-CN"/>
              </w:rPr>
              <w:t>C3060</w:t>
            </w:r>
            <w:r>
              <w:rPr>
                <w:rFonts w:hint="default" w:ascii="Times New Roman" w:hAnsi="Times New Roman" w:eastAsia="宋体" w:cs="Times New Roman"/>
              </w:rPr>
              <w:t>]</w:t>
            </w:r>
            <w:r>
              <w:rPr>
                <w:rFonts w:hint="eastAsia" w:cs="Times New Roman"/>
                <w:lang w:val="en-US" w:eastAsia="zh-CN"/>
              </w:rPr>
              <w:t>塑料制品</w:t>
            </w:r>
            <w:r>
              <w:rPr>
                <w:rFonts w:hint="default" w:ascii="Times New Roman" w:hAnsi="Times New Roman" w:eastAsia="宋体" w:cs="Times New Roman"/>
              </w:rPr>
              <w:t>，主要影响为污染影响型。根据《环境影响评价技术导则土壤环境（试行）》（HJ964-2018）表 A.1 土壤环境影响评价项目类别，本项目属于</w:t>
            </w:r>
            <w:r>
              <w:rPr>
                <w:rFonts w:hint="eastAsia" w:cs="Times New Roman"/>
                <w:lang w:val="en-US" w:eastAsia="zh-CN"/>
              </w:rPr>
              <w:t>十九、非金属矿物制品业中53玻璃纤维及玻璃纤维增强塑料制品</w:t>
            </w:r>
            <w:r>
              <w:rPr>
                <w:rFonts w:hint="default" w:ascii="Times New Roman" w:hAnsi="Times New Roman" w:eastAsia="宋体" w:cs="Times New Roman"/>
              </w:rPr>
              <w:t>。本项目建设项目占地面积约</w:t>
            </w:r>
            <w:r>
              <w:rPr>
                <w:rFonts w:hint="eastAsia" w:cs="Times New Roman"/>
                <w:lang w:val="en-US" w:eastAsia="zh-CN"/>
              </w:rPr>
              <w:t>1200</w:t>
            </w:r>
            <w:r>
              <w:rPr>
                <w:rFonts w:hint="default" w:ascii="Times New Roman" w:hAnsi="Times New Roman" w:eastAsia="宋体" w:cs="Times New Roman"/>
              </w:rPr>
              <w:t>m</w:t>
            </w:r>
            <w:r>
              <w:rPr>
                <w:rFonts w:hint="default" w:ascii="Times New Roman" w:hAnsi="Times New Roman" w:eastAsia="宋体" w:cs="Times New Roman"/>
                <w:vertAlign w:val="superscript"/>
              </w:rPr>
              <w:t>2</w:t>
            </w:r>
            <w:r>
              <w:rPr>
                <w:rFonts w:hint="default" w:ascii="Times New Roman" w:hAnsi="Times New Roman" w:eastAsia="宋体" w:cs="Times New Roman"/>
              </w:rPr>
              <w:t>，占地规模为小型（≤5 hm</w:t>
            </w:r>
            <w:r>
              <w:rPr>
                <w:rFonts w:hint="default" w:ascii="Times New Roman" w:hAnsi="Times New Roman" w:eastAsia="宋体" w:cs="Times New Roman"/>
                <w:vertAlign w:val="superscript"/>
              </w:rPr>
              <w:t>2</w:t>
            </w:r>
            <w:r>
              <w:rPr>
                <w:rFonts w:hint="default" w:ascii="Times New Roman" w:hAnsi="Times New Roman" w:eastAsia="宋体" w:cs="Times New Roman"/>
              </w:rPr>
              <w:t>），建设项目位于苏州高新区</w:t>
            </w:r>
            <w:r>
              <w:rPr>
                <w:rFonts w:hint="eastAsia" w:cs="Times New Roman"/>
                <w:lang w:val="en-US" w:eastAsia="zh-CN"/>
              </w:rPr>
              <w:t>浒关分区东金芝路56</w:t>
            </w:r>
            <w:r>
              <w:rPr>
                <w:rFonts w:hint="default" w:ascii="Times New Roman" w:hAnsi="Times New Roman" w:eastAsia="宋体" w:cs="Times New Roman"/>
              </w:rPr>
              <w:t>号，所在地周边不存在居住区、学校、医院等敏感目标，土壤环境敏感程度为不敏感，根据《环境影响评价技术导则土壤环境（试行）》（HJ964-2018）表 4 污染影响型评价工作等级划分表，本项目可不开展土壤环境影响评价工作。</w:t>
            </w:r>
          </w:p>
          <w:p>
            <w:pPr>
              <w:pStyle w:val="2"/>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表7-1</w:t>
            </w:r>
            <w:r>
              <w:rPr>
                <w:rFonts w:hint="eastAsia" w:cs="Times New Roman"/>
                <w:b/>
                <w:bCs/>
                <w:sz w:val="21"/>
                <w:szCs w:val="21"/>
                <w:lang w:val="en-US" w:eastAsia="zh-CN"/>
              </w:rPr>
              <w:t>5</w:t>
            </w:r>
            <w:r>
              <w:rPr>
                <w:rFonts w:hint="default" w:ascii="Times New Roman" w:hAnsi="Times New Roman" w:eastAsia="宋体" w:cs="Times New Roman"/>
                <w:b/>
                <w:bCs/>
                <w:sz w:val="21"/>
                <w:szCs w:val="21"/>
              </w:rPr>
              <w:t>污染影响型土壤评价工作等级划分表</w:t>
            </w:r>
          </w:p>
          <w:tbl>
            <w:tblPr>
              <w:tblStyle w:val="26"/>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831"/>
              <w:gridCol w:w="831"/>
              <w:gridCol w:w="831"/>
              <w:gridCol w:w="832"/>
              <w:gridCol w:w="832"/>
              <w:gridCol w:w="832"/>
              <w:gridCol w:w="832"/>
              <w:gridCol w:w="832"/>
              <w:gridCol w:w="8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26" w:type="dxa"/>
                  <w:vMerge w:val="restart"/>
                  <w:noWrap w:val="0"/>
                  <w:vAlign w:val="center"/>
                </w:tcPr>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敏感程度</w:t>
                  </w:r>
                </w:p>
                <w:p>
                  <w:pPr>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评价工作等级</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占地规模</w:t>
                  </w:r>
                </w:p>
              </w:tc>
              <w:tc>
                <w:tcPr>
                  <w:tcW w:w="2496" w:type="dxa"/>
                  <w:gridSpan w:val="3"/>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Ⅰ类</w:t>
                  </w:r>
                </w:p>
              </w:tc>
              <w:tc>
                <w:tcPr>
                  <w:tcW w:w="2496" w:type="dxa"/>
                  <w:gridSpan w:val="3"/>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Ⅱ类</w:t>
                  </w:r>
                </w:p>
              </w:tc>
              <w:tc>
                <w:tcPr>
                  <w:tcW w:w="2504" w:type="dxa"/>
                  <w:gridSpan w:val="3"/>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26" w:type="dxa"/>
                  <w:vMerge w:val="continue"/>
                  <w:noWrap w:val="0"/>
                  <w:vAlign w:val="center"/>
                </w:tcPr>
                <w:p>
                  <w:pPr>
                    <w:spacing w:line="240" w:lineRule="auto"/>
                    <w:jc w:val="center"/>
                    <w:rPr>
                      <w:rFonts w:hint="default" w:ascii="Times New Roman" w:hAnsi="Times New Roman" w:eastAsia="宋体" w:cs="Times New Roman"/>
                      <w:sz w:val="21"/>
                      <w:szCs w:val="21"/>
                    </w:rPr>
                  </w:pP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w:t>
                  </w:r>
                </w:p>
              </w:tc>
              <w:tc>
                <w:tcPr>
                  <w:tcW w:w="840"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40"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较敏感</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40"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不敏感</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w:t>
                  </w:r>
                </w:p>
              </w:tc>
              <w:tc>
                <w:tcPr>
                  <w:tcW w:w="832"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40" w:type="dxa"/>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ind w:firstLine="480" w:firstLineChars="200"/>
              <w:rPr>
                <w:rFonts w:hint="default" w:ascii="Times New Roman" w:hAnsi="Times New Roman" w:eastAsia="宋体" w:cs="Times New Roman"/>
              </w:rPr>
            </w:pPr>
            <w:r>
              <w:rPr>
                <w:rFonts w:hint="default" w:ascii="Times New Roman" w:hAnsi="Times New Roman" w:eastAsia="宋体" w:cs="Times New Roman"/>
              </w:rPr>
              <w:t>为保护厂区土壤环境，企业采取了以下防控措施：生产装置区地面采取防渗防漏措施，防止事故时污染土壤环境；危废暂存场所按照危险废物贮存污染控制标准（GB18597-2001）建设和维护使用，地面与裙角采用坚固、防渗、耐腐蚀的材料建造，防风、防雨、防晒，仓库内设有废液收集系统。</w:t>
            </w:r>
          </w:p>
          <w:p>
            <w:pPr>
              <w:pStyle w:val="2"/>
              <w:numPr>
                <w:ilvl w:val="0"/>
                <w:numId w:val="0"/>
              </w:numPr>
              <w:ind w:firstLine="482" w:firstLineChars="200"/>
              <w:rPr>
                <w:rFonts w:hint="default" w:ascii="Times New Roman" w:hAnsi="Times New Roman" w:eastAsia="宋体" w:cs="Times New Roman"/>
                <w:b/>
                <w:bCs/>
              </w:rPr>
            </w:pPr>
            <w:r>
              <w:rPr>
                <w:rFonts w:hint="default" w:ascii="Times New Roman" w:hAnsi="Times New Roman" w:eastAsia="宋体" w:cs="Times New Roman"/>
                <w:b/>
                <w:bCs/>
                <w:lang w:val="en-US" w:eastAsia="zh-CN"/>
              </w:rPr>
              <w:t>8、</w:t>
            </w:r>
            <w:r>
              <w:rPr>
                <w:rFonts w:hint="default" w:ascii="Times New Roman" w:hAnsi="Times New Roman" w:eastAsia="宋体" w:cs="Times New Roman"/>
                <w:b/>
                <w:bCs/>
              </w:rPr>
              <w:t>地下水分析</w:t>
            </w:r>
          </w:p>
          <w:p>
            <w:pPr>
              <w:pStyle w:val="2"/>
              <w:ind w:firstLine="480"/>
              <w:rPr>
                <w:rFonts w:hint="default" w:ascii="Times New Roman" w:hAnsi="Times New Roman" w:eastAsia="宋体" w:cs="Times New Roman"/>
              </w:rPr>
            </w:pPr>
            <w:r>
              <w:rPr>
                <w:rFonts w:hint="default" w:ascii="Times New Roman" w:hAnsi="Times New Roman" w:eastAsia="宋体" w:cs="Times New Roman"/>
              </w:rPr>
              <w:t>本项目为[</w:t>
            </w:r>
            <w:r>
              <w:rPr>
                <w:rFonts w:hint="eastAsia" w:cs="Times New Roman"/>
                <w:lang w:val="en-US" w:eastAsia="zh-CN"/>
              </w:rPr>
              <w:t>C3060</w:t>
            </w:r>
            <w:r>
              <w:rPr>
                <w:rFonts w:hint="default" w:ascii="Times New Roman" w:hAnsi="Times New Roman" w:eastAsia="宋体" w:cs="Times New Roman"/>
              </w:rPr>
              <w:t>]</w:t>
            </w:r>
            <w:r>
              <w:rPr>
                <w:rFonts w:hint="eastAsia" w:cs="Times New Roman"/>
                <w:lang w:val="en-US" w:eastAsia="zh-CN"/>
              </w:rPr>
              <w:t>塑料制品业</w:t>
            </w:r>
            <w:r>
              <w:rPr>
                <w:rFonts w:hint="default" w:ascii="Times New Roman" w:hAnsi="Times New Roman" w:eastAsia="宋体" w:cs="Times New Roman"/>
              </w:rPr>
              <w:t>，环评类别为报告表，根据地下水环境影响评价行业分类表，本项目地下水环境影响评价项目类别为Ⅳ类。项目位于工业用地内，地下水环境不敏感，根据《环境影响评价技术导则地下水环境》（HJ610-2016）表 2 评价工作等级划分表，Ⅳ类项目不开展地下水环境影响评价。</w:t>
            </w:r>
          </w:p>
          <w:p>
            <w:pPr>
              <w:pStyle w:val="2"/>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表7-1</w:t>
            </w:r>
            <w:r>
              <w:rPr>
                <w:rFonts w:hint="eastAsia" w:cs="Times New Roman"/>
                <w:b/>
                <w:bCs/>
                <w:sz w:val="21"/>
                <w:szCs w:val="21"/>
                <w:lang w:val="en-US" w:eastAsia="zh-CN"/>
              </w:rPr>
              <w:t>6</w:t>
            </w:r>
            <w:r>
              <w:rPr>
                <w:rFonts w:hint="default" w:ascii="Times New Roman" w:hAnsi="Times New Roman" w:eastAsia="宋体" w:cs="Times New Roman"/>
                <w:b/>
                <w:bCs/>
                <w:sz w:val="21"/>
                <w:szCs w:val="21"/>
              </w:rPr>
              <w:t>地下水评价工作等级划分表</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354"/>
              <w:gridCol w:w="2355"/>
              <w:gridCol w:w="23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5" w:type="dxa"/>
                  <w:tcBorders>
                    <w:bottom w:val="single" w:color="auto" w:sz="12" w:space="0"/>
                  </w:tcBorders>
                  <w:noWrap w:val="0"/>
                  <w:vAlign w:val="center"/>
                </w:tcPr>
                <w:p>
                  <w:pPr>
                    <w:pStyle w:val="2"/>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环境敏感程度</w:t>
                  </w:r>
                </w:p>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项目类别</w:t>
                  </w:r>
                </w:p>
              </w:tc>
              <w:tc>
                <w:tcPr>
                  <w:tcW w:w="2355" w:type="dxa"/>
                  <w:tcBorders>
                    <w:bottom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Ⅰ类项目</w:t>
                  </w:r>
                </w:p>
              </w:tc>
              <w:tc>
                <w:tcPr>
                  <w:tcW w:w="2356" w:type="dxa"/>
                  <w:tcBorders>
                    <w:bottom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Ⅱ类项目</w:t>
                  </w:r>
                </w:p>
              </w:tc>
              <w:tc>
                <w:tcPr>
                  <w:tcW w:w="2356" w:type="dxa"/>
                  <w:tcBorders>
                    <w:bottom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55" w:type="dxa"/>
                  <w:tcBorders>
                    <w:top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w:t>
                  </w:r>
                </w:p>
              </w:tc>
              <w:tc>
                <w:tcPr>
                  <w:tcW w:w="2355" w:type="dxa"/>
                  <w:tcBorders>
                    <w:top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p>
              </w:tc>
              <w:tc>
                <w:tcPr>
                  <w:tcW w:w="2356" w:type="dxa"/>
                  <w:tcBorders>
                    <w:top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p>
              </w:tc>
              <w:tc>
                <w:tcPr>
                  <w:tcW w:w="2356" w:type="dxa"/>
                  <w:tcBorders>
                    <w:top w:val="single" w:color="auto" w:sz="12" w:space="0"/>
                  </w:tcBorders>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55"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较敏感</w:t>
                  </w:r>
                </w:p>
              </w:tc>
              <w:tc>
                <w:tcPr>
                  <w:tcW w:w="2355"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p>
              </w:tc>
              <w:tc>
                <w:tcPr>
                  <w:tcW w:w="2356"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w:t>
                  </w:r>
                </w:p>
              </w:tc>
              <w:tc>
                <w:tcPr>
                  <w:tcW w:w="2356"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55"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不敏感</w:t>
                  </w:r>
                </w:p>
              </w:tc>
              <w:tc>
                <w:tcPr>
                  <w:tcW w:w="2355"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w:t>
                  </w:r>
                </w:p>
              </w:tc>
              <w:tc>
                <w:tcPr>
                  <w:tcW w:w="2356"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tc>
              <w:tc>
                <w:tcPr>
                  <w:tcW w:w="2356" w:type="dxa"/>
                  <w:noWrap w:val="0"/>
                  <w:vAlign w:val="center"/>
                </w:tcPr>
                <w:p>
                  <w:pPr>
                    <w:pStyle w:val="2"/>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tc>
            </w:tr>
          </w:tbl>
          <w:p>
            <w:pPr>
              <w:pStyle w:val="2"/>
              <w:ind w:firstLine="480"/>
              <w:rPr>
                <w:rFonts w:hint="default" w:ascii="Times New Roman" w:hAnsi="Times New Roman" w:eastAsia="宋体" w:cs="Times New Roman"/>
              </w:rPr>
            </w:pPr>
            <w:r>
              <w:rPr>
                <w:rFonts w:hint="default" w:ascii="Times New Roman" w:hAnsi="Times New Roman" w:eastAsia="宋体" w:cs="Times New Roman"/>
              </w:rPr>
              <w:t>为保护周围地下水环境，本报告提出以下地下水污染防治措施：</w:t>
            </w:r>
          </w:p>
          <w:p>
            <w:pPr>
              <w:pStyle w:val="2"/>
              <w:ind w:firstLine="0" w:firstLineChars="0"/>
              <w:rPr>
                <w:rFonts w:hint="default" w:ascii="Times New Roman" w:hAnsi="Times New Roman" w:eastAsia="宋体" w:cs="Times New Roman"/>
              </w:rPr>
            </w:pPr>
            <w:r>
              <w:rPr>
                <w:rFonts w:hint="default" w:ascii="Times New Roman" w:hAnsi="Times New Roman" w:eastAsia="宋体" w:cs="Times New Roman"/>
              </w:rPr>
              <w:t>①化学品储存在单独的化学品贮存区域内，地面为环氧地坪，以确保任何物质不会渗漏进入土壤、地下水，从而防止环境污染。</w:t>
            </w:r>
          </w:p>
          <w:p>
            <w:pPr>
              <w:pStyle w:val="2"/>
              <w:ind w:firstLine="0" w:firstLineChars="0"/>
              <w:rPr>
                <w:rFonts w:hint="default" w:ascii="Times New Roman" w:hAnsi="Times New Roman" w:eastAsia="宋体" w:cs="Times New Roman"/>
              </w:rPr>
            </w:pPr>
            <w:r>
              <w:rPr>
                <w:rFonts w:hint="default" w:ascii="Times New Roman" w:hAnsi="Times New Roman" w:eastAsia="宋体" w:cs="Times New Roman"/>
              </w:rPr>
              <w:t>②危险废物在厂内暂存期间，将用袋密闭存储，存放场地取严格的防渗防流失措施，以免对土壤和地下水造成污染。</w:t>
            </w:r>
          </w:p>
          <w:p>
            <w:pPr>
              <w:pStyle w:val="2"/>
              <w:ind w:firstLine="0" w:firstLineChars="0"/>
              <w:rPr>
                <w:rFonts w:hint="default" w:ascii="Times New Roman" w:hAnsi="Times New Roman" w:eastAsia="宋体" w:cs="Times New Roman"/>
              </w:rPr>
            </w:pPr>
            <w:r>
              <w:rPr>
                <w:rFonts w:hint="default" w:ascii="Times New Roman" w:hAnsi="Times New Roman" w:eastAsia="宋体" w:cs="Times New Roman"/>
              </w:rPr>
              <w:t>③生产装置区、危废仓库均采取防渗措施，以防止污染土壤及地下水。本项目建设针对各类地下水污染源都做出了相应的防范措施，能够有效地减轻因项目建设对地下水产生的影响。因此，本次评价认为拟建项目在采取了有效的地下水防护措施后，不会对区域地下水产生较大影响，不会影响区域地下水的现状使用功能。</w:t>
            </w:r>
          </w:p>
        </w:tc>
      </w:tr>
    </w:tbl>
    <w:p>
      <w:r>
        <w:br w:type="page"/>
      </w:r>
    </w:p>
    <w:p>
      <w:pPr>
        <w:numPr>
          <w:ilvl w:val="0"/>
          <w:numId w:val="5"/>
        </w:numPr>
        <w:outlineLvl w:val="0"/>
        <w:rPr>
          <w:b/>
          <w:bCs/>
          <w:sz w:val="30"/>
        </w:rPr>
      </w:pPr>
      <w:bookmarkStart w:id="11" w:name="_Toc15309"/>
      <w:r>
        <w:rPr>
          <w:b/>
          <w:bCs/>
          <w:sz w:val="30"/>
        </w:rPr>
        <w:t>建设项目拟采取的防治措施和预期治理效果</w:t>
      </w:r>
      <w:bookmarkEnd w:id="11"/>
    </w:p>
    <w:tbl>
      <w:tblPr>
        <w:tblStyle w:val="26"/>
        <w:tblpPr w:leftFromText="180" w:rightFromText="180" w:vertAnchor="text" w:horzAnchor="page" w:tblpXSpec="center" w:tblpYSpec="inside"/>
        <w:tblOverlap w:val="never"/>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103"/>
        <w:gridCol w:w="1742"/>
        <w:gridCol w:w="1183"/>
        <w:gridCol w:w="871"/>
        <w:gridCol w:w="3411"/>
        <w:gridCol w:w="1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1103" w:type="dxa"/>
            <w:tcBorders>
              <w:top w:val="single" w:color="auto" w:sz="12" w:space="0"/>
              <w:left w:val="single" w:color="auto" w:sz="4" w:space="0"/>
              <w:bottom w:val="single" w:color="auto" w:sz="12" w:space="0"/>
              <w:right w:val="single" w:color="auto" w:sz="4" w:space="0"/>
              <w:tl2br w:val="single" w:color="auto" w:sz="4" w:space="0"/>
            </w:tcBorders>
            <w:noWrap w:val="0"/>
            <w:vAlign w:val="center"/>
          </w:tcPr>
          <w:p>
            <w:pPr>
              <w:snapToGrid w:val="0"/>
              <w:spacing w:line="360" w:lineRule="auto"/>
              <w:jc w:val="center"/>
              <w:rPr>
                <w:b/>
                <w:sz w:val="24"/>
                <w:szCs w:val="24"/>
              </w:rPr>
            </w:pPr>
            <w:r>
              <w:rPr>
                <w:b/>
                <w:sz w:val="24"/>
                <w:szCs w:val="24"/>
              </w:rPr>
              <w:t xml:space="preserve">   内容</w:t>
            </w:r>
          </w:p>
          <w:p>
            <w:pPr>
              <w:snapToGrid w:val="0"/>
              <w:spacing w:line="360" w:lineRule="auto"/>
              <w:rPr>
                <w:b/>
                <w:sz w:val="24"/>
                <w:szCs w:val="24"/>
              </w:rPr>
            </w:pPr>
            <w:r>
              <w:rPr>
                <w:b/>
                <w:sz w:val="24"/>
                <w:szCs w:val="24"/>
              </w:rPr>
              <w:t>类型</w:t>
            </w:r>
          </w:p>
        </w:tc>
        <w:tc>
          <w:tcPr>
            <w:tcW w:w="1742" w:type="dxa"/>
            <w:tcBorders>
              <w:top w:val="single" w:color="auto" w:sz="12" w:space="0"/>
              <w:left w:val="single" w:color="auto" w:sz="4" w:space="0"/>
              <w:bottom w:val="single" w:color="auto" w:sz="12" w:space="0"/>
              <w:right w:val="single" w:color="auto" w:sz="4" w:space="0"/>
            </w:tcBorders>
            <w:noWrap w:val="0"/>
            <w:vAlign w:val="center"/>
          </w:tcPr>
          <w:p>
            <w:pPr>
              <w:snapToGrid w:val="0"/>
              <w:spacing w:line="360" w:lineRule="auto"/>
              <w:jc w:val="center"/>
              <w:rPr>
                <w:b/>
                <w:sz w:val="24"/>
                <w:szCs w:val="24"/>
              </w:rPr>
            </w:pPr>
            <w:r>
              <w:rPr>
                <w:b/>
                <w:sz w:val="24"/>
                <w:szCs w:val="24"/>
              </w:rPr>
              <w:t>排放源</w:t>
            </w:r>
          </w:p>
          <w:p>
            <w:pPr>
              <w:snapToGrid w:val="0"/>
              <w:spacing w:line="360" w:lineRule="auto"/>
              <w:jc w:val="center"/>
              <w:rPr>
                <w:b/>
                <w:sz w:val="24"/>
                <w:szCs w:val="24"/>
              </w:rPr>
            </w:pPr>
            <w:r>
              <w:rPr>
                <w:b/>
                <w:sz w:val="24"/>
                <w:szCs w:val="24"/>
              </w:rPr>
              <w:t>（编号）</w:t>
            </w:r>
          </w:p>
        </w:tc>
        <w:tc>
          <w:tcPr>
            <w:tcW w:w="2054" w:type="dxa"/>
            <w:gridSpan w:val="2"/>
            <w:tcBorders>
              <w:top w:val="single" w:color="auto" w:sz="12" w:space="0"/>
              <w:left w:val="single" w:color="auto" w:sz="4" w:space="0"/>
              <w:bottom w:val="single" w:color="auto" w:sz="12" w:space="0"/>
              <w:right w:val="single" w:color="auto" w:sz="4" w:space="0"/>
            </w:tcBorders>
            <w:noWrap w:val="0"/>
            <w:vAlign w:val="center"/>
          </w:tcPr>
          <w:p>
            <w:pPr>
              <w:snapToGrid w:val="0"/>
              <w:spacing w:line="360" w:lineRule="auto"/>
              <w:jc w:val="center"/>
              <w:rPr>
                <w:b/>
                <w:sz w:val="24"/>
                <w:szCs w:val="24"/>
              </w:rPr>
            </w:pPr>
            <w:r>
              <w:rPr>
                <w:b/>
                <w:sz w:val="24"/>
                <w:szCs w:val="24"/>
              </w:rPr>
              <w:t>污染物</w:t>
            </w:r>
          </w:p>
          <w:p>
            <w:pPr>
              <w:snapToGrid w:val="0"/>
              <w:spacing w:line="360" w:lineRule="auto"/>
              <w:jc w:val="center"/>
              <w:rPr>
                <w:b/>
                <w:sz w:val="24"/>
                <w:szCs w:val="24"/>
              </w:rPr>
            </w:pPr>
            <w:r>
              <w:rPr>
                <w:b/>
                <w:sz w:val="24"/>
                <w:szCs w:val="24"/>
              </w:rPr>
              <w:t>名称</w:t>
            </w:r>
          </w:p>
        </w:tc>
        <w:tc>
          <w:tcPr>
            <w:tcW w:w="3411" w:type="dxa"/>
            <w:tcBorders>
              <w:top w:val="single" w:color="auto" w:sz="12" w:space="0"/>
              <w:left w:val="single" w:color="auto" w:sz="4" w:space="0"/>
              <w:bottom w:val="single" w:color="auto" w:sz="12" w:space="0"/>
              <w:right w:val="single" w:color="auto" w:sz="4" w:space="0"/>
            </w:tcBorders>
            <w:noWrap w:val="0"/>
            <w:vAlign w:val="center"/>
          </w:tcPr>
          <w:p>
            <w:pPr>
              <w:snapToGrid w:val="0"/>
              <w:spacing w:line="360" w:lineRule="auto"/>
              <w:jc w:val="center"/>
              <w:rPr>
                <w:b/>
                <w:sz w:val="24"/>
                <w:szCs w:val="24"/>
              </w:rPr>
            </w:pPr>
            <w:r>
              <w:rPr>
                <w:b/>
                <w:sz w:val="24"/>
                <w:szCs w:val="24"/>
              </w:rPr>
              <w:t>防治措施</w:t>
            </w:r>
          </w:p>
        </w:tc>
        <w:tc>
          <w:tcPr>
            <w:tcW w:w="1328" w:type="dxa"/>
            <w:tcBorders>
              <w:top w:val="single" w:color="auto" w:sz="12" w:space="0"/>
              <w:left w:val="single" w:color="auto" w:sz="4" w:space="0"/>
              <w:bottom w:val="single" w:color="auto" w:sz="12" w:space="0"/>
              <w:right w:val="single" w:color="auto" w:sz="4" w:space="0"/>
            </w:tcBorders>
            <w:noWrap w:val="0"/>
            <w:vAlign w:val="center"/>
          </w:tcPr>
          <w:p>
            <w:pPr>
              <w:snapToGrid w:val="0"/>
              <w:spacing w:line="360" w:lineRule="auto"/>
              <w:jc w:val="center"/>
              <w:rPr>
                <w:b/>
                <w:sz w:val="24"/>
                <w:szCs w:val="24"/>
              </w:rPr>
            </w:pPr>
            <w:r>
              <w:rPr>
                <w:b/>
                <w:sz w:val="24"/>
                <w:szCs w:val="24"/>
              </w:rPr>
              <w:t>预期治理效果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03" w:type="dxa"/>
            <w:vMerge w:val="restart"/>
            <w:tcBorders>
              <w:top w:val="single" w:color="auto" w:sz="12" w:space="0"/>
              <w:left w:val="single" w:color="auto" w:sz="4" w:space="0"/>
              <w:right w:val="single" w:color="auto" w:sz="4" w:space="0"/>
            </w:tcBorders>
            <w:noWrap w:val="0"/>
            <w:vAlign w:val="center"/>
          </w:tcPr>
          <w:p>
            <w:pPr>
              <w:snapToGrid w:val="0"/>
              <w:spacing w:line="360" w:lineRule="auto"/>
              <w:jc w:val="center"/>
              <w:rPr>
                <w:b/>
                <w:sz w:val="24"/>
                <w:szCs w:val="24"/>
              </w:rPr>
            </w:pPr>
            <w:r>
              <w:rPr>
                <w:b/>
                <w:sz w:val="24"/>
                <w:szCs w:val="24"/>
              </w:rPr>
              <w:t>大气污染物</w:t>
            </w:r>
          </w:p>
        </w:tc>
        <w:tc>
          <w:tcPr>
            <w:tcW w:w="1742" w:type="dxa"/>
            <w:tcBorders>
              <w:top w:val="single" w:color="auto" w:sz="12" w:space="0"/>
              <w:left w:val="single" w:color="auto" w:sz="4" w:space="0"/>
              <w:right w:val="single" w:color="auto" w:sz="4" w:space="0"/>
            </w:tcBorders>
            <w:noWrap w:val="0"/>
            <w:vAlign w:val="center"/>
          </w:tcPr>
          <w:p>
            <w:pPr>
              <w:snapToGrid w:val="0"/>
              <w:spacing w:line="360" w:lineRule="auto"/>
              <w:jc w:val="center"/>
              <w:rPr>
                <w:sz w:val="24"/>
                <w:szCs w:val="24"/>
              </w:rPr>
            </w:pPr>
            <w:r>
              <w:rPr>
                <w:rFonts w:hint="eastAsia"/>
                <w:sz w:val="24"/>
                <w:szCs w:val="24"/>
                <w:lang w:val="en-US" w:eastAsia="zh-CN"/>
              </w:rPr>
              <w:t>有组织废气</w:t>
            </w:r>
            <w:r>
              <w:rPr>
                <w:sz w:val="24"/>
                <w:szCs w:val="24"/>
              </w:rPr>
              <w:t>P</w:t>
            </w:r>
            <w:r>
              <w:rPr>
                <w:sz w:val="24"/>
                <w:szCs w:val="24"/>
                <w:vertAlign w:val="subscript"/>
              </w:rPr>
              <w:t>1</w:t>
            </w:r>
          </w:p>
        </w:tc>
        <w:tc>
          <w:tcPr>
            <w:tcW w:w="2054" w:type="dxa"/>
            <w:gridSpan w:val="2"/>
            <w:tcBorders>
              <w:top w:val="single" w:color="auto" w:sz="12" w:space="0"/>
              <w:left w:val="single" w:color="auto" w:sz="4" w:space="0"/>
              <w:right w:val="single" w:color="auto" w:sz="4" w:space="0"/>
            </w:tcBorders>
            <w:noWrap w:val="0"/>
            <w:vAlign w:val="center"/>
          </w:tcPr>
          <w:p>
            <w:pPr>
              <w:snapToGrid w:val="0"/>
              <w:spacing w:line="360" w:lineRule="auto"/>
              <w:jc w:val="center"/>
              <w:rPr>
                <w:sz w:val="24"/>
                <w:szCs w:val="24"/>
              </w:rPr>
            </w:pPr>
            <w:r>
              <w:rPr>
                <w:sz w:val="24"/>
                <w:szCs w:val="24"/>
              </w:rPr>
              <w:t>非甲烷总烃</w:t>
            </w:r>
          </w:p>
        </w:tc>
        <w:tc>
          <w:tcPr>
            <w:tcW w:w="3411" w:type="dxa"/>
            <w:tcBorders>
              <w:top w:val="single" w:color="auto" w:sz="12" w:space="0"/>
              <w:left w:val="single" w:color="auto" w:sz="4" w:space="0"/>
              <w:right w:val="single" w:color="auto" w:sz="2" w:space="0"/>
            </w:tcBorders>
            <w:noWrap w:val="0"/>
            <w:vAlign w:val="center"/>
          </w:tcPr>
          <w:p>
            <w:pPr>
              <w:snapToGrid w:val="0"/>
              <w:spacing w:line="360" w:lineRule="auto"/>
              <w:jc w:val="center"/>
              <w:rPr>
                <w:rFonts w:hint="eastAsia" w:eastAsia="宋体"/>
                <w:sz w:val="24"/>
                <w:szCs w:val="24"/>
                <w:lang w:eastAsia="zh-CN"/>
              </w:rPr>
            </w:pPr>
            <w:r>
              <w:t>活性炭吸附</w:t>
            </w:r>
            <w:r>
              <w:rPr>
                <w:rFonts w:hint="eastAsia"/>
                <w:lang w:val="en-US" w:eastAsia="zh-CN"/>
              </w:rPr>
              <w:t>+低温等离子</w:t>
            </w:r>
          </w:p>
        </w:tc>
        <w:tc>
          <w:tcPr>
            <w:tcW w:w="1328" w:type="dxa"/>
            <w:vMerge w:val="restart"/>
            <w:tcBorders>
              <w:top w:val="single" w:color="auto" w:sz="12" w:space="0"/>
              <w:left w:val="single" w:color="auto" w:sz="2" w:space="0"/>
              <w:right w:val="single" w:color="auto" w:sz="4" w:space="0"/>
            </w:tcBorders>
            <w:noWrap w:val="0"/>
            <w:vAlign w:val="center"/>
          </w:tcPr>
          <w:p>
            <w:pPr>
              <w:snapToGrid w:val="0"/>
              <w:spacing w:line="360" w:lineRule="auto"/>
              <w:ind w:firstLine="63"/>
              <w:jc w:val="center"/>
              <w:rPr>
                <w:sz w:val="24"/>
                <w:szCs w:val="24"/>
              </w:rPr>
            </w:pPr>
            <w:r>
              <w:rPr>
                <w:sz w:val="24"/>
                <w:szCs w:val="24"/>
              </w:rPr>
              <w:t>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03" w:type="dxa"/>
            <w:vMerge w:val="continue"/>
            <w:tcBorders>
              <w:left w:val="single" w:color="auto" w:sz="4" w:space="0"/>
              <w:right w:val="single" w:color="auto" w:sz="4" w:space="0"/>
            </w:tcBorders>
            <w:noWrap w:val="0"/>
            <w:vAlign w:val="center"/>
          </w:tcPr>
          <w:p>
            <w:pPr>
              <w:snapToGrid w:val="0"/>
              <w:spacing w:line="360" w:lineRule="auto"/>
              <w:jc w:val="center"/>
              <w:rPr>
                <w:b/>
                <w:sz w:val="24"/>
                <w:szCs w:val="24"/>
              </w:rPr>
            </w:pPr>
          </w:p>
        </w:tc>
        <w:tc>
          <w:tcPr>
            <w:tcW w:w="1742" w:type="dxa"/>
            <w:tcBorders>
              <w:top w:val="single" w:color="auto" w:sz="4" w:space="0"/>
              <w:left w:val="single" w:color="auto" w:sz="4" w:space="0"/>
              <w:right w:val="single" w:color="auto" w:sz="4" w:space="0"/>
            </w:tcBorders>
            <w:noWrap w:val="0"/>
            <w:vAlign w:val="center"/>
          </w:tcPr>
          <w:p>
            <w:pPr>
              <w:snapToGrid w:val="0"/>
              <w:spacing w:line="360" w:lineRule="auto"/>
              <w:jc w:val="center"/>
              <w:rPr>
                <w:sz w:val="24"/>
                <w:szCs w:val="24"/>
              </w:rPr>
            </w:pPr>
            <w:r>
              <w:rPr>
                <w:sz w:val="24"/>
                <w:szCs w:val="24"/>
              </w:rPr>
              <w:t>无组织废气</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非甲烷总烃、颗粒物</w:t>
            </w:r>
          </w:p>
        </w:tc>
        <w:tc>
          <w:tcPr>
            <w:tcW w:w="3411" w:type="dxa"/>
            <w:tcBorders>
              <w:top w:val="single" w:color="auto" w:sz="4" w:space="0"/>
              <w:left w:val="single" w:color="auto" w:sz="4" w:space="0"/>
              <w:right w:val="single" w:color="auto" w:sz="2" w:space="0"/>
            </w:tcBorders>
            <w:noWrap w:val="0"/>
            <w:vAlign w:val="center"/>
          </w:tcPr>
          <w:p>
            <w:pPr>
              <w:snapToGrid w:val="0"/>
              <w:spacing w:line="360" w:lineRule="auto"/>
              <w:jc w:val="center"/>
              <w:rPr>
                <w:sz w:val="24"/>
                <w:szCs w:val="24"/>
              </w:rPr>
            </w:pPr>
            <w:r>
              <w:rPr>
                <w:sz w:val="24"/>
                <w:szCs w:val="24"/>
              </w:rPr>
              <w:t>加强车间通排风</w:t>
            </w:r>
          </w:p>
        </w:tc>
        <w:tc>
          <w:tcPr>
            <w:tcW w:w="1328" w:type="dxa"/>
            <w:vMerge w:val="continue"/>
            <w:tcBorders>
              <w:left w:val="single" w:color="auto" w:sz="2" w:space="0"/>
              <w:right w:val="single" w:color="auto" w:sz="4" w:space="0"/>
            </w:tcBorders>
            <w:noWrap w:val="0"/>
            <w:vAlign w:val="center"/>
          </w:tcPr>
          <w:p>
            <w:pPr>
              <w:snapToGrid w:val="0"/>
              <w:spacing w:line="360" w:lineRule="auto"/>
              <w:ind w:firstLine="63"/>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 w:hRule="atLeast"/>
          <w:jc w:val="center"/>
        </w:trPr>
        <w:tc>
          <w:tcPr>
            <w:tcW w:w="1103" w:type="dxa"/>
            <w:tcBorders>
              <w:top w:val="single" w:color="auto" w:sz="4" w:space="0"/>
              <w:left w:val="single" w:color="auto" w:sz="4" w:space="0"/>
              <w:right w:val="single" w:color="auto" w:sz="4" w:space="0"/>
            </w:tcBorders>
            <w:noWrap w:val="0"/>
            <w:vAlign w:val="center"/>
          </w:tcPr>
          <w:p>
            <w:pPr>
              <w:snapToGrid w:val="0"/>
              <w:spacing w:line="360" w:lineRule="auto"/>
              <w:jc w:val="center"/>
              <w:rPr>
                <w:b/>
                <w:sz w:val="24"/>
                <w:szCs w:val="24"/>
              </w:rPr>
            </w:pPr>
            <w:r>
              <w:rPr>
                <w:b/>
                <w:sz w:val="24"/>
                <w:szCs w:val="24"/>
              </w:rPr>
              <w:t>水污染物</w:t>
            </w:r>
          </w:p>
        </w:tc>
        <w:tc>
          <w:tcPr>
            <w:tcW w:w="1742" w:type="dxa"/>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jc w:val="center"/>
              <w:rPr>
                <w:sz w:val="24"/>
                <w:szCs w:val="24"/>
              </w:rPr>
            </w:pPr>
            <w:r>
              <w:rPr>
                <w:sz w:val="24"/>
                <w:szCs w:val="24"/>
              </w:rPr>
              <w:t>生活污水</w:t>
            </w:r>
          </w:p>
        </w:tc>
        <w:tc>
          <w:tcPr>
            <w:tcW w:w="2054" w:type="dxa"/>
            <w:gridSpan w:val="2"/>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COD、SS、</w:t>
            </w:r>
          </w:p>
          <w:p>
            <w:pPr>
              <w:snapToGrid w:val="0"/>
              <w:spacing w:line="360" w:lineRule="auto"/>
              <w:jc w:val="center"/>
              <w:rPr>
                <w:sz w:val="24"/>
                <w:szCs w:val="24"/>
              </w:rPr>
            </w:pPr>
            <w:r>
              <w:rPr>
                <w:sz w:val="24"/>
                <w:szCs w:val="24"/>
              </w:rPr>
              <w:t>NH</w:t>
            </w:r>
            <w:r>
              <w:rPr>
                <w:sz w:val="24"/>
                <w:szCs w:val="24"/>
                <w:vertAlign w:val="subscript"/>
              </w:rPr>
              <w:t>3</w:t>
            </w:r>
            <w:r>
              <w:rPr>
                <w:sz w:val="24"/>
                <w:szCs w:val="24"/>
              </w:rPr>
              <w:t>-N、TP、TN</w:t>
            </w:r>
          </w:p>
        </w:tc>
        <w:tc>
          <w:tcPr>
            <w:tcW w:w="3411" w:type="dxa"/>
            <w:tcBorders>
              <w:top w:val="single" w:color="auto" w:sz="4" w:space="0"/>
              <w:left w:val="single" w:color="auto" w:sz="4" w:space="0"/>
              <w:bottom w:val="single" w:color="auto" w:sz="4" w:space="0"/>
              <w:right w:val="single" w:color="auto" w:sz="2" w:space="0"/>
            </w:tcBorders>
            <w:noWrap w:val="0"/>
            <w:vAlign w:val="center"/>
          </w:tcPr>
          <w:p>
            <w:pPr>
              <w:snapToGrid w:val="0"/>
              <w:spacing w:line="360" w:lineRule="auto"/>
              <w:jc w:val="center"/>
              <w:rPr>
                <w:sz w:val="24"/>
                <w:szCs w:val="24"/>
              </w:rPr>
            </w:pPr>
            <w:r>
              <w:rPr>
                <w:sz w:val="24"/>
                <w:szCs w:val="24"/>
              </w:rPr>
              <w:t>生活污水接入</w:t>
            </w:r>
            <w:r>
              <w:rPr>
                <w:rFonts w:hint="eastAsia"/>
                <w:sz w:val="24"/>
                <w:szCs w:val="24"/>
                <w:lang w:val="en-US" w:eastAsia="zh-CN"/>
              </w:rPr>
              <w:t>白荡水质净化厂</w:t>
            </w:r>
            <w:r>
              <w:rPr>
                <w:sz w:val="24"/>
                <w:szCs w:val="24"/>
              </w:rPr>
              <w:t>处理</w:t>
            </w:r>
          </w:p>
        </w:tc>
        <w:tc>
          <w:tcPr>
            <w:tcW w:w="1328"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ind w:firstLine="63"/>
              <w:jc w:val="center"/>
              <w:rPr>
                <w:sz w:val="24"/>
                <w:szCs w:val="24"/>
              </w:rPr>
            </w:pPr>
            <w:r>
              <w:rPr>
                <w:sz w:val="24"/>
                <w:szCs w:val="24"/>
              </w:rPr>
              <w:t>达</w:t>
            </w:r>
            <w:r>
              <w:rPr>
                <w:rFonts w:hint="eastAsia"/>
                <w:sz w:val="24"/>
                <w:szCs w:val="24"/>
                <w:lang w:val="en-US" w:eastAsia="zh-CN"/>
              </w:rPr>
              <w:t>净水厂</w:t>
            </w:r>
            <w:r>
              <w:rPr>
                <w:sz w:val="24"/>
                <w:szCs w:val="24"/>
              </w:rPr>
              <w:t>接管标准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b/>
                <w:sz w:val="24"/>
                <w:szCs w:val="24"/>
              </w:rPr>
            </w:pPr>
            <w:r>
              <w:rPr>
                <w:b/>
                <w:sz w:val="24"/>
                <w:szCs w:val="24"/>
              </w:rPr>
              <w:t>电离辐射和电磁辐射</w:t>
            </w:r>
          </w:p>
        </w:tc>
        <w:tc>
          <w:tcPr>
            <w:tcW w:w="853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 w:leftChars="50" w:right="120" w:rightChars="50" w:firstLine="480" w:firstLineChars="200"/>
              <w:jc w:val="center"/>
              <w:rPr>
                <w:sz w:val="24"/>
                <w:szCs w:val="24"/>
              </w:rPr>
            </w:pPr>
            <w:r>
              <w:rPr>
                <w:sz w:val="24"/>
                <w:szCs w:val="24"/>
              </w:rPr>
              <w:t>本项目不涉及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0" w:hRule="atLeast"/>
          <w:jc w:val="center"/>
        </w:trPr>
        <w:tc>
          <w:tcPr>
            <w:tcW w:w="1103" w:type="dxa"/>
            <w:vMerge w:val="restart"/>
            <w:tcBorders>
              <w:left w:val="single" w:color="auto" w:sz="4" w:space="0"/>
              <w:right w:val="single" w:color="auto" w:sz="4" w:space="0"/>
            </w:tcBorders>
            <w:noWrap w:val="0"/>
            <w:vAlign w:val="center"/>
          </w:tcPr>
          <w:p>
            <w:pPr>
              <w:snapToGrid w:val="0"/>
              <w:spacing w:line="360" w:lineRule="auto"/>
              <w:jc w:val="center"/>
              <w:rPr>
                <w:b/>
                <w:sz w:val="24"/>
                <w:szCs w:val="24"/>
              </w:rPr>
            </w:pPr>
          </w:p>
          <w:p>
            <w:pPr>
              <w:snapToGrid w:val="0"/>
              <w:spacing w:line="360" w:lineRule="auto"/>
              <w:jc w:val="center"/>
              <w:rPr>
                <w:b/>
                <w:sz w:val="24"/>
                <w:szCs w:val="24"/>
              </w:rPr>
            </w:pPr>
            <w:r>
              <w:rPr>
                <w:b/>
                <w:sz w:val="24"/>
                <w:szCs w:val="24"/>
              </w:rPr>
              <w:t>固体废物</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不合格品</w:t>
            </w:r>
          </w:p>
        </w:tc>
        <w:tc>
          <w:tcPr>
            <w:tcW w:w="4282" w:type="dxa"/>
            <w:gridSpan w:val="2"/>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jc w:val="center"/>
              <w:rPr>
                <w:rFonts w:hint="default" w:ascii="Times New Roman" w:hAnsi="Times New Roman" w:eastAsia="宋体" w:cs="Times New Roman"/>
                <w:kern w:val="28"/>
                <w:sz w:val="24"/>
                <w:szCs w:val="24"/>
                <w:lang w:val="en-GB" w:eastAsia="zh-CN" w:bidi="ar-SA"/>
              </w:rPr>
            </w:pPr>
            <w:r>
              <w:rPr>
                <w:rFonts w:hint="default" w:ascii="Times New Roman" w:hAnsi="Times New Roman" w:eastAsia="宋体" w:cs="Times New Roman"/>
                <w:sz w:val="24"/>
                <w:szCs w:val="24"/>
                <w:lang w:val="en-GB"/>
              </w:rPr>
              <w:t>外售利用</w:t>
            </w:r>
          </w:p>
        </w:tc>
        <w:tc>
          <w:tcPr>
            <w:tcW w:w="1328" w:type="dxa"/>
            <w:vMerge w:val="restart"/>
            <w:tcBorders>
              <w:left w:val="single" w:color="auto" w:sz="4" w:space="0"/>
              <w:right w:val="single" w:color="auto" w:sz="4" w:space="0"/>
            </w:tcBorders>
            <w:noWrap w:val="0"/>
            <w:vAlign w:val="center"/>
          </w:tcPr>
          <w:p>
            <w:pPr>
              <w:snapToGrid w:val="0"/>
              <w:spacing w:line="360" w:lineRule="auto"/>
              <w:jc w:val="center"/>
              <w:rPr>
                <w:sz w:val="24"/>
                <w:szCs w:val="24"/>
              </w:rPr>
            </w:pPr>
            <w:r>
              <w:rPr>
                <w:sz w:val="24"/>
                <w:szCs w:val="24"/>
              </w:rPr>
              <w:t>零排放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1103" w:type="dxa"/>
            <w:vMerge w:val="continue"/>
            <w:tcBorders>
              <w:left w:val="single" w:color="auto" w:sz="4" w:space="0"/>
              <w:right w:val="single" w:color="auto" w:sz="4" w:space="0"/>
            </w:tcBorders>
            <w:noWrap w:val="0"/>
            <w:vAlign w:val="center"/>
          </w:tcPr>
          <w:p>
            <w:pPr>
              <w:snapToGrid w:val="0"/>
              <w:spacing w:line="360" w:lineRule="auto"/>
              <w:jc w:val="center"/>
              <w:rPr>
                <w:b/>
                <w:sz w:val="24"/>
                <w:szCs w:val="24"/>
              </w:rPr>
            </w:pP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废包装</w:t>
            </w:r>
          </w:p>
        </w:tc>
        <w:tc>
          <w:tcPr>
            <w:tcW w:w="4282" w:type="dxa"/>
            <w:gridSpan w:val="2"/>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jc w:val="center"/>
              <w:rPr>
                <w:rFonts w:hint="default" w:ascii="Times New Roman" w:hAnsi="Times New Roman" w:eastAsia="宋体" w:cs="Times New Roman"/>
                <w:kern w:val="28"/>
                <w:sz w:val="24"/>
                <w:szCs w:val="24"/>
                <w:lang w:val="en-US" w:eastAsia="zh-CN" w:bidi="ar-SA"/>
              </w:rPr>
            </w:pPr>
            <w:r>
              <w:rPr>
                <w:rFonts w:hint="eastAsia" w:ascii="Times New Roman" w:hAnsi="Times New Roman" w:cs="Times New Roman"/>
                <w:sz w:val="24"/>
                <w:szCs w:val="24"/>
                <w:lang w:val="en-US" w:eastAsia="zh-CN"/>
              </w:rPr>
              <w:t>外售利用</w:t>
            </w:r>
          </w:p>
        </w:tc>
        <w:tc>
          <w:tcPr>
            <w:tcW w:w="1328" w:type="dxa"/>
            <w:vMerge w:val="continue"/>
            <w:tcBorders>
              <w:left w:val="single" w:color="auto" w:sz="4" w:space="0"/>
              <w:right w:val="single" w:color="auto" w:sz="4" w:space="0"/>
            </w:tcBorders>
            <w:noWrap w:val="0"/>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1103" w:type="dxa"/>
            <w:vMerge w:val="continue"/>
            <w:tcBorders>
              <w:left w:val="single" w:color="auto" w:sz="4" w:space="0"/>
              <w:right w:val="single" w:color="auto" w:sz="4" w:space="0"/>
            </w:tcBorders>
            <w:noWrap w:val="0"/>
            <w:vAlign w:val="center"/>
          </w:tcPr>
          <w:p>
            <w:pPr>
              <w:snapToGrid w:val="0"/>
              <w:spacing w:line="360" w:lineRule="auto"/>
              <w:jc w:val="center"/>
              <w:rPr>
                <w:b/>
                <w:sz w:val="24"/>
                <w:szCs w:val="24"/>
              </w:rPr>
            </w:pP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布袋收尘</w:t>
            </w:r>
          </w:p>
        </w:tc>
        <w:tc>
          <w:tcPr>
            <w:tcW w:w="4282" w:type="dxa"/>
            <w:gridSpan w:val="2"/>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jc w:val="center"/>
              <w:rPr>
                <w:rFonts w:hint="default" w:ascii="Times New Roman" w:hAnsi="Times New Roman" w:eastAsia="宋体" w:cs="Times New Roman"/>
                <w:kern w:val="28"/>
                <w:sz w:val="24"/>
                <w:szCs w:val="24"/>
                <w:lang w:val="en-US" w:eastAsia="zh-CN" w:bidi="ar-SA"/>
              </w:rPr>
            </w:pPr>
            <w:r>
              <w:rPr>
                <w:rFonts w:hint="eastAsia" w:ascii="Times New Roman" w:hAnsi="Times New Roman" w:cs="Times New Roman"/>
                <w:sz w:val="24"/>
                <w:szCs w:val="24"/>
                <w:lang w:val="en-US" w:eastAsia="zh-CN"/>
              </w:rPr>
              <w:t>本厂回用</w:t>
            </w:r>
          </w:p>
        </w:tc>
        <w:tc>
          <w:tcPr>
            <w:tcW w:w="1328" w:type="dxa"/>
            <w:vMerge w:val="continue"/>
            <w:tcBorders>
              <w:left w:val="single" w:color="auto" w:sz="4" w:space="0"/>
              <w:right w:val="single" w:color="auto" w:sz="4" w:space="0"/>
            </w:tcBorders>
            <w:noWrap w:val="0"/>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 w:hRule="atLeast"/>
          <w:jc w:val="center"/>
        </w:trPr>
        <w:tc>
          <w:tcPr>
            <w:tcW w:w="1103" w:type="dxa"/>
            <w:vMerge w:val="continue"/>
            <w:tcBorders>
              <w:left w:val="single" w:color="auto" w:sz="4" w:space="0"/>
              <w:right w:val="single" w:color="auto" w:sz="4" w:space="0"/>
            </w:tcBorders>
            <w:noWrap w:val="0"/>
            <w:vAlign w:val="center"/>
          </w:tcPr>
          <w:p>
            <w:pPr>
              <w:snapToGrid w:val="0"/>
              <w:spacing w:line="360" w:lineRule="auto"/>
              <w:jc w:val="center"/>
              <w:rPr>
                <w:b/>
                <w:sz w:val="24"/>
                <w:szCs w:val="24"/>
              </w:rPr>
            </w:pPr>
          </w:p>
        </w:tc>
        <w:tc>
          <w:tcPr>
            <w:tcW w:w="2925"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eastAsia="宋体"/>
                <w:sz w:val="24"/>
                <w:szCs w:val="24"/>
                <w:lang w:eastAsia="zh-CN"/>
              </w:rPr>
            </w:pPr>
            <w:r>
              <w:rPr>
                <w:rFonts w:hint="eastAsia"/>
                <w:sz w:val="24"/>
                <w:szCs w:val="24"/>
                <w:lang w:val="en-US" w:eastAsia="zh-CN"/>
              </w:rPr>
              <w:t>废活性炭</w:t>
            </w:r>
          </w:p>
        </w:tc>
        <w:tc>
          <w:tcPr>
            <w:tcW w:w="4282"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sz w:val="24"/>
                <w:szCs w:val="24"/>
              </w:rPr>
            </w:pPr>
            <w:r>
              <w:rPr>
                <w:sz w:val="24"/>
                <w:szCs w:val="24"/>
              </w:rPr>
              <w:t>危废暂贮间</w:t>
            </w:r>
            <w:r>
              <w:rPr>
                <w:rFonts w:hint="eastAsia"/>
                <w:sz w:val="24"/>
                <w:szCs w:val="24"/>
                <w:lang w:val="en-US" w:eastAsia="zh-CN"/>
              </w:rPr>
              <w:t>2</w:t>
            </w:r>
            <w:r>
              <w:rPr>
                <w:sz w:val="24"/>
                <w:szCs w:val="24"/>
              </w:rPr>
              <w:t>m</w:t>
            </w:r>
            <w:r>
              <w:rPr>
                <w:sz w:val="24"/>
                <w:szCs w:val="24"/>
                <w:vertAlign w:val="superscript"/>
              </w:rPr>
              <w:t>2</w:t>
            </w:r>
            <w:r>
              <w:rPr>
                <w:sz w:val="24"/>
                <w:szCs w:val="24"/>
              </w:rPr>
              <w:t>，定期转移有资质单位处理</w:t>
            </w:r>
          </w:p>
        </w:tc>
        <w:tc>
          <w:tcPr>
            <w:tcW w:w="1328" w:type="dxa"/>
            <w:vMerge w:val="continue"/>
            <w:tcBorders>
              <w:left w:val="single" w:color="auto" w:sz="4" w:space="0"/>
              <w:right w:val="single" w:color="auto" w:sz="4" w:space="0"/>
            </w:tcBorders>
            <w:noWrap w:val="0"/>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1103" w:type="dxa"/>
            <w:vMerge w:val="continue"/>
            <w:tcBorders>
              <w:left w:val="single" w:color="auto" w:sz="4" w:space="0"/>
              <w:right w:val="single" w:color="auto" w:sz="4" w:space="0"/>
            </w:tcBorders>
            <w:noWrap w:val="0"/>
            <w:vAlign w:val="center"/>
          </w:tcPr>
          <w:p>
            <w:pPr>
              <w:snapToGrid w:val="0"/>
              <w:spacing w:line="360" w:lineRule="auto"/>
              <w:jc w:val="center"/>
              <w:rPr>
                <w:b/>
                <w:sz w:val="24"/>
                <w:szCs w:val="24"/>
              </w:rPr>
            </w:pP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生活垃圾</w:t>
            </w:r>
          </w:p>
        </w:tc>
        <w:tc>
          <w:tcPr>
            <w:tcW w:w="4282"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sz w:val="24"/>
                <w:szCs w:val="24"/>
              </w:rPr>
            </w:pPr>
            <w:r>
              <w:rPr>
                <w:sz w:val="24"/>
                <w:szCs w:val="24"/>
              </w:rPr>
              <w:t>环卫部门处置</w:t>
            </w:r>
          </w:p>
        </w:tc>
        <w:tc>
          <w:tcPr>
            <w:tcW w:w="1328" w:type="dxa"/>
            <w:vMerge w:val="continue"/>
            <w:tcBorders>
              <w:left w:val="single" w:color="auto" w:sz="4" w:space="0"/>
              <w:right w:val="single" w:color="auto" w:sz="4" w:space="0"/>
            </w:tcBorders>
            <w:noWrap w:val="0"/>
            <w:vAlign w:val="center"/>
          </w:tcPr>
          <w:p>
            <w:pPr>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b/>
                <w:sz w:val="24"/>
                <w:szCs w:val="24"/>
              </w:rPr>
            </w:pPr>
            <w:r>
              <w:rPr>
                <w:b/>
                <w:sz w:val="24"/>
                <w:szCs w:val="24"/>
              </w:rPr>
              <w:t>噪声</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空压机、</w:t>
            </w:r>
            <w:r>
              <w:rPr>
                <w:rFonts w:hint="eastAsia"/>
                <w:sz w:val="24"/>
                <w:szCs w:val="24"/>
                <w:lang w:val="en-US" w:eastAsia="zh-CN"/>
              </w:rPr>
              <w:t>捏合机</w:t>
            </w:r>
            <w:r>
              <w:rPr>
                <w:sz w:val="24"/>
                <w:szCs w:val="24"/>
              </w:rPr>
              <w:t>设备噪声</w:t>
            </w:r>
          </w:p>
        </w:tc>
        <w:tc>
          <w:tcPr>
            <w:tcW w:w="428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合理布局、减振、隔声等</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rPr>
            </w:pPr>
            <w:r>
              <w:rPr>
                <w:sz w:val="24"/>
                <w:szCs w:val="24"/>
              </w:rPr>
              <w:t>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b/>
                <w:sz w:val="24"/>
                <w:szCs w:val="24"/>
              </w:rPr>
            </w:pPr>
            <w:r>
              <w:rPr>
                <w:b/>
                <w:sz w:val="24"/>
                <w:szCs w:val="24"/>
              </w:rPr>
              <w:t>其他</w:t>
            </w:r>
          </w:p>
        </w:tc>
        <w:tc>
          <w:tcPr>
            <w:tcW w:w="853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sz w:val="24"/>
                <w:szCs w:val="24"/>
                <w:u w:val="single"/>
              </w:rPr>
            </w:pPr>
            <w:r>
              <w:rPr>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99" w:hRule="atLeast"/>
          <w:jc w:val="center"/>
        </w:trPr>
        <w:tc>
          <w:tcPr>
            <w:tcW w:w="9638" w:type="dxa"/>
            <w:gridSpan w:val="6"/>
            <w:tcBorders>
              <w:top w:val="single" w:color="auto" w:sz="4" w:space="0"/>
              <w:left w:val="single" w:color="auto" w:sz="4" w:space="0"/>
              <w:bottom w:val="single" w:color="auto" w:sz="12" w:space="0"/>
              <w:right w:val="single" w:color="auto" w:sz="4" w:space="0"/>
            </w:tcBorders>
            <w:noWrap w:val="0"/>
            <w:vAlign w:val="center"/>
          </w:tcPr>
          <w:p>
            <w:pPr>
              <w:pStyle w:val="2"/>
              <w:spacing w:line="360" w:lineRule="auto"/>
              <w:ind w:firstLine="241" w:firstLineChars="100"/>
              <w:jc w:val="left"/>
              <w:rPr>
                <w:b/>
                <w:sz w:val="24"/>
                <w:szCs w:val="24"/>
              </w:rPr>
            </w:pPr>
            <w:r>
              <w:rPr>
                <w:b/>
                <w:sz w:val="24"/>
                <w:szCs w:val="24"/>
              </w:rPr>
              <w:t>主要生态影响（不够时可附另页）：</w:t>
            </w:r>
          </w:p>
          <w:p>
            <w:pPr>
              <w:pStyle w:val="2"/>
              <w:spacing w:line="360" w:lineRule="auto"/>
              <w:ind w:firstLine="480"/>
              <w:jc w:val="left"/>
              <w:rPr>
                <w:sz w:val="24"/>
                <w:szCs w:val="24"/>
              </w:rPr>
            </w:pPr>
            <w:r>
              <w:rPr>
                <w:sz w:val="24"/>
                <w:szCs w:val="24"/>
              </w:rPr>
              <w:t>本项目使用现有已购厂房建设，并且各类污染物的排放量很小，对区域生态环境基本不产生影响。</w:t>
            </w:r>
          </w:p>
          <w:p>
            <w:pPr>
              <w:pStyle w:val="2"/>
              <w:spacing w:line="360" w:lineRule="auto"/>
              <w:ind w:firstLine="480"/>
              <w:rPr>
                <w:sz w:val="24"/>
                <w:szCs w:val="24"/>
              </w:rPr>
            </w:pPr>
          </w:p>
          <w:p>
            <w:pPr>
              <w:pStyle w:val="2"/>
              <w:spacing w:line="360" w:lineRule="auto"/>
              <w:ind w:firstLine="480"/>
              <w:rPr>
                <w:rFonts w:hint="eastAsia"/>
                <w:sz w:val="24"/>
                <w:szCs w:val="24"/>
              </w:rPr>
            </w:pPr>
          </w:p>
          <w:p>
            <w:pPr>
              <w:pStyle w:val="2"/>
              <w:spacing w:line="360" w:lineRule="auto"/>
              <w:ind w:firstLine="480"/>
              <w:rPr>
                <w:sz w:val="24"/>
                <w:szCs w:val="24"/>
              </w:rPr>
            </w:pPr>
          </w:p>
          <w:p>
            <w:pPr>
              <w:pStyle w:val="2"/>
              <w:spacing w:line="360" w:lineRule="auto"/>
              <w:ind w:left="0" w:leftChars="0" w:firstLine="0" w:firstLineChars="0"/>
              <w:rPr>
                <w:sz w:val="24"/>
                <w:szCs w:val="24"/>
              </w:rPr>
            </w:pPr>
          </w:p>
        </w:tc>
      </w:tr>
    </w:tbl>
    <w:p>
      <w:pPr>
        <w:rPr>
          <w:rFonts w:hint="eastAsia"/>
          <w:lang w:eastAsia="zh-CN"/>
        </w:rPr>
      </w:pPr>
      <w:r>
        <w:rPr>
          <w:rFonts w:hint="eastAsia"/>
          <w:lang w:eastAsia="zh-CN"/>
        </w:rPr>
        <w:br w:type="page"/>
      </w:r>
    </w:p>
    <w:p>
      <w:pPr>
        <w:pStyle w:val="3"/>
        <w:rPr>
          <w:rFonts w:hint="default"/>
        </w:rPr>
      </w:pPr>
      <w:bookmarkStart w:id="12" w:name="_Toc26955"/>
      <w:r>
        <w:rPr>
          <w:rFonts w:hint="default"/>
        </w:rPr>
        <w:t>九、结论与建议</w:t>
      </w:r>
      <w:bookmarkEnd w:id="1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noWrap w:val="0"/>
            <w:vAlign w:val="top"/>
          </w:tcPr>
          <w:p>
            <w:pPr>
              <w:widowControl/>
              <w:ind w:firstLine="480" w:firstLineChars="200"/>
              <w:jc w:val="left"/>
            </w:pPr>
            <w:r>
              <w:t>（一）结  论</w:t>
            </w:r>
          </w:p>
          <w:p>
            <w:pPr>
              <w:widowControl/>
              <w:ind w:firstLine="480" w:firstLineChars="200"/>
              <w:jc w:val="left"/>
            </w:pPr>
            <w:r>
              <w:t>1、项目概况</w:t>
            </w:r>
          </w:p>
          <w:p>
            <w:pPr>
              <w:pStyle w:val="2"/>
              <w:ind w:firstLine="480"/>
            </w:pPr>
            <w:r>
              <w:rPr>
                <w:rFonts w:hint="eastAsia"/>
              </w:rPr>
              <w:t>苏州源顺祥新材料有限公司年产塑料制品 1500 吨新建项目地址位于苏州高新区浒关分区东金芝路 56 号，租用苏州市赛克塑胶有限公司现有的部分厂房，建筑面积为 1000 平方米，一层，包含办公和生产。</w:t>
            </w:r>
          </w:p>
          <w:p>
            <w:pPr>
              <w:widowControl/>
              <w:ind w:firstLine="480" w:firstLineChars="200"/>
              <w:jc w:val="left"/>
            </w:pPr>
            <w:r>
              <w:t>2、项目选址合理性</w:t>
            </w:r>
          </w:p>
          <w:p>
            <w:pPr>
              <w:ind w:right="120" w:rightChars="50" w:firstLine="480" w:firstLineChars="200"/>
              <w:jc w:val="left"/>
            </w:pPr>
            <w:r>
              <w:rPr>
                <w:rFonts w:hint="eastAsia"/>
              </w:rPr>
              <w:t>苏州源顺祥新材料有限公司</w:t>
            </w:r>
            <w:r>
              <w:t>位于</w:t>
            </w:r>
            <w:r>
              <w:rPr>
                <w:rFonts w:hint="eastAsia"/>
              </w:rPr>
              <w:t>苏州高新区浒关分区东金芝路 56 号</w:t>
            </w:r>
            <w:r>
              <w:t>，土地证明确属于工业用地，该区域用地规划为工业用地；本项目不在生态红线范围内，符合《江苏省国家级生态保护红线规划》（环生态函〔2018〕24号）和《江苏省生态红线区域保护规划》（苏政发[2013]113号），因此本项目选址合理。</w:t>
            </w:r>
          </w:p>
          <w:p>
            <w:pPr>
              <w:widowControl/>
              <w:ind w:firstLine="480" w:firstLineChars="200"/>
              <w:jc w:val="left"/>
            </w:pPr>
            <w:r>
              <w:t>3、项目环保政策相容性</w:t>
            </w:r>
          </w:p>
          <w:p>
            <w:pPr>
              <w:ind w:firstLine="480" w:firstLineChars="200"/>
              <w:jc w:val="left"/>
            </w:pPr>
            <w:r>
              <w:t>根据《江苏省太湖水污染防治条例》（2018 年）第四十三条和《省政府办公厅关于公布江苏省太湖流域三级保护区范围的通知》（苏政办 发[2012]221 号）中的规定，本项目所在地属于太湖流域三级保护区范围。本项目不属于太湖流域三级保护区禁止建设的项目，符合《江苏省太湖水污染防治条例》的要求。</w:t>
            </w:r>
          </w:p>
          <w:p>
            <w:pPr>
              <w:widowControl/>
              <w:ind w:firstLine="480" w:firstLineChars="200"/>
              <w:jc w:val="left"/>
            </w:pPr>
            <w:r>
              <w:t>本项目</w:t>
            </w:r>
            <w:r>
              <w:rPr>
                <w:rFonts w:hint="eastAsia"/>
                <w:lang w:val="en-US" w:eastAsia="zh-CN"/>
              </w:rPr>
              <w:t>工艺为挤塑工艺</w:t>
            </w:r>
            <w:r>
              <w:t>，产生的有机废气经收集处理后达标排放，符合</w:t>
            </w:r>
            <w:r>
              <w:rPr>
                <w:rFonts w:hint="eastAsia"/>
                <w:lang w:eastAsia="zh-CN"/>
              </w:rPr>
              <w:t>“</w:t>
            </w:r>
            <w:r>
              <w:t>两减六治三提升</w:t>
            </w:r>
            <w:r>
              <w:rPr>
                <w:rFonts w:hint="eastAsia"/>
                <w:lang w:eastAsia="zh-CN"/>
              </w:rPr>
              <w:t>”</w:t>
            </w:r>
            <w:r>
              <w:t>的要求。</w:t>
            </w:r>
          </w:p>
          <w:p>
            <w:pPr>
              <w:ind w:firstLine="480" w:firstLineChars="200"/>
              <w:jc w:val="left"/>
            </w:pPr>
            <w:r>
              <w:t>本项目有机废气治理和排放符合《江苏省挥发性有机物污染防治管理办法》、《江苏省重点行业挥发性有机物污染控制指南》（苏环办（2014）128号）和《苏州高新区工业挥发性有机废气整治提升三年行动方案》（苏高新管〔2018〕74 号）规定。</w:t>
            </w:r>
          </w:p>
          <w:p>
            <w:pPr>
              <w:ind w:left="120" w:leftChars="50" w:right="120" w:rightChars="50" w:firstLine="480" w:firstLineChars="200"/>
              <w:jc w:val="left"/>
            </w:pPr>
            <w:r>
              <w:t>本项目符合《苏州国家高新技术产业开发区开发建设规划（2015-2030）年环境影响报告书》以及环保部审查意见要求。</w:t>
            </w:r>
          </w:p>
          <w:p>
            <w:pPr>
              <w:ind w:left="120" w:leftChars="50" w:right="120" w:rightChars="50" w:firstLine="480" w:firstLineChars="200"/>
              <w:jc w:val="left"/>
            </w:pPr>
            <w:r>
              <w:t>本项目为</w:t>
            </w:r>
            <w:r>
              <w:rPr>
                <w:rFonts w:hint="eastAsia"/>
                <w:lang w:val="en-US" w:eastAsia="zh-CN"/>
              </w:rPr>
              <w:t>塑料制品</w:t>
            </w:r>
            <w:r>
              <w:t>项目，不属于《产业结构调整指导目录（2011 年本）（2013年修正版）》中限制类和淘汰类；不属于《江苏省工业和信息产业结构调整限制、淘汰目录和能耗限额》（苏政办发〔2015〕118号）中淘汰类和限制类，不属于《江苏省工业和信息产业结构调整指导目录》（2012年本）中淘汰类和限制类，不属于《苏州市产业发展导向目录》（苏府[2007]129 号文）中限制类、禁止类和淘汰类，亦不属于其它相关法律法规要求淘汰和限制产业，为允许类，符合国家和地方产业政策。</w:t>
            </w:r>
          </w:p>
          <w:p>
            <w:pPr>
              <w:ind w:left="120" w:leftChars="50" w:right="120" w:rightChars="50" w:firstLine="480" w:firstLineChars="200"/>
              <w:jc w:val="left"/>
            </w:pPr>
            <w:r>
              <w:t>本项目选址不在生态红线范围内；本项目建成后对区域环境空气质量影响较小，本项目的建设不会突破当地环境质量底线；本项目租赁现有工业厂房建设，为工业用地，用水、用电和排水量不大，项目建设不会突破资源利用上线。</w:t>
            </w:r>
          </w:p>
          <w:p>
            <w:pPr>
              <w:ind w:firstLine="480" w:firstLineChars="200"/>
              <w:jc w:val="left"/>
            </w:pPr>
            <w:r>
              <w:t>4、项目地环境质量现状</w:t>
            </w:r>
          </w:p>
          <w:p>
            <w:pPr>
              <w:ind w:firstLine="480" w:firstLineChars="200"/>
              <w:jc w:val="left"/>
            </w:pPr>
            <w:r>
              <w:t>（1）大气环境质量现状：根据《2018年苏州市环境状况公报》，苏州市区环境空气中二氧化硫、可吸入颗粒物年均浓度和一氧化碳日平均第95百分位数浓度达到《环境空气质量标准》(GB3095—2012)二级标准。二氧化氮、细颗粒物年均浓度和臭氧日最大8小时平均第90百分位数浓度超过《环境空气质量标准》(GB3095—2012)二级标准。</w:t>
            </w:r>
          </w:p>
          <w:p>
            <w:pPr>
              <w:ind w:firstLine="480" w:firstLineChars="200"/>
              <w:jc w:val="left"/>
            </w:pPr>
            <w:r>
              <w:t>为此苏州市政府在《苏州市</w:t>
            </w:r>
            <w:r>
              <w:rPr>
                <w:rFonts w:hint="eastAsia"/>
                <w:lang w:eastAsia="zh-CN"/>
              </w:rPr>
              <w:t>“</w:t>
            </w:r>
            <w:r>
              <w:t>十三五</w:t>
            </w:r>
            <w:r>
              <w:rPr>
                <w:rFonts w:hint="eastAsia"/>
                <w:lang w:eastAsia="zh-CN"/>
              </w:rPr>
              <w:t>”</w:t>
            </w:r>
            <w:r>
              <w:t>生态环境保护规划》中提出了综合治理大气污染的7项措施，到2020年二氧化硫、氮氧化物、挥发性有机物排放量下降比例达到20%以上，全市空气质量达到优良天数的比例达到73.9%；PM2.5年均浓度下降到44微克/立方米。 </w:t>
            </w:r>
          </w:p>
          <w:p>
            <w:pPr>
              <w:ind w:right="120" w:rightChars="50" w:firstLine="480" w:firstLineChars="200"/>
              <w:jc w:val="left"/>
            </w:pPr>
            <w:r>
              <w:t>（2）水环境质量现状：京杭运河水质监测结果，pH、COD、NH3-N和TP浓度均符合《地表水环境质量标准》（GB3838-2002）中的Ⅳ类水质标准。</w:t>
            </w:r>
          </w:p>
          <w:p>
            <w:pPr>
              <w:ind w:firstLine="480" w:firstLineChars="200"/>
              <w:jc w:val="left"/>
            </w:pPr>
            <w:r>
              <w:t>（3）声环境质量现状：经现场监测，项目所在地东、南、西厂界声环境现状能满足《声环境质量标准》（GB3096-2008）中3类标准要求。</w:t>
            </w:r>
          </w:p>
          <w:p>
            <w:pPr>
              <w:ind w:firstLine="480" w:firstLineChars="200"/>
              <w:jc w:val="left"/>
            </w:pPr>
            <w:r>
              <w:t>5、项目污染物排放情况</w:t>
            </w:r>
          </w:p>
          <w:p>
            <w:pPr>
              <w:pStyle w:val="2"/>
              <w:ind w:firstLine="480"/>
            </w:pPr>
            <w:r>
              <w:t>（1）废气：本项目</w:t>
            </w:r>
            <w:r>
              <w:rPr>
                <w:rFonts w:hint="eastAsia"/>
                <w:lang w:val="en-US" w:eastAsia="zh-CN"/>
              </w:rPr>
              <w:t>挤塑</w:t>
            </w:r>
            <w:r>
              <w:t>过程中产生的废气经过</w:t>
            </w:r>
            <w:r>
              <w:rPr>
                <w:rFonts w:hint="eastAsia"/>
                <w:lang w:val="en-US" w:eastAsia="zh-CN"/>
              </w:rPr>
              <w:t>集气罩</w:t>
            </w:r>
            <w:r>
              <w:t>收集，活性炭吸附</w:t>
            </w:r>
            <w:r>
              <w:rPr>
                <w:rFonts w:hint="eastAsia"/>
                <w:lang w:val="en-US" w:eastAsia="zh-CN"/>
              </w:rPr>
              <w:t>+低温等离子</w:t>
            </w:r>
            <w:r>
              <w:t>设备处理后由现有项目15m高的排气筒达标排放。</w:t>
            </w:r>
            <w:r>
              <w:rPr>
                <w:rFonts w:hint="eastAsia"/>
                <w:lang w:val="en-US" w:eastAsia="zh-CN"/>
              </w:rPr>
              <w:t>本项目捏合过程中产生的颗粒物经除尘设施处理后无组织达标排放。</w:t>
            </w:r>
            <w:r>
              <w:t>本项目排放的无组织大气污染物在周围无超标点，无需设置大气环境防护距离，在</w:t>
            </w:r>
            <w:r>
              <w:rPr>
                <w:rFonts w:hint="eastAsia"/>
                <w:lang w:val="en-US" w:eastAsia="zh-CN"/>
              </w:rPr>
              <w:t>厂房</w:t>
            </w:r>
            <w:r>
              <w:t>为边界设置100m卫生防护距离，该距离内无环境敏感目标。</w:t>
            </w:r>
          </w:p>
          <w:p>
            <w:pPr>
              <w:ind w:firstLine="480" w:firstLineChars="200"/>
              <w:jc w:val="left"/>
            </w:pPr>
            <w:r>
              <w:t>（2）废水：本项目产生员工生活污水，主要污染物为COD、SS、氨氮、总磷等</w:t>
            </w:r>
            <w:r>
              <w:rPr>
                <w:rFonts w:hint="eastAsia"/>
                <w:lang w:eastAsia="zh-CN"/>
              </w:rPr>
              <w:t>，</w:t>
            </w:r>
            <w:r>
              <w:t>生活污水经市政污水管网排入苏州高新区污水处理厂处理，可达标排放。</w:t>
            </w:r>
          </w:p>
          <w:p>
            <w:pPr>
              <w:ind w:firstLine="480" w:firstLineChars="200"/>
              <w:jc w:val="left"/>
            </w:pPr>
            <w:r>
              <w:t>（3）噪声：本项目噪声通过设备减振和厂房隔声等措施，东、南、西厂界噪声可以达到《工业企业厂界环境噪声排放标准》（GB12348-2008）3类标准。</w:t>
            </w:r>
          </w:p>
          <w:p>
            <w:pPr>
              <w:ind w:firstLine="480" w:firstLineChars="200"/>
              <w:jc w:val="left"/>
            </w:pPr>
            <w:r>
              <w:t>（4）固废：项目产生的固体废弃物均妥善处理和利用，固体废物零排放。</w:t>
            </w:r>
          </w:p>
          <w:p>
            <w:pPr>
              <w:widowControl/>
              <w:ind w:firstLine="480" w:firstLineChars="200"/>
              <w:jc w:val="left"/>
            </w:pPr>
            <w:r>
              <w:t>6、项目建成后对周围的环境影响</w:t>
            </w:r>
          </w:p>
          <w:p>
            <w:pPr>
              <w:adjustRightInd w:val="0"/>
              <w:snapToGrid w:val="0"/>
              <w:ind w:firstLine="480" w:firstLineChars="200"/>
            </w:pPr>
            <w:r>
              <w:t>（1）环境空气：经估算，项目排放的大气污染物非甲烷总烃在周围环境空气中最大落地浓度低于环境质量标准，项目建成后对周围环境影响不大。</w:t>
            </w:r>
          </w:p>
          <w:p>
            <w:pPr>
              <w:ind w:firstLine="480" w:firstLineChars="200"/>
              <w:jc w:val="left"/>
            </w:pPr>
            <w:r>
              <w:t>（2）水环境：项目排放</w:t>
            </w:r>
            <w:r>
              <w:rPr>
                <w:rFonts w:hint="eastAsia"/>
                <w:lang w:eastAsia="zh-CN"/>
              </w:rPr>
              <w:t>只排放生活废水</w:t>
            </w:r>
            <w:r>
              <w:t>，通过市政污水管网排入苏州高新区污水处理厂处理达标后排放，其对水环境污染物贡献值极小。</w:t>
            </w:r>
          </w:p>
          <w:p>
            <w:pPr>
              <w:ind w:firstLine="480" w:firstLineChars="200"/>
            </w:pPr>
            <w:r>
              <w:t>（3）声环境：本项目主要噪声源采取减振和隔声等措施，项目所在地东、南、西厂界声环境能满足《工业企业厂界环境噪声排放标准》（GB12348-2008）中3类标准。</w:t>
            </w:r>
          </w:p>
          <w:p>
            <w:pPr>
              <w:pStyle w:val="2"/>
              <w:ind w:firstLine="480"/>
            </w:pPr>
            <w:r>
              <w:t>（4）固废：</w:t>
            </w:r>
            <w:r>
              <w:rPr>
                <w:rFonts w:hint="eastAsia"/>
                <w:lang w:val="en-US" w:eastAsia="zh-CN"/>
              </w:rPr>
              <w:t>一般固废不合格品、废包装</w:t>
            </w:r>
            <w:r>
              <w:t>外售利用，</w:t>
            </w:r>
            <w:r>
              <w:rPr>
                <w:rFonts w:hint="eastAsia"/>
                <w:lang w:val="en-US" w:eastAsia="zh-CN"/>
              </w:rPr>
              <w:t>布袋收尘本厂回用，</w:t>
            </w:r>
            <w:r>
              <w:t>危险废物委托有资质单位进行处置。生活垃圾由环卫部门集中处理。各种固废做到100%利用、处置，不会对周围环境带来二次污染及其他影响。</w:t>
            </w:r>
          </w:p>
          <w:p>
            <w:pPr>
              <w:widowControl/>
              <w:ind w:firstLine="480" w:firstLineChars="200"/>
              <w:jc w:val="left"/>
            </w:pPr>
            <w:r>
              <w:t>7、污染物总量控制方案</w:t>
            </w:r>
          </w:p>
          <w:p>
            <w:pPr>
              <w:ind w:firstLine="480" w:firstLineChars="200"/>
              <w:jc w:val="left"/>
            </w:pPr>
            <w:r>
              <w:t>本项目水质污染物排放总量控制因子为COD、氨氮、总磷、总氮，考核因子为SS、石油类；大气污染物总量控制因子为非甲烷总烃，考核因子颗粒物。</w:t>
            </w:r>
          </w:p>
          <w:p>
            <w:pPr>
              <w:ind w:firstLine="480" w:firstLineChars="200"/>
              <w:jc w:val="left"/>
            </w:pPr>
            <w:r>
              <w:t>水污染物总量在苏州高新区污水处理厂内平衡；大气污染物总量在区域内平衡。</w:t>
            </w:r>
          </w:p>
          <w:p>
            <w:pPr>
              <w:jc w:val="center"/>
            </w:pPr>
            <w:r>
              <w:rPr>
                <w:b/>
                <w:bCs/>
                <w:sz w:val="21"/>
                <w:szCs w:val="21"/>
              </w:rPr>
              <w:t>表9-1  本项目污染物排放总量指标</w:t>
            </w:r>
            <w:r>
              <w:rPr>
                <w:rFonts w:hint="eastAsia"/>
                <w:b/>
                <w:bCs/>
                <w:sz w:val="21"/>
                <w:szCs w:val="21"/>
                <w:lang w:eastAsia="zh-CN"/>
              </w:rPr>
              <w:t>“</w:t>
            </w:r>
            <w:r>
              <w:rPr>
                <w:b/>
                <w:bCs/>
                <w:sz w:val="21"/>
                <w:szCs w:val="21"/>
              </w:rPr>
              <w:t>三本帐</w:t>
            </w:r>
            <w:r>
              <w:rPr>
                <w:rFonts w:hint="eastAsia"/>
                <w:b/>
                <w:bCs/>
                <w:sz w:val="21"/>
                <w:szCs w:val="21"/>
                <w:lang w:eastAsia="zh-CN"/>
              </w:rPr>
              <w:t>”</w:t>
            </w:r>
            <w:r>
              <w:rPr>
                <w:b/>
                <w:bCs/>
                <w:sz w:val="21"/>
                <w:szCs w:val="21"/>
              </w:rPr>
              <w:t>（单位：t/a）</w:t>
            </w:r>
          </w:p>
          <w:tbl>
            <w:tblPr>
              <w:tblStyle w:val="26"/>
              <w:tblW w:w="90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
              <w:gridCol w:w="722"/>
              <w:gridCol w:w="1086"/>
              <w:gridCol w:w="883"/>
              <w:gridCol w:w="837"/>
              <w:gridCol w:w="837"/>
              <w:gridCol w:w="839"/>
              <w:gridCol w:w="923"/>
              <w:gridCol w:w="1292"/>
              <w:gridCol w:w="12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restart"/>
                  <w:noWrap w:val="0"/>
                  <w:vAlign w:val="center"/>
                </w:tcPr>
                <w:p>
                  <w:pPr>
                    <w:spacing w:line="240" w:lineRule="auto"/>
                    <w:jc w:val="center"/>
                    <w:rPr>
                      <w:rFonts w:hint="default"/>
                      <w:sz w:val="21"/>
                      <w:szCs w:val="21"/>
                    </w:rPr>
                  </w:pPr>
                  <w:r>
                    <w:rPr>
                      <w:rFonts w:hint="default"/>
                      <w:sz w:val="21"/>
                      <w:szCs w:val="21"/>
                    </w:rPr>
                    <w:t>种类</w:t>
                  </w:r>
                </w:p>
              </w:tc>
              <w:tc>
                <w:tcPr>
                  <w:tcW w:w="1086" w:type="dxa"/>
                  <w:vMerge w:val="restart"/>
                  <w:noWrap w:val="0"/>
                  <w:vAlign w:val="center"/>
                </w:tcPr>
                <w:p>
                  <w:pPr>
                    <w:spacing w:line="240" w:lineRule="auto"/>
                    <w:jc w:val="center"/>
                    <w:rPr>
                      <w:rFonts w:hint="default"/>
                      <w:sz w:val="21"/>
                      <w:szCs w:val="21"/>
                    </w:rPr>
                  </w:pPr>
                  <w:r>
                    <w:rPr>
                      <w:rFonts w:hint="default"/>
                      <w:sz w:val="21"/>
                      <w:szCs w:val="21"/>
                    </w:rPr>
                    <w:t>污染物名称</w:t>
                  </w:r>
                </w:p>
              </w:tc>
              <w:tc>
                <w:tcPr>
                  <w:tcW w:w="883" w:type="dxa"/>
                  <w:vMerge w:val="restart"/>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扩建前排放量</w:t>
                  </w:r>
                </w:p>
              </w:tc>
              <w:tc>
                <w:tcPr>
                  <w:tcW w:w="2513" w:type="dxa"/>
                  <w:gridSpan w:val="3"/>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本工程（改扩建）</w:t>
                  </w:r>
                </w:p>
              </w:tc>
              <w:tc>
                <w:tcPr>
                  <w:tcW w:w="923" w:type="dxa"/>
                  <w:vMerge w:val="restart"/>
                  <w:noWrap w:val="0"/>
                  <w:vAlign w:val="center"/>
                </w:tcPr>
                <w:p>
                  <w:pPr>
                    <w:spacing w:line="240" w:lineRule="auto"/>
                    <w:jc w:val="center"/>
                    <w:rPr>
                      <w:rFonts w:hint="default"/>
                      <w:sz w:val="21"/>
                      <w:szCs w:val="21"/>
                    </w:rPr>
                  </w:pPr>
                  <w:r>
                    <w:rPr>
                      <w:rFonts w:hint="eastAsia"/>
                      <w:sz w:val="21"/>
                      <w:szCs w:val="21"/>
                      <w:lang w:val="en-US" w:eastAsia="zh-CN"/>
                    </w:rPr>
                    <w:t>以老带新</w:t>
                  </w:r>
                  <w:r>
                    <w:rPr>
                      <w:rFonts w:hint="default"/>
                      <w:sz w:val="21"/>
                      <w:szCs w:val="21"/>
                    </w:rPr>
                    <w:t>削减量</w:t>
                  </w:r>
                </w:p>
              </w:tc>
              <w:tc>
                <w:tcPr>
                  <w:tcW w:w="1292" w:type="dxa"/>
                  <w:vMerge w:val="restart"/>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排放增减量</w:t>
                  </w:r>
                </w:p>
              </w:tc>
              <w:tc>
                <w:tcPr>
                  <w:tcW w:w="1243" w:type="dxa"/>
                  <w:vMerge w:val="restart"/>
                  <w:noWrap w:val="0"/>
                  <w:vAlign w:val="center"/>
                </w:tcPr>
                <w:p>
                  <w:pPr>
                    <w:spacing w:line="240" w:lineRule="auto"/>
                    <w:jc w:val="center"/>
                    <w:rPr>
                      <w:rFonts w:hint="default"/>
                      <w:sz w:val="21"/>
                      <w:szCs w:val="21"/>
                    </w:rPr>
                  </w:pPr>
                  <w:r>
                    <w:rPr>
                      <w:rFonts w:hint="eastAsia"/>
                      <w:sz w:val="21"/>
                      <w:szCs w:val="21"/>
                      <w:lang w:val="en-US" w:eastAsia="zh-CN"/>
                    </w:rPr>
                    <w:t>最终排放量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vMerge w:val="continue"/>
                  <w:noWrap w:val="0"/>
                  <w:vAlign w:val="center"/>
                </w:tcPr>
                <w:p>
                  <w:pPr>
                    <w:spacing w:line="240" w:lineRule="auto"/>
                    <w:jc w:val="center"/>
                    <w:rPr>
                      <w:rFonts w:hint="default"/>
                      <w:sz w:val="21"/>
                      <w:szCs w:val="21"/>
                    </w:rPr>
                  </w:pPr>
                </w:p>
              </w:tc>
              <w:tc>
                <w:tcPr>
                  <w:tcW w:w="883" w:type="dxa"/>
                  <w:vMerge w:val="continue"/>
                  <w:noWrap w:val="0"/>
                  <w:vAlign w:val="center"/>
                </w:tcPr>
                <w:p>
                  <w:pPr>
                    <w:spacing w:line="240" w:lineRule="auto"/>
                    <w:jc w:val="center"/>
                    <w:rPr>
                      <w:rFonts w:hint="default"/>
                      <w:sz w:val="21"/>
                      <w:szCs w:val="21"/>
                    </w:rPr>
                  </w:pP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产生量</w:t>
                  </w: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消减量</w:t>
                  </w:r>
                </w:p>
              </w:tc>
              <w:tc>
                <w:tcPr>
                  <w:tcW w:w="839"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排放量</w:t>
                  </w:r>
                </w:p>
              </w:tc>
              <w:tc>
                <w:tcPr>
                  <w:tcW w:w="923" w:type="dxa"/>
                  <w:vMerge w:val="continue"/>
                  <w:noWrap w:val="0"/>
                  <w:vAlign w:val="center"/>
                </w:tcPr>
                <w:p>
                  <w:pPr>
                    <w:spacing w:line="240" w:lineRule="auto"/>
                    <w:jc w:val="center"/>
                    <w:rPr>
                      <w:rFonts w:hint="default"/>
                      <w:sz w:val="21"/>
                      <w:szCs w:val="21"/>
                    </w:rPr>
                  </w:pPr>
                </w:p>
              </w:tc>
              <w:tc>
                <w:tcPr>
                  <w:tcW w:w="1292" w:type="dxa"/>
                  <w:vMerge w:val="continue"/>
                  <w:noWrap w:val="0"/>
                  <w:vAlign w:val="center"/>
                </w:tcPr>
                <w:p>
                  <w:pPr>
                    <w:spacing w:line="240" w:lineRule="auto"/>
                    <w:jc w:val="center"/>
                    <w:rPr>
                      <w:rFonts w:hint="default"/>
                      <w:sz w:val="21"/>
                      <w:szCs w:val="21"/>
                    </w:rPr>
                  </w:pPr>
                </w:p>
              </w:tc>
              <w:tc>
                <w:tcPr>
                  <w:tcW w:w="1243" w:type="dxa"/>
                  <w:vMerge w:val="continue"/>
                  <w:noWrap w:val="0"/>
                  <w:vAlign w:val="center"/>
                </w:tcPr>
                <w:p>
                  <w:pPr>
                    <w:spacing w:line="240" w:lineRule="auto"/>
                    <w:jc w:val="center"/>
                    <w:rPr>
                      <w:rFonts w:hint="default"/>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restart"/>
                  <w:noWrap w:val="0"/>
                  <w:vAlign w:val="center"/>
                </w:tcPr>
                <w:p>
                  <w:pPr>
                    <w:spacing w:line="240" w:lineRule="auto"/>
                    <w:jc w:val="center"/>
                    <w:rPr>
                      <w:rFonts w:hint="default"/>
                      <w:sz w:val="21"/>
                      <w:szCs w:val="21"/>
                    </w:rPr>
                  </w:pPr>
                  <w:r>
                    <w:rPr>
                      <w:rFonts w:hint="default"/>
                      <w:sz w:val="21"/>
                      <w:szCs w:val="21"/>
                    </w:rPr>
                    <w:t>生活污水</w:t>
                  </w:r>
                </w:p>
              </w:tc>
              <w:tc>
                <w:tcPr>
                  <w:tcW w:w="1086" w:type="dxa"/>
                  <w:noWrap w:val="0"/>
                  <w:vAlign w:val="center"/>
                </w:tcPr>
                <w:p>
                  <w:pPr>
                    <w:spacing w:line="240" w:lineRule="auto"/>
                    <w:jc w:val="center"/>
                    <w:rPr>
                      <w:rFonts w:hint="default"/>
                      <w:sz w:val="21"/>
                      <w:szCs w:val="21"/>
                    </w:rPr>
                  </w:pPr>
                  <w:r>
                    <w:rPr>
                      <w:rFonts w:hint="default"/>
                      <w:sz w:val="21"/>
                      <w:szCs w:val="21"/>
                    </w:rPr>
                    <w:t>排水量</w:t>
                  </w:r>
                </w:p>
              </w:tc>
              <w:tc>
                <w:tcPr>
                  <w:tcW w:w="88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260</w:t>
                  </w:r>
                </w:p>
              </w:tc>
              <w:tc>
                <w:tcPr>
                  <w:tcW w:w="837"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456</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456</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+456</w:t>
                  </w:r>
                </w:p>
              </w:tc>
              <w:tc>
                <w:tcPr>
                  <w:tcW w:w="124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COD</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0.098</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+0.2052</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0.3032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SS</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0.05</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+0.1368</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0.1868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氨氮</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0.0072</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+0.01596</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0.02316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1100" w:type="dxa"/>
                  <w:gridSpan w:val="2"/>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总磷</w:t>
                  </w:r>
                </w:p>
              </w:tc>
              <w:tc>
                <w:tcPr>
                  <w:tcW w:w="883" w:type="dxa"/>
                  <w:noWrap w:val="0"/>
                  <w:vAlign w:val="center"/>
                </w:tcPr>
                <w:p>
                  <w:pPr>
                    <w:pStyle w:val="2"/>
                    <w:spacing w:line="240" w:lineRule="auto"/>
                    <w:ind w:firstLine="0" w:firstLineChars="0"/>
                    <w:jc w:val="center"/>
                    <w:rPr>
                      <w:rFonts w:hint="default"/>
                      <w:sz w:val="21"/>
                      <w:szCs w:val="21"/>
                      <w:lang w:val="en-US" w:eastAsia="zh-CN"/>
                    </w:rPr>
                  </w:pPr>
                  <w:r>
                    <w:rPr>
                      <w:rFonts w:hint="eastAsia"/>
                      <w:sz w:val="21"/>
                      <w:szCs w:val="21"/>
                      <w:lang w:val="en-US" w:eastAsia="zh-CN"/>
                    </w:rPr>
                    <w:t>0.00096</w:t>
                  </w:r>
                </w:p>
              </w:tc>
              <w:tc>
                <w:tcPr>
                  <w:tcW w:w="837"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0.003648</w:t>
                  </w:r>
                </w:p>
              </w:tc>
              <w:tc>
                <w:tcPr>
                  <w:tcW w:w="837" w:type="dxa"/>
                  <w:noWrap w:val="0"/>
                  <w:vAlign w:val="center"/>
                </w:tcPr>
                <w:p>
                  <w:pPr>
                    <w:spacing w:line="240" w:lineRule="auto"/>
                    <w:jc w:val="center"/>
                    <w:rPr>
                      <w:rFonts w:hint="eastAsia" w:eastAsia="宋体"/>
                      <w:sz w:val="21"/>
                      <w:szCs w:val="21"/>
                      <w:lang w:val="en-US" w:eastAsia="zh-CN"/>
                    </w:rPr>
                  </w:pPr>
                  <w:r>
                    <w:rPr>
                      <w:rFonts w:hint="eastAsia"/>
                      <w:sz w:val="21"/>
                      <w:szCs w:val="21"/>
                      <w:lang w:val="en-US" w:eastAsia="zh-CN"/>
                    </w:rPr>
                    <w:t>0</w:t>
                  </w:r>
                </w:p>
              </w:tc>
              <w:tc>
                <w:tcPr>
                  <w:tcW w:w="839"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0.003648</w:t>
                  </w:r>
                </w:p>
              </w:tc>
              <w:tc>
                <w:tcPr>
                  <w:tcW w:w="92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t>
                  </w:r>
                  <w:r>
                    <w:rPr>
                      <w:rFonts w:hint="default"/>
                      <w:sz w:val="21"/>
                      <w:szCs w:val="21"/>
                      <w:lang w:val="en-US" w:eastAsia="zh-CN"/>
                    </w:rPr>
                    <w:t>0.003648</w:t>
                  </w:r>
                </w:p>
              </w:tc>
              <w:tc>
                <w:tcPr>
                  <w:tcW w:w="1243" w:type="dxa"/>
                  <w:noWrap w:val="0"/>
                  <w:vAlign w:val="center"/>
                </w:tcPr>
                <w:p>
                  <w:pPr>
                    <w:pStyle w:val="2"/>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0.004608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restart"/>
                  <w:noWrap w:val="0"/>
                  <w:vAlign w:val="center"/>
                </w:tcPr>
                <w:p>
                  <w:pPr>
                    <w:spacing w:line="240" w:lineRule="auto"/>
                    <w:jc w:val="center"/>
                    <w:rPr>
                      <w:rFonts w:hint="default"/>
                      <w:sz w:val="21"/>
                      <w:szCs w:val="21"/>
                    </w:rPr>
                  </w:pPr>
                  <w:r>
                    <w:rPr>
                      <w:rFonts w:hint="default"/>
                      <w:sz w:val="21"/>
                      <w:szCs w:val="21"/>
                    </w:rPr>
                    <w:t>废气</w:t>
                  </w:r>
                </w:p>
              </w:tc>
              <w:tc>
                <w:tcPr>
                  <w:tcW w:w="722" w:type="dxa"/>
                  <w:vMerge w:val="restart"/>
                  <w:noWrap w:val="0"/>
                  <w:vAlign w:val="center"/>
                </w:tcPr>
                <w:p>
                  <w:pPr>
                    <w:spacing w:line="240" w:lineRule="auto"/>
                    <w:jc w:val="center"/>
                    <w:rPr>
                      <w:rFonts w:hint="default"/>
                      <w:sz w:val="21"/>
                      <w:szCs w:val="21"/>
                    </w:rPr>
                  </w:pPr>
                  <w:r>
                    <w:rPr>
                      <w:rFonts w:hint="default"/>
                      <w:sz w:val="21"/>
                      <w:szCs w:val="21"/>
                    </w:rPr>
                    <w:t>有组织</w:t>
                  </w:r>
                </w:p>
              </w:tc>
              <w:tc>
                <w:tcPr>
                  <w:tcW w:w="1086" w:type="dxa"/>
                  <w:noWrap w:val="0"/>
                  <w:vAlign w:val="center"/>
                </w:tcPr>
                <w:p>
                  <w:pPr>
                    <w:spacing w:line="240" w:lineRule="auto"/>
                    <w:jc w:val="center"/>
                    <w:rPr>
                      <w:rFonts w:hint="default" w:eastAsia="宋体"/>
                      <w:sz w:val="21"/>
                      <w:szCs w:val="21"/>
                      <w:lang w:val="en-US" w:eastAsia="zh-CN"/>
                    </w:rPr>
                  </w:pPr>
                  <w:r>
                    <w:rPr>
                      <w:rFonts w:hint="eastAsia"/>
                      <w:sz w:val="21"/>
                      <w:szCs w:val="21"/>
                      <w:lang w:val="en-US" w:eastAsia="zh-CN"/>
                    </w:rPr>
                    <w:t>废气量m</w:t>
                  </w:r>
                  <w:r>
                    <w:rPr>
                      <w:rFonts w:hint="eastAsia"/>
                      <w:sz w:val="21"/>
                      <w:szCs w:val="21"/>
                      <w:vertAlign w:val="superscript"/>
                      <w:lang w:val="en-US" w:eastAsia="zh-CN"/>
                    </w:rPr>
                    <w:t>3</w:t>
                  </w:r>
                  <w:r>
                    <w:rPr>
                      <w:rFonts w:hint="eastAsia"/>
                      <w:sz w:val="21"/>
                      <w:szCs w:val="21"/>
                      <w:lang w:val="en-US" w:eastAsia="zh-CN"/>
                    </w:rPr>
                    <w:t>/a</w:t>
                  </w:r>
                </w:p>
              </w:tc>
              <w:tc>
                <w:tcPr>
                  <w:tcW w:w="88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960万</w:t>
                  </w:r>
                </w:p>
              </w:tc>
              <w:tc>
                <w:tcPr>
                  <w:tcW w:w="837" w:type="dxa"/>
                  <w:noWrap w:val="0"/>
                  <w:vAlign w:val="center"/>
                </w:tcPr>
                <w:p>
                  <w:pPr>
                    <w:spacing w:line="240" w:lineRule="auto"/>
                    <w:jc w:val="center"/>
                    <w:rPr>
                      <w:rFonts w:hint="default"/>
                      <w:sz w:val="21"/>
                      <w:szCs w:val="21"/>
                      <w:lang w:val="en-US" w:eastAsia="zh-CN"/>
                    </w:rPr>
                  </w:pPr>
                  <w:r>
                    <w:rPr>
                      <w:rFonts w:hint="eastAsia" w:cs="Times New Roman"/>
                      <w:kern w:val="2"/>
                      <w:sz w:val="21"/>
                      <w:szCs w:val="21"/>
                      <w:lang w:val="en-US" w:eastAsia="zh-CN" w:bidi="ar-SA"/>
                    </w:rPr>
                    <w:t>960万</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839"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960万</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+960万</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1920万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continue"/>
                  <w:noWrap w:val="0"/>
                  <w:vAlign w:val="center"/>
                </w:tcPr>
                <w:p>
                  <w:pPr>
                    <w:spacing w:line="240" w:lineRule="auto"/>
                    <w:jc w:val="center"/>
                    <w:rPr>
                      <w:rFonts w:hint="default"/>
                      <w:sz w:val="21"/>
                      <w:szCs w:val="21"/>
                    </w:rPr>
                  </w:pPr>
                </w:p>
              </w:tc>
              <w:tc>
                <w:tcPr>
                  <w:tcW w:w="722" w:type="dxa"/>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sz w:val="21"/>
                      <w:szCs w:val="21"/>
                    </w:rPr>
                    <w:t>非甲烷总烃</w:t>
                  </w:r>
                </w:p>
              </w:tc>
              <w:tc>
                <w:tcPr>
                  <w:tcW w:w="88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0.41</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1.365</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0.135</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0.14</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-0.14</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378" w:type="dxa"/>
                  <w:vMerge w:val="continue"/>
                  <w:noWrap w:val="0"/>
                  <w:vAlign w:val="center"/>
                </w:tcPr>
                <w:p>
                  <w:pPr>
                    <w:spacing w:line="240" w:lineRule="auto"/>
                    <w:jc w:val="center"/>
                    <w:rPr>
                      <w:rFonts w:hint="default"/>
                      <w:sz w:val="21"/>
                      <w:szCs w:val="21"/>
                    </w:rPr>
                  </w:pPr>
                </w:p>
              </w:tc>
              <w:tc>
                <w:tcPr>
                  <w:tcW w:w="722" w:type="dxa"/>
                  <w:vMerge w:val="restart"/>
                  <w:noWrap w:val="0"/>
                  <w:vAlign w:val="center"/>
                </w:tcPr>
                <w:p>
                  <w:pPr>
                    <w:spacing w:line="240" w:lineRule="auto"/>
                    <w:jc w:val="center"/>
                    <w:rPr>
                      <w:rFonts w:hint="default"/>
                      <w:sz w:val="21"/>
                      <w:szCs w:val="21"/>
                    </w:rPr>
                  </w:pPr>
                  <w:r>
                    <w:rPr>
                      <w:rFonts w:hint="default"/>
                      <w:sz w:val="21"/>
                      <w:szCs w:val="21"/>
                    </w:rPr>
                    <w:t>无组织</w:t>
                  </w:r>
                </w:p>
              </w:tc>
              <w:tc>
                <w:tcPr>
                  <w:tcW w:w="1086" w:type="dxa"/>
                  <w:noWrap w:val="0"/>
                  <w:vAlign w:val="center"/>
                </w:tcPr>
                <w:p>
                  <w:pPr>
                    <w:spacing w:line="240" w:lineRule="auto"/>
                    <w:jc w:val="center"/>
                    <w:rPr>
                      <w:rFonts w:hint="default"/>
                      <w:sz w:val="21"/>
                      <w:szCs w:val="21"/>
                    </w:rPr>
                  </w:pPr>
                  <w:r>
                    <w:rPr>
                      <w:rFonts w:hint="default"/>
                      <w:sz w:val="21"/>
                      <w:szCs w:val="21"/>
                    </w:rPr>
                    <w:t>非甲烷总烃</w:t>
                  </w:r>
                </w:p>
              </w:tc>
              <w:tc>
                <w:tcPr>
                  <w:tcW w:w="88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0.15</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0.15</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0.15</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+0.15</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noWrap w:val="0"/>
                  <w:vAlign w:val="center"/>
                </w:tcPr>
                <w:p>
                  <w:pPr>
                    <w:spacing w:line="240" w:lineRule="auto"/>
                    <w:jc w:val="center"/>
                    <w:rPr>
                      <w:rFonts w:hint="default"/>
                      <w:sz w:val="21"/>
                      <w:szCs w:val="21"/>
                    </w:rPr>
                  </w:pPr>
                </w:p>
              </w:tc>
              <w:tc>
                <w:tcPr>
                  <w:tcW w:w="722" w:type="dxa"/>
                  <w:vMerge w:val="continue"/>
                  <w:noWrap w:val="0"/>
                  <w:vAlign w:val="center"/>
                </w:tcPr>
                <w:p>
                  <w:pPr>
                    <w:spacing w:line="240" w:lineRule="auto"/>
                    <w:jc w:val="center"/>
                    <w:rPr>
                      <w:rFonts w:hint="default"/>
                      <w:sz w:val="21"/>
                      <w:szCs w:val="21"/>
                    </w:rPr>
                  </w:pPr>
                </w:p>
              </w:tc>
              <w:tc>
                <w:tcPr>
                  <w:tcW w:w="1086" w:type="dxa"/>
                  <w:noWrap w:val="0"/>
                  <w:vAlign w:val="center"/>
                </w:tcPr>
                <w:p>
                  <w:pPr>
                    <w:spacing w:line="240" w:lineRule="auto"/>
                    <w:jc w:val="center"/>
                    <w:rPr>
                      <w:rFonts w:hint="default"/>
                      <w:sz w:val="21"/>
                      <w:szCs w:val="21"/>
                    </w:rPr>
                  </w:pPr>
                  <w:r>
                    <w:rPr>
                      <w:rFonts w:hint="default"/>
                      <w:sz w:val="21"/>
                      <w:szCs w:val="21"/>
                    </w:rPr>
                    <w:t>颗粒物</w:t>
                  </w:r>
                </w:p>
              </w:tc>
              <w:tc>
                <w:tcPr>
                  <w:tcW w:w="88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w:t>
                  </w:r>
                </w:p>
              </w:tc>
              <w:tc>
                <w:tcPr>
                  <w:tcW w:w="837"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0.3</w:t>
                  </w:r>
                </w:p>
              </w:tc>
              <w:tc>
                <w:tcPr>
                  <w:tcW w:w="837"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0.2673</w:t>
                  </w:r>
                </w:p>
              </w:tc>
              <w:tc>
                <w:tcPr>
                  <w:tcW w:w="839"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0.0327</w:t>
                  </w:r>
                </w:p>
              </w:tc>
              <w:tc>
                <w:tcPr>
                  <w:tcW w:w="92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w:t>
                  </w:r>
                </w:p>
              </w:tc>
              <w:tc>
                <w:tcPr>
                  <w:tcW w:w="1292"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+0.0327</w:t>
                  </w:r>
                </w:p>
              </w:tc>
              <w:tc>
                <w:tcPr>
                  <w:tcW w:w="1243" w:type="dxa"/>
                  <w:noWrap w:val="0"/>
                  <w:vAlign w:val="center"/>
                </w:tcPr>
                <w:p>
                  <w:pPr>
                    <w:spacing w:line="240" w:lineRule="auto"/>
                    <w:jc w:val="center"/>
                    <w:rPr>
                      <w:rFonts w:hint="default"/>
                      <w:sz w:val="21"/>
                      <w:szCs w:val="21"/>
                      <w:lang w:val="en-US" w:eastAsia="zh-CN"/>
                    </w:rPr>
                  </w:pPr>
                  <w:r>
                    <w:rPr>
                      <w:rFonts w:hint="eastAsia"/>
                      <w:sz w:val="21"/>
                      <w:szCs w:val="21"/>
                      <w:lang w:val="en-US" w:eastAsia="zh-CN"/>
                    </w:rPr>
                    <w:t>0.0327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restart"/>
                  <w:noWrap w:val="0"/>
                  <w:vAlign w:val="center"/>
                </w:tcPr>
                <w:p>
                  <w:pPr>
                    <w:snapToGrid w:val="0"/>
                    <w:spacing w:line="240" w:lineRule="auto"/>
                    <w:ind w:left="-120" w:leftChars="-50" w:right="-120" w:rightChars="-50"/>
                    <w:jc w:val="center"/>
                    <w:rPr>
                      <w:sz w:val="21"/>
                      <w:szCs w:val="21"/>
                    </w:rPr>
                  </w:pPr>
                  <w:r>
                    <w:rPr>
                      <w:sz w:val="21"/>
                      <w:szCs w:val="21"/>
                    </w:rPr>
                    <w:t>固</w:t>
                  </w:r>
                </w:p>
                <w:p>
                  <w:pPr>
                    <w:snapToGrid w:val="0"/>
                    <w:spacing w:line="240" w:lineRule="auto"/>
                    <w:ind w:left="-120" w:leftChars="-50" w:right="-120" w:rightChars="-50"/>
                    <w:jc w:val="center"/>
                    <w:rPr>
                      <w:sz w:val="21"/>
                      <w:szCs w:val="21"/>
                    </w:rPr>
                  </w:pPr>
                  <w:r>
                    <w:rPr>
                      <w:sz w:val="21"/>
                      <w:szCs w:val="21"/>
                    </w:rPr>
                    <w:t>体</w:t>
                  </w:r>
                </w:p>
                <w:p>
                  <w:pPr>
                    <w:snapToGrid w:val="0"/>
                    <w:spacing w:line="240" w:lineRule="auto"/>
                    <w:ind w:left="-120" w:leftChars="-50" w:right="-120" w:rightChars="-50"/>
                    <w:jc w:val="center"/>
                    <w:rPr>
                      <w:sz w:val="21"/>
                      <w:szCs w:val="21"/>
                    </w:rPr>
                  </w:pPr>
                  <w:r>
                    <w:rPr>
                      <w:sz w:val="21"/>
                      <w:szCs w:val="21"/>
                    </w:rPr>
                    <w:t>废</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sz w:val="21"/>
                      <w:szCs w:val="21"/>
                    </w:rPr>
                    <w:t>物</w:t>
                  </w:r>
                </w:p>
              </w:tc>
              <w:tc>
                <w:tcPr>
                  <w:tcW w:w="722" w:type="dxa"/>
                  <w:vMerge w:val="restart"/>
                  <w:noWrap w:val="0"/>
                  <w:vAlign w:val="center"/>
                </w:tcPr>
                <w:p>
                  <w:pPr>
                    <w:snapToGrid w:val="0"/>
                    <w:spacing w:line="240" w:lineRule="auto"/>
                    <w:ind w:left="-120" w:leftChars="-50" w:right="-120" w:rightChars="-50"/>
                    <w:jc w:val="center"/>
                    <w:rPr>
                      <w:rFonts w:hint="eastAsia"/>
                      <w:sz w:val="21"/>
                      <w:szCs w:val="21"/>
                      <w:lang w:val="en-US" w:eastAsia="zh-CN"/>
                    </w:rPr>
                  </w:pPr>
                  <w:r>
                    <w:rPr>
                      <w:rFonts w:hint="eastAsia"/>
                      <w:sz w:val="21"/>
                      <w:szCs w:val="21"/>
                      <w:lang w:val="en-US" w:eastAsia="zh-CN"/>
                    </w:rPr>
                    <w:t>一般</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固废</w:t>
                  </w:r>
                </w:p>
              </w:tc>
              <w:tc>
                <w:tcPr>
                  <w:tcW w:w="1086" w:type="dxa"/>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废包装</w:t>
                  </w:r>
                </w:p>
              </w:tc>
              <w:tc>
                <w:tcPr>
                  <w:tcW w:w="883" w:type="dxa"/>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837"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c>
                <w:tcPr>
                  <w:tcW w:w="837" w:type="dxa"/>
                  <w:noWrap w:val="0"/>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839"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92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92"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1243" w:type="dxa"/>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722" w:type="dxa"/>
                  <w:vMerge w:val="continue"/>
                </w:tcPr>
                <w:p>
                  <w:pPr>
                    <w:spacing w:line="240" w:lineRule="auto"/>
                    <w:jc w:val="center"/>
                    <w:rPr>
                      <w:rFonts w:hint="default"/>
                      <w:sz w:val="21"/>
                      <w:szCs w:val="21"/>
                    </w:rPr>
                  </w:pP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不合格品</w:t>
                  </w:r>
                </w:p>
              </w:tc>
              <w:tc>
                <w:tcPr>
                  <w:tcW w:w="0" w:type="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378" w:type="dxa"/>
                  <w:vMerge w:val="continue"/>
                </w:tcPr>
                <w:p>
                  <w:pPr>
                    <w:spacing w:line="240" w:lineRule="auto"/>
                    <w:jc w:val="center"/>
                    <w:rPr>
                      <w:rFonts w:hint="default"/>
                      <w:sz w:val="21"/>
                      <w:szCs w:val="21"/>
                    </w:rPr>
                  </w:pPr>
                </w:p>
              </w:tc>
              <w:tc>
                <w:tcPr>
                  <w:tcW w:w="722" w:type="dxa"/>
                  <w:vMerge w:val="continue"/>
                </w:tcPr>
                <w:p>
                  <w:pPr>
                    <w:spacing w:line="240" w:lineRule="auto"/>
                    <w:jc w:val="center"/>
                    <w:rPr>
                      <w:rFonts w:hint="default"/>
                      <w:sz w:val="21"/>
                      <w:szCs w:val="21"/>
                    </w:rPr>
                  </w:pPr>
                </w:p>
              </w:tc>
              <w:tc>
                <w:tcPr>
                  <w:tcW w:w="0" w:type="auto"/>
                  <w:vAlign w:val="center"/>
                </w:tcPr>
                <w:p>
                  <w:pPr>
                    <w:snapToGrid w:val="0"/>
                    <w:spacing w:line="240" w:lineRule="auto"/>
                    <w:jc w:val="center"/>
                    <w:rPr>
                      <w:rFonts w:hint="eastAsia"/>
                      <w:sz w:val="21"/>
                      <w:szCs w:val="21"/>
                      <w:lang w:val="en-US" w:eastAsia="zh-CN"/>
                    </w:rPr>
                  </w:pPr>
                  <w:r>
                    <w:rPr>
                      <w:rFonts w:hint="eastAsia"/>
                      <w:sz w:val="21"/>
                      <w:szCs w:val="21"/>
                      <w:lang w:val="en-US" w:eastAsia="zh-CN"/>
                    </w:rPr>
                    <w:t>布袋收尘</w:t>
                  </w:r>
                </w:p>
              </w:tc>
              <w:tc>
                <w:tcPr>
                  <w:tcW w:w="0" w:type="auto"/>
                  <w:vAlign w:val="center"/>
                </w:tcPr>
                <w:p>
                  <w:pPr>
                    <w:spacing w:line="240" w:lineRule="auto"/>
                    <w:jc w:val="center"/>
                    <w:rPr>
                      <w:rFonts w:hint="default"/>
                      <w:sz w:val="21"/>
                      <w:szCs w:val="21"/>
                      <w:lang w:val="en-US" w:eastAsia="zh-CN"/>
                    </w:rPr>
                  </w:pPr>
                  <w:r>
                    <w:rPr>
                      <w:rFonts w:hint="eastAsia"/>
                      <w:sz w:val="21"/>
                      <w:szCs w:val="21"/>
                      <w:lang w:val="en-US" w:eastAsia="zh-CN"/>
                    </w:rPr>
                    <w:t>/</w:t>
                  </w:r>
                </w:p>
              </w:tc>
              <w:tc>
                <w:tcPr>
                  <w:tcW w:w="0" w:type="auto"/>
                  <w:vAlign w:val="center"/>
                </w:tcPr>
                <w:p>
                  <w:pPr>
                    <w:widowControl/>
                    <w:spacing w:line="240" w:lineRule="auto"/>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0.2673</w:t>
                  </w:r>
                </w:p>
              </w:tc>
              <w:tc>
                <w:tcPr>
                  <w:tcW w:w="0" w:type="auto"/>
                  <w:vAlign w:val="center"/>
                </w:tcPr>
                <w:p>
                  <w:pPr>
                    <w:widowControl/>
                    <w:spacing w:line="240" w:lineRule="auto"/>
                    <w:jc w:val="center"/>
                    <w:textAlignment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0.2673</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0" w:type="auto"/>
                  <w:vAlign w:val="center"/>
                </w:tcPr>
                <w:p>
                  <w:pPr>
                    <w:snapToGrid w:val="0"/>
                    <w:spacing w:line="240" w:lineRule="auto"/>
                    <w:ind w:left="-120" w:leftChars="-50" w:right="-120" w:rightChars="-50"/>
                    <w:jc w:val="center"/>
                    <w:rPr>
                      <w:rFonts w:hint="eastAsia"/>
                      <w:sz w:val="21"/>
                      <w:szCs w:val="21"/>
                      <w:lang w:val="en-US" w:eastAsia="zh-CN"/>
                    </w:rPr>
                  </w:pPr>
                  <w:r>
                    <w:rPr>
                      <w:rFonts w:hint="eastAsia"/>
                      <w:sz w:val="21"/>
                      <w:szCs w:val="21"/>
                      <w:lang w:val="en-US" w:eastAsia="zh-CN"/>
                    </w:rPr>
                    <w:t>危险</w:t>
                  </w:r>
                </w:p>
                <w:p>
                  <w:pPr>
                    <w:snapToGrid w:val="0"/>
                    <w:spacing w:line="240" w:lineRule="auto"/>
                    <w:ind w:left="-120" w:leftChars="-50" w:right="-120" w:rightChars="-5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固废</w:t>
                  </w:r>
                </w:p>
              </w:tc>
              <w:tc>
                <w:tcPr>
                  <w:tcW w:w="0" w:type="auto"/>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废活性炭</w:t>
                  </w:r>
                </w:p>
              </w:tc>
              <w:tc>
                <w:tcPr>
                  <w:tcW w:w="0" w:type="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378" w:type="dxa"/>
                  <w:vMerge w:val="continue"/>
                </w:tcPr>
                <w:p>
                  <w:pPr>
                    <w:spacing w:line="240" w:lineRule="auto"/>
                    <w:jc w:val="center"/>
                    <w:rPr>
                      <w:rFonts w:hint="default"/>
                      <w:sz w:val="21"/>
                      <w:szCs w:val="21"/>
                    </w:rPr>
                  </w:pPr>
                </w:p>
              </w:tc>
              <w:tc>
                <w:tcPr>
                  <w:tcW w:w="1808" w:type="dxa"/>
                  <w:gridSpan w:val="2"/>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生活垃圾</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c>
                <w:tcPr>
                  <w:tcW w:w="0" w:type="auto"/>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c>
                <w:tcPr>
                  <w:tcW w:w="0" w:type="auto"/>
                  <w:vAlign w:val="center"/>
                </w:tcPr>
                <w:p>
                  <w:pPr>
                    <w:widowControl/>
                    <w:spacing w:line="240" w:lineRule="auto"/>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0" w:type="auto"/>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r>
          </w:tbl>
          <w:p>
            <w:pPr>
              <w:widowControl/>
              <w:ind w:firstLine="480" w:firstLineChars="200"/>
              <w:jc w:val="left"/>
            </w:pPr>
            <w:r>
              <w:t>8、清洁生产水与循环经济</w:t>
            </w:r>
          </w:p>
          <w:p>
            <w:pPr>
              <w:ind w:firstLine="480" w:firstLineChars="200"/>
              <w:jc w:val="left"/>
            </w:pPr>
            <w:r>
              <w:t>项目使用的能源主要为电能，本项目清洁水平较高；</w:t>
            </w:r>
            <w:r>
              <w:rPr>
                <w:rFonts w:hint="eastAsia"/>
                <w:lang w:val="en-US" w:eastAsia="zh-CN"/>
              </w:rPr>
              <w:t>生产</w:t>
            </w:r>
            <w:r>
              <w:t>过程中产生的废料</w:t>
            </w:r>
            <w:r>
              <w:rPr>
                <w:rFonts w:hint="eastAsia"/>
                <w:lang w:val="en-US" w:eastAsia="zh-CN"/>
              </w:rPr>
              <w:t>本厂回用</w:t>
            </w:r>
            <w:r>
              <w:t xml:space="preserve">，体现了循环经济的理念。 </w:t>
            </w:r>
          </w:p>
          <w:p>
            <w:pPr>
              <w:bidi w:val="0"/>
              <w:ind w:firstLine="480" w:firstLineChars="200"/>
            </w:pPr>
            <w:r>
              <w:t>总结论：本项目符合环保有关政策，选址和布局合理；采取的污染防治措施可行有效，污染物可达标排放，固体废物全部得到有效利用或妥善处置；项目建成后对周围的环境影响很小；项目所需的排污总量可在苏州高新区内平衡。因此，从环境保护角度来看，本项目的建设是可行的。</w:t>
            </w:r>
          </w:p>
          <w:p>
            <w:pPr>
              <w:ind w:firstLine="480" w:firstLineChars="200"/>
              <w:jc w:val="left"/>
            </w:pPr>
            <w:r>
              <w:t>（二）建议</w:t>
            </w:r>
          </w:p>
          <w:p>
            <w:pPr>
              <w:ind w:firstLine="480" w:firstLineChars="200"/>
              <w:jc w:val="left"/>
            </w:pPr>
            <w:r>
              <w:t>1、上述评价结果是根据建设单位提供的生产规模、生产设备布局、工艺流程、原辅材料用量及与此对应的污染防治措施排污情况基础上得出的，如果生产规模、生产设备布局、工艺流程、原辅材料用量及与此对应的污染防治措施发生重大变动，建设单位应按照环保部门要求另行申报。</w:t>
            </w:r>
          </w:p>
          <w:p>
            <w:pPr>
              <w:ind w:firstLine="480" w:firstLineChars="200"/>
              <w:jc w:val="left"/>
            </w:pPr>
            <w:r>
              <w:t>2、认真执行环保</w:t>
            </w:r>
            <w:r>
              <w:rPr>
                <w:rFonts w:hint="eastAsia"/>
                <w:lang w:eastAsia="zh-CN"/>
              </w:rPr>
              <w:t>“</w:t>
            </w:r>
            <w:r>
              <w:t>三同时</w:t>
            </w:r>
            <w:r>
              <w:rPr>
                <w:rFonts w:hint="eastAsia"/>
                <w:lang w:eastAsia="zh-CN"/>
              </w:rPr>
              <w:t>”</w:t>
            </w:r>
            <w:r>
              <w:t>制度，完善环保责任制，责任落实到人。</w:t>
            </w:r>
          </w:p>
          <w:p>
            <w:pPr>
              <w:pStyle w:val="2"/>
              <w:ind w:firstLine="480"/>
            </w:pPr>
            <w:r>
              <w:t>3、增强风险防范意识，编制企业环境应急预案，落实环境应急措施。</w:t>
            </w:r>
          </w:p>
          <w:p>
            <w:pPr>
              <w:jc w:val="center"/>
            </w:pPr>
            <w:r>
              <w:rPr>
                <w:b/>
                <w:bCs/>
                <w:sz w:val="21"/>
                <w:szCs w:val="21"/>
              </w:rPr>
              <w:t>表9-</w:t>
            </w:r>
            <w:r>
              <w:rPr>
                <w:rFonts w:hint="eastAsia"/>
                <w:b/>
                <w:bCs/>
                <w:sz w:val="21"/>
                <w:szCs w:val="21"/>
                <w:lang w:val="en-US" w:eastAsia="zh-CN"/>
              </w:rPr>
              <w:t>2</w:t>
            </w:r>
            <w:r>
              <w:rPr>
                <w:b/>
                <w:bCs/>
                <w:sz w:val="21"/>
                <w:szCs w:val="21"/>
              </w:rPr>
              <w:t>建设项目环保设施</w:t>
            </w:r>
            <w:r>
              <w:rPr>
                <w:rFonts w:hint="eastAsia"/>
                <w:b/>
                <w:bCs/>
                <w:sz w:val="21"/>
                <w:szCs w:val="21"/>
                <w:lang w:eastAsia="zh-CN"/>
              </w:rPr>
              <w:t>“</w:t>
            </w:r>
            <w:r>
              <w:rPr>
                <w:b/>
                <w:bCs/>
                <w:sz w:val="21"/>
                <w:szCs w:val="21"/>
              </w:rPr>
              <w:t>三同时</w:t>
            </w:r>
            <w:r>
              <w:rPr>
                <w:rFonts w:hint="eastAsia"/>
                <w:b/>
                <w:bCs/>
                <w:sz w:val="21"/>
                <w:szCs w:val="21"/>
                <w:lang w:eastAsia="zh-CN"/>
              </w:rPr>
              <w:t>”</w:t>
            </w:r>
            <w:r>
              <w:rPr>
                <w:b/>
                <w:bCs/>
                <w:sz w:val="21"/>
                <w:szCs w:val="21"/>
              </w:rPr>
              <w:t>验收一览表</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9"/>
              <w:gridCol w:w="121"/>
              <w:gridCol w:w="1152"/>
              <w:gridCol w:w="1450"/>
              <w:gridCol w:w="2570"/>
              <w:gridCol w:w="1697"/>
              <w:gridCol w:w="730"/>
              <w:gridCol w:w="613"/>
              <w:tblGridChange w:id="0">
                <w:tblGrid>
                  <w:gridCol w:w="1017"/>
                  <w:gridCol w:w="72"/>
                  <w:gridCol w:w="1202"/>
                  <w:gridCol w:w="71"/>
                  <w:gridCol w:w="1431"/>
                  <w:gridCol w:w="19"/>
                  <w:gridCol w:w="1981"/>
                  <w:gridCol w:w="589"/>
                  <w:gridCol w:w="687"/>
                  <w:gridCol w:w="1003"/>
                  <w:gridCol w:w="7"/>
                  <w:gridCol w:w="730"/>
                  <w:gridCol w:w="331"/>
                  <w:gridCol w:w="282"/>
                </w:tblGrid>
              </w:tblGridChange>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089" w:type="dxa"/>
                  <w:noWrap w:val="0"/>
                  <w:vAlign w:val="center"/>
                </w:tcPr>
                <w:p>
                  <w:pPr>
                    <w:spacing w:line="240" w:lineRule="auto"/>
                    <w:jc w:val="center"/>
                  </w:pPr>
                  <w:r>
                    <w:t>项目名称</w:t>
                  </w:r>
                </w:p>
              </w:tc>
              <w:tc>
                <w:tcPr>
                  <w:tcW w:w="8333" w:type="dxa"/>
                  <w:gridSpan w:val="7"/>
                  <w:noWrap w:val="0"/>
                  <w:vAlign w:val="center"/>
                </w:tcPr>
                <w:p>
                  <w:pPr>
                    <w:spacing w:line="240" w:lineRule="auto"/>
                    <w:jc w:val="center"/>
                  </w:pPr>
                  <w:r>
                    <w:rPr>
                      <w:rFonts w:hint="eastAsia"/>
                    </w:rPr>
                    <w:t>苏州源顺祥新材料有限公司年增产塑料制品1500吨扩建项目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1089" w:type="dxa"/>
                  <w:noWrap w:val="0"/>
                  <w:vAlign w:val="center"/>
                </w:tcPr>
                <w:p>
                  <w:pPr>
                    <w:spacing w:line="240" w:lineRule="auto"/>
                    <w:jc w:val="center"/>
                  </w:pPr>
                  <w:r>
                    <w:t>类别</w:t>
                  </w:r>
                </w:p>
              </w:tc>
              <w:tc>
                <w:tcPr>
                  <w:tcW w:w="1273" w:type="dxa"/>
                  <w:gridSpan w:val="2"/>
                  <w:noWrap w:val="0"/>
                  <w:vAlign w:val="center"/>
                </w:tcPr>
                <w:p>
                  <w:pPr>
                    <w:spacing w:line="240" w:lineRule="auto"/>
                    <w:jc w:val="center"/>
                  </w:pPr>
                  <w:r>
                    <w:t>污染源</w:t>
                  </w:r>
                </w:p>
              </w:tc>
              <w:tc>
                <w:tcPr>
                  <w:tcW w:w="1450" w:type="dxa"/>
                  <w:noWrap w:val="0"/>
                  <w:vAlign w:val="center"/>
                </w:tcPr>
                <w:p>
                  <w:pPr>
                    <w:spacing w:line="240" w:lineRule="auto"/>
                    <w:jc w:val="center"/>
                  </w:pPr>
                  <w:r>
                    <w:t>污染物</w:t>
                  </w:r>
                </w:p>
              </w:tc>
              <w:tc>
                <w:tcPr>
                  <w:tcW w:w="2570" w:type="dxa"/>
                  <w:noWrap w:val="0"/>
                  <w:vAlign w:val="center"/>
                </w:tcPr>
                <w:p>
                  <w:pPr>
                    <w:spacing w:line="240" w:lineRule="auto"/>
                    <w:jc w:val="center"/>
                  </w:pPr>
                  <w:r>
                    <w:t>治理措施</w:t>
                  </w:r>
                </w:p>
              </w:tc>
              <w:tc>
                <w:tcPr>
                  <w:tcW w:w="1697" w:type="dxa"/>
                  <w:noWrap w:val="0"/>
                  <w:vAlign w:val="center"/>
                </w:tcPr>
                <w:p>
                  <w:pPr>
                    <w:spacing w:line="240" w:lineRule="auto"/>
                    <w:jc w:val="center"/>
                  </w:pPr>
                  <w:r>
                    <w:t>处理效果</w:t>
                  </w:r>
                </w:p>
              </w:tc>
              <w:tc>
                <w:tcPr>
                  <w:tcW w:w="730" w:type="dxa"/>
                  <w:noWrap w:val="0"/>
                  <w:vAlign w:val="center"/>
                </w:tcPr>
                <w:p>
                  <w:pPr>
                    <w:spacing w:line="240" w:lineRule="auto"/>
                    <w:jc w:val="center"/>
                  </w:pPr>
                  <w:r>
                    <w:t>投资（万元）</w:t>
                  </w:r>
                </w:p>
              </w:tc>
              <w:tc>
                <w:tcPr>
                  <w:tcW w:w="613" w:type="dxa"/>
                  <w:noWrap w:val="0"/>
                  <w:vAlign w:val="center"/>
                </w:tcPr>
                <w:p>
                  <w:pPr>
                    <w:spacing w:line="240" w:lineRule="auto"/>
                    <w:jc w:val="center"/>
                  </w:pPr>
                  <w:r>
                    <w:t>完成时间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089" w:type="dxa"/>
                  <w:noWrap w:val="0"/>
                  <w:vAlign w:val="center"/>
                </w:tcPr>
                <w:p>
                  <w:pPr>
                    <w:spacing w:line="240" w:lineRule="auto"/>
                    <w:jc w:val="center"/>
                  </w:pPr>
                  <w:r>
                    <w:t>废水</w:t>
                  </w:r>
                </w:p>
              </w:tc>
              <w:tc>
                <w:tcPr>
                  <w:tcW w:w="1273" w:type="dxa"/>
                  <w:gridSpan w:val="2"/>
                  <w:noWrap w:val="0"/>
                  <w:vAlign w:val="center"/>
                </w:tcPr>
                <w:p>
                  <w:pPr>
                    <w:spacing w:line="240" w:lineRule="auto"/>
                    <w:jc w:val="center"/>
                  </w:pPr>
                  <w:r>
                    <w:t>生活污水</w:t>
                  </w:r>
                </w:p>
              </w:tc>
              <w:tc>
                <w:tcPr>
                  <w:tcW w:w="1450" w:type="dxa"/>
                  <w:noWrap w:val="0"/>
                  <w:vAlign w:val="center"/>
                </w:tcPr>
                <w:p>
                  <w:pPr>
                    <w:spacing w:line="240" w:lineRule="auto"/>
                    <w:jc w:val="center"/>
                  </w:pPr>
                  <w:r>
                    <w:t>COD、SS、氨氮、TP</w:t>
                  </w:r>
                </w:p>
              </w:tc>
              <w:tc>
                <w:tcPr>
                  <w:tcW w:w="2570" w:type="dxa"/>
                  <w:noWrap w:val="0"/>
                  <w:vAlign w:val="center"/>
                </w:tcPr>
                <w:p>
                  <w:pPr>
                    <w:spacing w:line="240" w:lineRule="auto"/>
                    <w:jc w:val="center"/>
                  </w:pPr>
                  <w:r>
                    <w:t>生活污水接入市政污水管网</w:t>
                  </w:r>
                </w:p>
              </w:tc>
              <w:tc>
                <w:tcPr>
                  <w:tcW w:w="1697" w:type="dxa"/>
                  <w:noWrap w:val="0"/>
                  <w:vAlign w:val="center"/>
                </w:tcPr>
                <w:p>
                  <w:pPr>
                    <w:spacing w:line="240" w:lineRule="auto"/>
                    <w:jc w:val="center"/>
                    <w:rPr>
                      <w:rFonts w:hint="eastAsia"/>
                    </w:rPr>
                  </w:pPr>
                  <w:r>
                    <w:rPr>
                      <w:rFonts w:hint="eastAsia"/>
                    </w:rPr>
                    <w:t>（GB 8978-199</w:t>
                  </w:r>
                </w:p>
                <w:p>
                  <w:pPr>
                    <w:spacing w:line="240" w:lineRule="auto"/>
                    <w:jc w:val="center"/>
                    <w:rPr>
                      <w:rFonts w:hint="eastAsia"/>
                    </w:rPr>
                  </w:pPr>
                  <w:r>
                    <w:rPr>
                      <w:rFonts w:hint="eastAsia"/>
                    </w:rPr>
                    <w:t>6）表 4 三级标准</w:t>
                  </w:r>
                </w:p>
                <w:p>
                  <w:pPr>
                    <w:spacing w:line="240" w:lineRule="auto"/>
                    <w:jc w:val="center"/>
                    <w:rPr>
                      <w:rFonts w:hint="eastAsia"/>
                    </w:rPr>
                  </w:pPr>
                  <w:r>
                    <w:rPr>
                      <w:rFonts w:hint="eastAsia"/>
                    </w:rPr>
                    <w:t>和（GB/T 31962-</w:t>
                  </w:r>
                </w:p>
                <w:p>
                  <w:pPr>
                    <w:spacing w:line="240" w:lineRule="auto"/>
                    <w:jc w:val="center"/>
                    <w:rPr>
                      <w:rFonts w:hint="eastAsia"/>
                    </w:rPr>
                  </w:pPr>
                  <w:r>
                    <w:rPr>
                      <w:rFonts w:hint="eastAsia"/>
                    </w:rPr>
                    <w:t>2015）表 1 B 级</w:t>
                  </w:r>
                </w:p>
                <w:p>
                  <w:pPr>
                    <w:spacing w:line="240" w:lineRule="auto"/>
                    <w:jc w:val="center"/>
                  </w:pPr>
                  <w:r>
                    <w:rPr>
                      <w:rFonts w:hint="eastAsia"/>
                    </w:rPr>
                    <w:t>标准</w:t>
                  </w:r>
                </w:p>
              </w:tc>
              <w:tc>
                <w:tcPr>
                  <w:tcW w:w="730" w:type="dxa"/>
                  <w:noWrap w:val="0"/>
                  <w:vAlign w:val="center"/>
                </w:tcPr>
                <w:p>
                  <w:pPr>
                    <w:spacing w:line="240" w:lineRule="auto"/>
                    <w:jc w:val="center"/>
                    <w:rPr>
                      <w:rFonts w:hint="eastAsia"/>
                      <w:lang w:eastAsia="zh-CN"/>
                    </w:rPr>
                  </w:pPr>
                  <w:r>
                    <w:rPr>
                      <w:rFonts w:hint="eastAsia"/>
                      <w:lang w:val="en-US" w:eastAsia="zh-CN"/>
                    </w:rPr>
                    <w:t>/</w:t>
                  </w:r>
                </w:p>
              </w:tc>
              <w:tc>
                <w:tcPr>
                  <w:tcW w:w="613" w:type="dxa"/>
                  <w:vMerge w:val="restart"/>
                  <w:noWrap w:val="0"/>
                  <w:vAlign w:val="center"/>
                </w:tcPr>
                <w:p>
                  <w:pPr>
                    <w:spacing w:line="240" w:lineRule="auto"/>
                    <w:jc w:val="center"/>
                  </w:pPr>
                  <w:r>
                    <w:t>与本项目</w:t>
                  </w:r>
                </w:p>
                <w:p>
                  <w:pPr>
                    <w:spacing w:line="240" w:lineRule="auto"/>
                    <w:jc w:val="center"/>
                  </w:pPr>
                  <w:r>
                    <w:t>同时设计、同时施工，同时投入运行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089" w:type="dxa"/>
                  <w:vMerge w:val="restart"/>
                  <w:noWrap w:val="0"/>
                  <w:vAlign w:val="center"/>
                </w:tcPr>
                <w:p>
                  <w:pPr>
                    <w:spacing w:line="240" w:lineRule="auto"/>
                    <w:jc w:val="center"/>
                  </w:pPr>
                  <w:r>
                    <w:t>废气</w:t>
                  </w:r>
                </w:p>
              </w:tc>
              <w:tc>
                <w:tcPr>
                  <w:tcW w:w="1273" w:type="dxa"/>
                  <w:gridSpan w:val="2"/>
                  <w:noWrap w:val="0"/>
                  <w:vAlign w:val="center"/>
                </w:tcPr>
                <w:p>
                  <w:pPr>
                    <w:spacing w:line="240" w:lineRule="auto"/>
                    <w:jc w:val="center"/>
                  </w:pPr>
                  <w:r>
                    <w:t>排气筒</w:t>
                  </w:r>
                </w:p>
                <w:p>
                  <w:pPr>
                    <w:spacing w:line="240" w:lineRule="auto"/>
                    <w:jc w:val="center"/>
                  </w:pPr>
                  <w:r>
                    <w:t>P1</w:t>
                  </w:r>
                </w:p>
              </w:tc>
              <w:tc>
                <w:tcPr>
                  <w:tcW w:w="1450" w:type="dxa"/>
                  <w:noWrap w:val="0"/>
                  <w:vAlign w:val="center"/>
                </w:tcPr>
                <w:p>
                  <w:pPr>
                    <w:spacing w:line="240" w:lineRule="auto"/>
                    <w:jc w:val="center"/>
                  </w:pPr>
                  <w:r>
                    <w:t>非甲烷总烃</w:t>
                  </w:r>
                </w:p>
              </w:tc>
              <w:tc>
                <w:tcPr>
                  <w:tcW w:w="2570" w:type="dxa"/>
                  <w:noWrap w:val="0"/>
                  <w:vAlign w:val="center"/>
                </w:tcPr>
                <w:p>
                  <w:pPr>
                    <w:spacing w:line="240" w:lineRule="auto"/>
                    <w:jc w:val="center"/>
                    <w:rPr>
                      <w:rFonts w:hint="eastAsia" w:eastAsia="宋体"/>
                      <w:lang w:val="en-US" w:eastAsia="zh-CN"/>
                    </w:rPr>
                  </w:pPr>
                  <w:r>
                    <w:t>活性炭吸附</w:t>
                  </w:r>
                  <w:r>
                    <w:rPr>
                      <w:rFonts w:hint="eastAsia"/>
                      <w:lang w:val="en-US" w:eastAsia="zh-CN"/>
                    </w:rPr>
                    <w:t>+低温等离子</w:t>
                  </w:r>
                </w:p>
              </w:tc>
              <w:tc>
                <w:tcPr>
                  <w:tcW w:w="1697" w:type="dxa"/>
                  <w:noWrap w:val="0"/>
                  <w:vAlign w:val="center"/>
                </w:tcPr>
                <w:p>
                  <w:pPr>
                    <w:spacing w:line="240" w:lineRule="auto"/>
                    <w:jc w:val="center"/>
                  </w:pPr>
                  <w:r>
                    <w:t>达到苏高新管〔2018〕74号文规定和《大气污染物综合排放标准》GB16297-1996）表 2二级标准</w:t>
                  </w:r>
                </w:p>
              </w:tc>
              <w:tc>
                <w:tcPr>
                  <w:tcW w:w="730" w:type="dxa"/>
                  <w:noWrap w:val="0"/>
                  <w:vAlign w:val="center"/>
                </w:tcPr>
                <w:p>
                  <w:pPr>
                    <w:spacing w:line="240" w:lineRule="auto"/>
                    <w:jc w:val="center"/>
                    <w:rPr>
                      <w:rFonts w:hint="eastAsia"/>
                      <w:lang w:val="en-US" w:eastAsia="zh-CN"/>
                    </w:rPr>
                  </w:pPr>
                  <w:r>
                    <w:rPr>
                      <w:rFonts w:hint="eastAsia"/>
                      <w:lang w:val="en-US" w:eastAsia="zh-CN"/>
                    </w:rPr>
                    <w:t>1</w:t>
                  </w: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089" w:type="dxa"/>
                  <w:vMerge w:val="continue"/>
                  <w:noWrap w:val="0"/>
                  <w:vAlign w:val="center"/>
                </w:tcPr>
                <w:p>
                  <w:pPr>
                    <w:spacing w:line="240" w:lineRule="auto"/>
                    <w:jc w:val="center"/>
                  </w:pPr>
                </w:p>
              </w:tc>
              <w:tc>
                <w:tcPr>
                  <w:tcW w:w="1273" w:type="dxa"/>
                  <w:gridSpan w:val="2"/>
                  <w:noWrap w:val="0"/>
                  <w:vAlign w:val="center"/>
                </w:tcPr>
                <w:p>
                  <w:pPr>
                    <w:spacing w:line="240" w:lineRule="auto"/>
                    <w:jc w:val="center"/>
                  </w:pPr>
                  <w:r>
                    <w:t>无组织废气</w:t>
                  </w:r>
                </w:p>
              </w:tc>
              <w:tc>
                <w:tcPr>
                  <w:tcW w:w="1450" w:type="dxa"/>
                  <w:noWrap w:val="0"/>
                  <w:vAlign w:val="center"/>
                </w:tcPr>
                <w:p>
                  <w:pPr>
                    <w:spacing w:line="240" w:lineRule="auto"/>
                    <w:jc w:val="center"/>
                  </w:pPr>
                  <w:r>
                    <w:t>非甲烷总烃</w:t>
                  </w:r>
                </w:p>
                <w:p>
                  <w:pPr>
                    <w:spacing w:line="240" w:lineRule="auto"/>
                    <w:jc w:val="center"/>
                  </w:pPr>
                  <w:r>
                    <w:t>、颗粒物</w:t>
                  </w:r>
                </w:p>
              </w:tc>
              <w:tc>
                <w:tcPr>
                  <w:tcW w:w="2570" w:type="dxa"/>
                  <w:noWrap w:val="0"/>
                  <w:vAlign w:val="center"/>
                </w:tcPr>
                <w:p>
                  <w:pPr>
                    <w:spacing w:line="240" w:lineRule="auto"/>
                    <w:jc w:val="center"/>
                  </w:pPr>
                  <w:r>
                    <w:t>加强通风</w:t>
                  </w:r>
                </w:p>
              </w:tc>
              <w:tc>
                <w:tcPr>
                  <w:tcW w:w="1697" w:type="dxa"/>
                  <w:noWrap w:val="0"/>
                  <w:vAlign w:val="center"/>
                </w:tcPr>
                <w:p>
                  <w:pPr>
                    <w:spacing w:line="240" w:lineRule="auto"/>
                    <w:jc w:val="center"/>
                  </w:pPr>
                  <w:r>
                    <w:t>达到苏高新管〔2018〕74号文和《大气污染物综合排放标准》GB16297-1996）表2二级标准</w:t>
                  </w:r>
                </w:p>
              </w:tc>
              <w:tc>
                <w:tcPr>
                  <w:tcW w:w="730" w:type="dxa"/>
                  <w:noWrap w:val="0"/>
                  <w:vAlign w:val="center"/>
                </w:tcPr>
                <w:p>
                  <w:pPr>
                    <w:spacing w:line="240" w:lineRule="auto"/>
                    <w:jc w:val="center"/>
                  </w:pPr>
                  <w:r>
                    <w:t>0</w:t>
                  </w: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089" w:type="dxa"/>
                  <w:noWrap w:val="0"/>
                  <w:vAlign w:val="center"/>
                </w:tcPr>
                <w:p>
                  <w:pPr>
                    <w:spacing w:line="240" w:lineRule="auto"/>
                    <w:jc w:val="center"/>
                  </w:pPr>
                  <w:r>
                    <w:t>噪声</w:t>
                  </w:r>
                </w:p>
              </w:tc>
              <w:tc>
                <w:tcPr>
                  <w:tcW w:w="1273" w:type="dxa"/>
                  <w:gridSpan w:val="2"/>
                  <w:noWrap w:val="0"/>
                  <w:vAlign w:val="center"/>
                </w:tcPr>
                <w:p>
                  <w:pPr>
                    <w:spacing w:line="240" w:lineRule="auto"/>
                    <w:jc w:val="center"/>
                  </w:pPr>
                  <w:r>
                    <w:t>空压机、</w:t>
                  </w:r>
                </w:p>
                <w:p>
                  <w:pPr>
                    <w:spacing w:line="240" w:lineRule="auto"/>
                    <w:jc w:val="center"/>
                  </w:pPr>
                  <w:r>
                    <w:rPr>
                      <w:rFonts w:hint="eastAsia"/>
                      <w:lang w:val="en-US" w:eastAsia="zh-CN"/>
                    </w:rPr>
                    <w:t>捏合机</w:t>
                  </w:r>
                  <w:r>
                    <w:t>设备</w:t>
                  </w:r>
                </w:p>
              </w:tc>
              <w:tc>
                <w:tcPr>
                  <w:tcW w:w="1450" w:type="dxa"/>
                  <w:noWrap w:val="0"/>
                  <w:vAlign w:val="center"/>
                </w:tcPr>
                <w:p>
                  <w:pPr>
                    <w:spacing w:line="240" w:lineRule="auto"/>
                    <w:jc w:val="center"/>
                  </w:pPr>
                  <w:r>
                    <w:t>噪声</w:t>
                  </w:r>
                </w:p>
              </w:tc>
              <w:tc>
                <w:tcPr>
                  <w:tcW w:w="2570" w:type="dxa"/>
                  <w:noWrap w:val="0"/>
                  <w:vAlign w:val="center"/>
                </w:tcPr>
                <w:p>
                  <w:pPr>
                    <w:spacing w:line="240" w:lineRule="auto"/>
                    <w:jc w:val="center"/>
                  </w:pPr>
                  <w:r>
                    <w:t>减振、隔声等</w:t>
                  </w:r>
                </w:p>
              </w:tc>
              <w:tc>
                <w:tcPr>
                  <w:tcW w:w="1697" w:type="dxa"/>
                  <w:noWrap w:val="0"/>
                  <w:vAlign w:val="center"/>
                </w:tcPr>
                <w:p>
                  <w:pPr>
                    <w:spacing w:line="240" w:lineRule="auto"/>
                    <w:jc w:val="center"/>
                  </w:pPr>
                  <w:r>
                    <w:t>达到《工业企业厂界环境噪声排放标准》（GB12348-2008）3类标准</w:t>
                  </w:r>
                </w:p>
                <w:p>
                  <w:pPr>
                    <w:spacing w:line="240" w:lineRule="auto"/>
                    <w:jc w:val="center"/>
                  </w:pPr>
                  <w:r>
                    <w:t>类标准。</w:t>
                  </w:r>
                </w:p>
              </w:tc>
              <w:tc>
                <w:tcPr>
                  <w:tcW w:w="730" w:type="dxa"/>
                  <w:noWrap w:val="0"/>
                  <w:vAlign w:val="center"/>
                </w:tcPr>
                <w:p>
                  <w:pPr>
                    <w:spacing w:line="240" w:lineRule="auto"/>
                    <w:jc w:val="center"/>
                  </w:pPr>
                  <w:r>
                    <w:t>0</w:t>
                  </w: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2362" w:type="dxa"/>
                  <w:gridSpan w:val="3"/>
                  <w:vMerge w:val="restart"/>
                  <w:noWrap w:val="0"/>
                  <w:vAlign w:val="center"/>
                </w:tcPr>
                <w:p>
                  <w:pPr>
                    <w:spacing w:line="240" w:lineRule="auto"/>
                    <w:jc w:val="center"/>
                  </w:pPr>
                  <w:r>
                    <w:t>固废</w:t>
                  </w:r>
                </w:p>
              </w:tc>
              <w:tc>
                <w:tcPr>
                  <w:tcW w:w="1450" w:type="dxa"/>
                  <w:noWrap w:val="0"/>
                  <w:vAlign w:val="center"/>
                </w:tcPr>
                <w:p>
                  <w:pPr>
                    <w:snapToGrid w:val="0"/>
                    <w:spacing w:line="240" w:lineRule="auto"/>
                    <w:jc w:val="center"/>
                    <w:rPr>
                      <w:rFonts w:hint="default"/>
                      <w:lang w:val="en-US" w:eastAsia="zh-CN"/>
                    </w:rPr>
                  </w:pPr>
                  <w:r>
                    <w:rPr>
                      <w:rFonts w:hint="eastAsia"/>
                      <w:lang w:val="en-US" w:eastAsia="zh-CN"/>
                    </w:rPr>
                    <w:t>不合格品</w:t>
                  </w:r>
                </w:p>
              </w:tc>
              <w:tc>
                <w:tcPr>
                  <w:tcW w:w="2570" w:type="dxa"/>
                  <w:noWrap w:val="0"/>
                  <w:vAlign w:val="center"/>
                </w:tcPr>
                <w:p>
                  <w:pPr>
                    <w:pStyle w:val="11"/>
                    <w:snapToGrid w:val="0"/>
                    <w:spacing w:line="240" w:lineRule="auto"/>
                    <w:jc w:val="center"/>
                    <w:rPr>
                      <w:rFonts w:hint="default"/>
                      <w:lang w:val="en-GB" w:eastAsia="zh-CN"/>
                    </w:rPr>
                  </w:pPr>
                  <w:r>
                    <w:rPr>
                      <w:rFonts w:hint="default"/>
                      <w:lang w:val="en-GB"/>
                    </w:rPr>
                    <w:t>外售利用</w:t>
                  </w:r>
                </w:p>
              </w:tc>
              <w:tc>
                <w:tcPr>
                  <w:tcW w:w="1697" w:type="dxa"/>
                  <w:vMerge w:val="restart"/>
                  <w:noWrap w:val="0"/>
                  <w:vAlign w:val="center"/>
                </w:tcPr>
                <w:p>
                  <w:pPr>
                    <w:spacing w:line="240" w:lineRule="auto"/>
                    <w:jc w:val="center"/>
                  </w:pPr>
                  <w:r>
                    <w:t>对外零排放</w:t>
                  </w:r>
                </w:p>
              </w:tc>
              <w:tc>
                <w:tcPr>
                  <w:tcW w:w="730" w:type="dxa"/>
                  <w:vMerge w:val="restart"/>
                  <w:noWrap w:val="0"/>
                  <w:vAlign w:val="center"/>
                </w:tcPr>
                <w:p>
                  <w:pPr>
                    <w:spacing w:line="240" w:lineRule="auto"/>
                    <w:jc w:val="center"/>
                    <w:rPr>
                      <w:rFonts w:hint="eastAsia"/>
                      <w:lang w:eastAsia="zh-CN"/>
                    </w:rPr>
                  </w:pPr>
                  <w:r>
                    <w:rPr>
                      <w:rFonts w:hint="eastAsia"/>
                      <w:lang w:val="en-US" w:eastAsia="zh-CN"/>
                    </w:rPr>
                    <w:t>2</w:t>
                  </w: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2362" w:type="dxa"/>
                  <w:gridSpan w:val="3"/>
                  <w:vMerge w:val="continue"/>
                  <w:noWrap w:val="0"/>
                  <w:vAlign w:val="center"/>
                </w:tcPr>
                <w:p>
                  <w:pPr>
                    <w:spacing w:line="240" w:lineRule="auto"/>
                    <w:jc w:val="center"/>
                  </w:pPr>
                </w:p>
              </w:tc>
              <w:tc>
                <w:tcPr>
                  <w:tcW w:w="1450" w:type="dxa"/>
                  <w:noWrap w:val="0"/>
                  <w:vAlign w:val="center"/>
                </w:tcPr>
                <w:p>
                  <w:pPr>
                    <w:snapToGrid w:val="0"/>
                    <w:spacing w:line="240" w:lineRule="auto"/>
                    <w:jc w:val="center"/>
                    <w:rPr>
                      <w:rFonts w:hint="default"/>
                      <w:lang w:val="en-US" w:eastAsia="zh-CN"/>
                    </w:rPr>
                  </w:pPr>
                  <w:r>
                    <w:rPr>
                      <w:rFonts w:hint="eastAsia"/>
                      <w:lang w:val="en-US" w:eastAsia="zh-CN"/>
                    </w:rPr>
                    <w:t>废包装</w:t>
                  </w:r>
                </w:p>
              </w:tc>
              <w:tc>
                <w:tcPr>
                  <w:tcW w:w="2570" w:type="dxa"/>
                  <w:noWrap w:val="0"/>
                  <w:vAlign w:val="center"/>
                </w:tcPr>
                <w:p>
                  <w:pPr>
                    <w:pStyle w:val="11"/>
                    <w:snapToGrid w:val="0"/>
                    <w:spacing w:line="240" w:lineRule="auto"/>
                    <w:jc w:val="center"/>
                    <w:rPr>
                      <w:rFonts w:hint="default"/>
                      <w:lang w:val="en-US" w:eastAsia="zh-CN"/>
                    </w:rPr>
                  </w:pPr>
                  <w:r>
                    <w:rPr>
                      <w:rFonts w:hint="eastAsia"/>
                      <w:lang w:val="en-US" w:eastAsia="zh-CN"/>
                    </w:rPr>
                    <w:t>外售利用</w:t>
                  </w:r>
                </w:p>
              </w:tc>
              <w:tc>
                <w:tcPr>
                  <w:tcW w:w="1697" w:type="dxa"/>
                  <w:vMerge w:val="continue"/>
                  <w:noWrap w:val="0"/>
                  <w:vAlign w:val="center"/>
                </w:tcPr>
                <w:p>
                  <w:pPr>
                    <w:spacing w:line="240" w:lineRule="auto"/>
                    <w:jc w:val="center"/>
                  </w:pPr>
                </w:p>
              </w:tc>
              <w:tc>
                <w:tcPr>
                  <w:tcW w:w="730" w:type="dxa"/>
                  <w:vMerge w:val="continue"/>
                  <w:noWrap w:val="0"/>
                  <w:vAlign w:val="center"/>
                </w:tcPr>
                <w:p>
                  <w:pPr>
                    <w:spacing w:line="240" w:lineRule="auto"/>
                    <w:jc w:val="center"/>
                  </w:pP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2362" w:type="dxa"/>
                  <w:gridSpan w:val="3"/>
                  <w:vMerge w:val="continue"/>
                  <w:noWrap w:val="0"/>
                  <w:vAlign w:val="center"/>
                </w:tcPr>
                <w:p>
                  <w:pPr>
                    <w:spacing w:line="240" w:lineRule="auto"/>
                    <w:jc w:val="center"/>
                  </w:pPr>
                </w:p>
              </w:tc>
              <w:tc>
                <w:tcPr>
                  <w:tcW w:w="1450" w:type="dxa"/>
                  <w:noWrap w:val="0"/>
                  <w:vAlign w:val="center"/>
                </w:tcPr>
                <w:p>
                  <w:pPr>
                    <w:snapToGrid w:val="0"/>
                    <w:spacing w:line="240" w:lineRule="auto"/>
                    <w:jc w:val="center"/>
                    <w:rPr>
                      <w:rFonts w:hint="default"/>
                      <w:lang w:val="en-US" w:eastAsia="zh-CN"/>
                    </w:rPr>
                  </w:pPr>
                  <w:r>
                    <w:rPr>
                      <w:rFonts w:hint="eastAsia"/>
                      <w:lang w:val="en-US" w:eastAsia="zh-CN"/>
                    </w:rPr>
                    <w:t>布袋收尘</w:t>
                  </w:r>
                </w:p>
              </w:tc>
              <w:tc>
                <w:tcPr>
                  <w:tcW w:w="2570" w:type="dxa"/>
                  <w:noWrap w:val="0"/>
                  <w:vAlign w:val="center"/>
                </w:tcPr>
                <w:p>
                  <w:pPr>
                    <w:pStyle w:val="11"/>
                    <w:snapToGrid w:val="0"/>
                    <w:spacing w:line="240" w:lineRule="auto"/>
                    <w:jc w:val="center"/>
                    <w:rPr>
                      <w:rFonts w:hint="default"/>
                      <w:lang w:val="en-US" w:eastAsia="zh-CN"/>
                    </w:rPr>
                  </w:pPr>
                  <w:r>
                    <w:rPr>
                      <w:rFonts w:hint="eastAsia"/>
                      <w:lang w:val="en-US" w:eastAsia="zh-CN"/>
                    </w:rPr>
                    <w:t>本厂回用</w:t>
                  </w:r>
                </w:p>
              </w:tc>
              <w:tc>
                <w:tcPr>
                  <w:tcW w:w="1697" w:type="dxa"/>
                  <w:vMerge w:val="continue"/>
                  <w:noWrap w:val="0"/>
                  <w:vAlign w:val="center"/>
                </w:tcPr>
                <w:p>
                  <w:pPr>
                    <w:spacing w:line="240" w:lineRule="auto"/>
                    <w:jc w:val="center"/>
                  </w:pPr>
                </w:p>
              </w:tc>
              <w:tc>
                <w:tcPr>
                  <w:tcW w:w="730" w:type="dxa"/>
                  <w:vMerge w:val="continue"/>
                  <w:noWrap w:val="0"/>
                  <w:vAlign w:val="center"/>
                </w:tcPr>
                <w:p>
                  <w:pPr>
                    <w:spacing w:line="240" w:lineRule="auto"/>
                    <w:jc w:val="center"/>
                  </w:pP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62" w:type="dxa"/>
                  <w:gridSpan w:val="3"/>
                  <w:vMerge w:val="continue"/>
                  <w:noWrap w:val="0"/>
                  <w:vAlign w:val="center"/>
                </w:tcPr>
                <w:p>
                  <w:pPr>
                    <w:spacing w:line="240" w:lineRule="auto"/>
                    <w:jc w:val="center"/>
                  </w:pPr>
                </w:p>
              </w:tc>
              <w:tc>
                <w:tcPr>
                  <w:tcW w:w="1450" w:type="dxa"/>
                  <w:noWrap w:val="0"/>
                  <w:vAlign w:val="center"/>
                </w:tcPr>
                <w:p>
                  <w:pPr>
                    <w:snapToGrid w:val="0"/>
                    <w:spacing w:line="240" w:lineRule="auto"/>
                    <w:jc w:val="center"/>
                  </w:pPr>
                  <w:r>
                    <w:t>废活性炭</w:t>
                  </w:r>
                </w:p>
              </w:tc>
              <w:tc>
                <w:tcPr>
                  <w:tcW w:w="2570" w:type="dxa"/>
                  <w:vMerge w:val="restart"/>
                  <w:noWrap w:val="0"/>
                  <w:vAlign w:val="center"/>
                </w:tcPr>
                <w:p>
                  <w:pPr>
                    <w:spacing w:line="240" w:lineRule="auto"/>
                    <w:jc w:val="center"/>
                  </w:pPr>
                  <w:r>
                    <w:rPr>
                      <w:rFonts w:hint="eastAsia"/>
                      <w:lang w:val="en-US" w:eastAsia="zh-CN"/>
                    </w:rPr>
                    <w:t>依托原有15</w:t>
                  </w:r>
                  <w:r>
                    <w:t>m</w:t>
                  </w:r>
                  <w:r>
                    <w:rPr>
                      <w:vertAlign w:val="superscript"/>
                    </w:rPr>
                    <w:t>2</w:t>
                  </w:r>
                  <w:r>
                    <w:t>危废暂存间，定期转移有资质单位处理</w:t>
                  </w:r>
                </w:p>
              </w:tc>
              <w:tc>
                <w:tcPr>
                  <w:tcW w:w="1697" w:type="dxa"/>
                  <w:vMerge w:val="continue"/>
                  <w:noWrap w:val="0"/>
                  <w:vAlign w:val="center"/>
                </w:tcPr>
                <w:p>
                  <w:pPr>
                    <w:spacing w:line="240" w:lineRule="auto"/>
                    <w:jc w:val="center"/>
                  </w:pPr>
                </w:p>
              </w:tc>
              <w:tc>
                <w:tcPr>
                  <w:tcW w:w="730" w:type="dxa"/>
                  <w:vMerge w:val="continue"/>
                  <w:noWrap w:val="0"/>
                  <w:vAlign w:val="center"/>
                </w:tcPr>
                <w:p>
                  <w:pPr>
                    <w:spacing w:line="240" w:lineRule="auto"/>
                    <w:jc w:val="center"/>
                  </w:pPr>
                </w:p>
              </w:tc>
              <w:tc>
                <w:tcPr>
                  <w:tcW w:w="613" w:type="dxa"/>
                  <w:vMerge w:val="continue"/>
                  <w:noWrap w:val="0"/>
                  <w:vAlign w:val="center"/>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 w:author=" " w:date="2019-01-13T11:53: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140" w:hRule="atLeast"/>
                <w:jc w:val="center"/>
                <w:trPrChange w:id="1" w:author=" " w:date="2019-01-13T11:53:00Z">
                  <w:trPr>
                    <w:gridAfter w:val="1"/>
                    <w:wAfter w:w="0" w:type="dxa"/>
                    <w:trHeight w:val="140" w:hRule="atLeast"/>
                    <w:jc w:val="center"/>
                  </w:trPr>
                </w:trPrChange>
              </w:trPr>
              <w:tc>
                <w:tcPr>
                  <w:tcW w:w="2362" w:type="dxa"/>
                  <w:gridSpan w:val="3"/>
                  <w:vMerge w:val="continue"/>
                  <w:noWrap w:val="0"/>
                  <w:vAlign w:val="center"/>
                  <w:tcPrChange w:id="2" w:author=" " w:date="2019-01-13T11:53:00Z">
                    <w:tcPr>
                      <w:tcW w:w="2291" w:type="dxa"/>
                      <w:gridSpan w:val="3"/>
                      <w:vMerge w:val="continue"/>
                      <w:noWrap w:val="0"/>
                      <w:vAlign w:val="center"/>
                    </w:tcPr>
                  </w:tcPrChange>
                </w:tcPr>
                <w:p>
                  <w:pPr>
                    <w:spacing w:line="240" w:lineRule="auto"/>
                    <w:jc w:val="center"/>
                  </w:pPr>
                </w:p>
              </w:tc>
              <w:tc>
                <w:tcPr>
                  <w:tcW w:w="1450" w:type="dxa"/>
                  <w:noWrap w:val="0"/>
                  <w:vAlign w:val="center"/>
                  <w:tcPrChange w:id="3" w:author=" " w:date="2019-01-13T11:53:00Z">
                    <w:tcPr>
                      <w:tcW w:w="1502" w:type="dxa"/>
                      <w:gridSpan w:val="2"/>
                      <w:noWrap w:val="0"/>
                      <w:vAlign w:val="center"/>
                    </w:tcPr>
                  </w:tcPrChange>
                </w:tcPr>
                <w:p>
                  <w:pPr>
                    <w:snapToGrid w:val="0"/>
                    <w:spacing w:line="240" w:lineRule="auto"/>
                    <w:jc w:val="center"/>
                  </w:pPr>
                  <w:r>
                    <w:t>生活垃圾</w:t>
                  </w:r>
                </w:p>
              </w:tc>
              <w:tc>
                <w:tcPr>
                  <w:tcW w:w="2570" w:type="dxa"/>
                  <w:noWrap w:val="0"/>
                  <w:vAlign w:val="center"/>
                  <w:tcPrChange w:id="4" w:author=" " w:date="2019-01-13T11:53:00Z">
                    <w:tcPr>
                      <w:tcW w:w="2000" w:type="dxa"/>
                      <w:gridSpan w:val="2"/>
                      <w:vMerge w:val="restart"/>
                      <w:noWrap w:val="0"/>
                      <w:vAlign w:val="center"/>
                    </w:tcPr>
                  </w:tcPrChange>
                </w:tcPr>
                <w:p>
                  <w:pPr>
                    <w:spacing w:line="240" w:lineRule="auto"/>
                    <w:jc w:val="center"/>
                  </w:pPr>
                  <w:r>
                    <w:t>环卫部门集中处置</w:t>
                  </w:r>
                </w:p>
              </w:tc>
              <w:tc>
                <w:tcPr>
                  <w:tcW w:w="1697" w:type="dxa"/>
                  <w:vMerge w:val="continue"/>
                  <w:noWrap w:val="0"/>
                  <w:vAlign w:val="center"/>
                  <w:tcPrChange w:id="5" w:author=" " w:date="2019-01-13T11:53:00Z">
                    <w:tcPr>
                      <w:tcW w:w="1276" w:type="dxa"/>
                      <w:gridSpan w:val="2"/>
                      <w:vMerge w:val="continue"/>
                      <w:noWrap w:val="0"/>
                      <w:vAlign w:val="center"/>
                    </w:tcPr>
                  </w:tcPrChange>
                </w:tcPr>
                <w:p>
                  <w:pPr>
                    <w:spacing w:line="240" w:lineRule="auto"/>
                    <w:jc w:val="center"/>
                  </w:pPr>
                </w:p>
              </w:tc>
              <w:tc>
                <w:tcPr>
                  <w:tcW w:w="730" w:type="dxa"/>
                  <w:vMerge w:val="continue"/>
                  <w:noWrap w:val="0"/>
                  <w:vAlign w:val="center"/>
                  <w:tcPrChange w:id="6" w:author=" " w:date="2019-01-13T11:53:00Z">
                    <w:tcPr>
                      <w:tcW w:w="1003" w:type="dxa"/>
                      <w:vMerge w:val="continue"/>
                      <w:noWrap w:val="0"/>
                      <w:vAlign w:val="center"/>
                    </w:tcPr>
                  </w:tcPrChange>
                </w:tcPr>
                <w:p>
                  <w:pPr>
                    <w:spacing w:line="240" w:lineRule="auto"/>
                    <w:jc w:val="center"/>
                  </w:pPr>
                </w:p>
              </w:tc>
              <w:tc>
                <w:tcPr>
                  <w:tcW w:w="613" w:type="dxa"/>
                  <w:vMerge w:val="continue"/>
                  <w:noWrap w:val="0"/>
                  <w:vAlign w:val="center"/>
                  <w:tcPrChange w:id="7" w:author=" " w:date="2019-01-13T11:53: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8"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90" w:hRule="atLeast"/>
                <w:jc w:val="center"/>
                <w:trPrChange w:id="8" w:author=" " w:date="2019-01-13T11:55:00Z">
                  <w:trPr>
                    <w:gridAfter w:val="1"/>
                    <w:wAfter w:w="0" w:type="dxa"/>
                    <w:trHeight w:val="293" w:hRule="atLeast"/>
                    <w:jc w:val="center"/>
                  </w:trPr>
                </w:trPrChange>
              </w:trPr>
              <w:tc>
                <w:tcPr>
                  <w:tcW w:w="1210" w:type="dxa"/>
                  <w:gridSpan w:val="2"/>
                  <w:noWrap w:val="0"/>
                  <w:vAlign w:val="center"/>
                  <w:tcPrChange w:id="9" w:author=" " w:date="2019-01-13T11:55:00Z">
                    <w:tcPr>
                      <w:tcW w:w="1017" w:type="dxa"/>
                      <w:noWrap w:val="0"/>
                      <w:vAlign w:val="center"/>
                    </w:tcPr>
                  </w:tcPrChange>
                </w:tcPr>
                <w:p>
                  <w:pPr>
                    <w:spacing w:line="240" w:lineRule="auto"/>
                    <w:jc w:val="center"/>
                  </w:pPr>
                  <w:r>
                    <w:t>事故应急处理措施</w:t>
                  </w:r>
                </w:p>
              </w:tc>
              <w:tc>
                <w:tcPr>
                  <w:tcW w:w="5172" w:type="dxa"/>
                  <w:gridSpan w:val="3"/>
                  <w:noWrap w:val="0"/>
                  <w:vAlign w:val="center"/>
                  <w:tcPrChange w:id="10" w:author=" " w:date="2019-01-13T11:55:00Z">
                    <w:tcPr>
                      <w:tcW w:w="4776" w:type="dxa"/>
                      <w:gridSpan w:val="6"/>
                      <w:noWrap w:val="0"/>
                      <w:vAlign w:val="center"/>
                    </w:tcPr>
                  </w:tcPrChange>
                </w:tcPr>
                <w:p>
                  <w:pPr>
                    <w:spacing w:line="240" w:lineRule="auto"/>
                    <w:jc w:val="center"/>
                  </w:pPr>
                  <w:r>
                    <w:t>储备环境应急物资和制订应急措施</w:t>
                  </w:r>
                </w:p>
              </w:tc>
              <w:tc>
                <w:tcPr>
                  <w:tcW w:w="1697" w:type="dxa"/>
                  <w:noWrap w:val="0"/>
                  <w:vAlign w:val="center"/>
                  <w:tcPrChange w:id="11" w:author=" " w:date="2019-01-13T11:55:00Z">
                    <w:tcPr>
                      <w:tcW w:w="1276" w:type="dxa"/>
                      <w:gridSpan w:val="2"/>
                      <w:noWrap w:val="0"/>
                      <w:vAlign w:val="center"/>
                    </w:tcPr>
                  </w:tcPrChange>
                </w:tcPr>
                <w:p>
                  <w:pPr>
                    <w:spacing w:line="240" w:lineRule="auto"/>
                    <w:jc w:val="center"/>
                  </w:pPr>
                  <w:r>
                    <w:t>—</w:t>
                  </w:r>
                </w:p>
              </w:tc>
              <w:tc>
                <w:tcPr>
                  <w:tcW w:w="730" w:type="dxa"/>
                  <w:noWrap w:val="0"/>
                  <w:vAlign w:val="center"/>
                  <w:tcPrChange w:id="12" w:author=" " w:date="2019-01-13T11:55:00Z">
                    <w:tcPr>
                      <w:tcW w:w="1003" w:type="dxa"/>
                      <w:noWrap w:val="0"/>
                      <w:vAlign w:val="center"/>
                    </w:tcPr>
                  </w:tcPrChange>
                </w:tcPr>
                <w:p>
                  <w:pPr>
                    <w:spacing w:line="240" w:lineRule="auto"/>
                    <w:jc w:val="center"/>
                    <w:rPr>
                      <w:rFonts w:hint="default"/>
                      <w:lang w:val="en-US" w:eastAsia="zh-CN"/>
                    </w:rPr>
                  </w:pPr>
                  <w:r>
                    <w:rPr>
                      <w:rFonts w:hint="eastAsia"/>
                      <w:lang w:val="en-US" w:eastAsia="zh-CN"/>
                    </w:rPr>
                    <w:t>1</w:t>
                  </w:r>
                </w:p>
              </w:tc>
              <w:tc>
                <w:tcPr>
                  <w:tcW w:w="613" w:type="dxa"/>
                  <w:vMerge w:val="continue"/>
                  <w:noWrap w:val="0"/>
                  <w:vAlign w:val="center"/>
                  <w:tcPrChange w:id="13" w:author=" " w:date="2019-01-13T11:55: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14"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253" w:hRule="atLeast"/>
                <w:jc w:val="center"/>
                <w:trPrChange w:id="14" w:author=" " w:date="2019-01-13T11:55:00Z">
                  <w:trPr>
                    <w:gridAfter w:val="1"/>
                    <w:wAfter w:w="0" w:type="dxa"/>
                    <w:trHeight w:val="253" w:hRule="atLeast"/>
                    <w:jc w:val="center"/>
                  </w:trPr>
                </w:trPrChange>
              </w:trPr>
              <w:tc>
                <w:tcPr>
                  <w:tcW w:w="1210" w:type="dxa"/>
                  <w:gridSpan w:val="2"/>
                  <w:noWrap w:val="0"/>
                  <w:vAlign w:val="center"/>
                  <w:tcPrChange w:id="15" w:author=" " w:date="2019-01-13T11:55:00Z">
                    <w:tcPr>
                      <w:tcW w:w="1017" w:type="dxa"/>
                      <w:noWrap w:val="0"/>
                      <w:vAlign w:val="center"/>
                    </w:tcPr>
                  </w:tcPrChange>
                </w:tcPr>
                <w:p>
                  <w:pPr>
                    <w:spacing w:line="240" w:lineRule="auto"/>
                    <w:jc w:val="center"/>
                  </w:pPr>
                  <w:r>
                    <w:t>环境管理</w:t>
                  </w:r>
                </w:p>
              </w:tc>
              <w:tc>
                <w:tcPr>
                  <w:tcW w:w="5172" w:type="dxa"/>
                  <w:gridSpan w:val="3"/>
                  <w:noWrap w:val="0"/>
                  <w:vAlign w:val="center"/>
                  <w:tcPrChange w:id="16" w:author=" " w:date="2019-01-13T11:55:00Z">
                    <w:tcPr>
                      <w:tcW w:w="4776" w:type="dxa"/>
                      <w:gridSpan w:val="6"/>
                      <w:noWrap w:val="0"/>
                      <w:vAlign w:val="center"/>
                    </w:tcPr>
                  </w:tcPrChange>
                </w:tcPr>
                <w:p>
                  <w:pPr>
                    <w:spacing w:line="240" w:lineRule="auto"/>
                    <w:jc w:val="center"/>
                  </w:pPr>
                  <w:r>
                    <w:t>日常管理专人负责，日常环境监测委托有资质</w:t>
                  </w:r>
                </w:p>
                <w:p>
                  <w:pPr>
                    <w:spacing w:line="240" w:lineRule="auto"/>
                    <w:jc w:val="center"/>
                  </w:pPr>
                  <w:r>
                    <w:t>的社会监测机构进行</w:t>
                  </w:r>
                </w:p>
              </w:tc>
              <w:tc>
                <w:tcPr>
                  <w:tcW w:w="1697" w:type="dxa"/>
                  <w:noWrap w:val="0"/>
                  <w:vAlign w:val="center"/>
                  <w:tcPrChange w:id="17" w:author=" " w:date="2019-01-13T11:55:00Z">
                    <w:tcPr>
                      <w:tcW w:w="1276" w:type="dxa"/>
                      <w:gridSpan w:val="2"/>
                      <w:noWrap w:val="0"/>
                      <w:vAlign w:val="center"/>
                    </w:tcPr>
                  </w:tcPrChange>
                </w:tcPr>
                <w:p>
                  <w:pPr>
                    <w:spacing w:line="240" w:lineRule="auto"/>
                    <w:jc w:val="center"/>
                  </w:pPr>
                  <w:r>
                    <w:t>—</w:t>
                  </w:r>
                </w:p>
              </w:tc>
              <w:tc>
                <w:tcPr>
                  <w:tcW w:w="730" w:type="dxa"/>
                  <w:noWrap w:val="0"/>
                  <w:vAlign w:val="center"/>
                  <w:tcPrChange w:id="18" w:author=" " w:date="2019-01-13T11:55:00Z">
                    <w:tcPr>
                      <w:tcW w:w="1003" w:type="dxa"/>
                      <w:noWrap w:val="0"/>
                      <w:vAlign w:val="center"/>
                    </w:tcPr>
                  </w:tcPrChange>
                </w:tcPr>
                <w:p>
                  <w:pPr>
                    <w:spacing w:line="240" w:lineRule="auto"/>
                    <w:jc w:val="center"/>
                    <w:rPr>
                      <w:rFonts w:hint="eastAsia"/>
                      <w:lang w:eastAsia="zh-CN"/>
                    </w:rPr>
                  </w:pPr>
                  <w:r>
                    <w:rPr>
                      <w:rFonts w:hint="eastAsia"/>
                      <w:lang w:val="en-US" w:eastAsia="zh-CN"/>
                    </w:rPr>
                    <w:t>1</w:t>
                  </w:r>
                </w:p>
              </w:tc>
              <w:tc>
                <w:tcPr>
                  <w:tcW w:w="613" w:type="dxa"/>
                  <w:vMerge w:val="continue"/>
                  <w:noWrap w:val="0"/>
                  <w:vAlign w:val="center"/>
                  <w:tcPrChange w:id="19" w:author=" " w:date="2019-01-13T11:55: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0"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850" w:hRule="atLeast"/>
                <w:jc w:val="center"/>
                <w:trPrChange w:id="20" w:author=" " w:date="2019-01-13T11:55:00Z">
                  <w:trPr>
                    <w:gridAfter w:val="1"/>
                    <w:wAfter w:w="0" w:type="dxa"/>
                    <w:trHeight w:val="850" w:hRule="atLeast"/>
                    <w:jc w:val="center"/>
                  </w:trPr>
                </w:trPrChange>
              </w:trPr>
              <w:tc>
                <w:tcPr>
                  <w:tcW w:w="1210" w:type="dxa"/>
                  <w:gridSpan w:val="2"/>
                  <w:noWrap w:val="0"/>
                  <w:vAlign w:val="center"/>
                  <w:tcPrChange w:id="21" w:author=" " w:date="2019-01-13T11:55:00Z">
                    <w:tcPr>
                      <w:tcW w:w="1017" w:type="dxa"/>
                      <w:noWrap w:val="0"/>
                      <w:vAlign w:val="center"/>
                    </w:tcPr>
                  </w:tcPrChange>
                </w:tcPr>
                <w:p>
                  <w:pPr>
                    <w:spacing w:line="240" w:lineRule="auto"/>
                    <w:jc w:val="center"/>
                  </w:pPr>
                  <w:r>
                    <w:t>清污分流、排污口规范化设置</w:t>
                  </w:r>
                </w:p>
              </w:tc>
              <w:tc>
                <w:tcPr>
                  <w:tcW w:w="5172" w:type="dxa"/>
                  <w:gridSpan w:val="3"/>
                  <w:noWrap w:val="0"/>
                  <w:vAlign w:val="center"/>
                  <w:tcPrChange w:id="22" w:author=" " w:date="2019-01-13T11:55:00Z">
                    <w:tcPr>
                      <w:tcW w:w="4776" w:type="dxa"/>
                      <w:gridSpan w:val="6"/>
                      <w:noWrap w:val="0"/>
                      <w:vAlign w:val="center"/>
                    </w:tcPr>
                  </w:tcPrChange>
                </w:tcPr>
                <w:p>
                  <w:pPr>
                    <w:spacing w:line="240" w:lineRule="auto"/>
                    <w:jc w:val="center"/>
                  </w:pPr>
                  <w:r>
                    <w:t>规范设置排放口。满足苏环控[1997]122号《江苏省排污口设置及规范化整治管理办法》</w:t>
                  </w:r>
                </w:p>
              </w:tc>
              <w:tc>
                <w:tcPr>
                  <w:tcW w:w="1697" w:type="dxa"/>
                  <w:noWrap w:val="0"/>
                  <w:vAlign w:val="center"/>
                  <w:tcPrChange w:id="23" w:author=" " w:date="2019-01-13T11:55:00Z">
                    <w:tcPr>
                      <w:tcW w:w="1276" w:type="dxa"/>
                      <w:gridSpan w:val="2"/>
                      <w:noWrap w:val="0"/>
                      <w:vAlign w:val="center"/>
                    </w:tcPr>
                  </w:tcPrChange>
                </w:tcPr>
                <w:p>
                  <w:pPr>
                    <w:spacing w:line="240" w:lineRule="auto"/>
                    <w:jc w:val="center"/>
                  </w:pPr>
                  <w:r>
                    <w:t>/</w:t>
                  </w:r>
                </w:p>
              </w:tc>
              <w:tc>
                <w:tcPr>
                  <w:tcW w:w="730" w:type="dxa"/>
                  <w:noWrap w:val="0"/>
                  <w:vAlign w:val="center"/>
                  <w:tcPrChange w:id="24" w:author=" " w:date="2019-01-13T11:55:00Z">
                    <w:tcPr>
                      <w:tcW w:w="1003" w:type="dxa"/>
                      <w:noWrap w:val="0"/>
                      <w:vAlign w:val="center"/>
                    </w:tcPr>
                  </w:tcPrChange>
                </w:tcPr>
                <w:p>
                  <w:pPr>
                    <w:spacing w:line="240" w:lineRule="auto"/>
                    <w:jc w:val="center"/>
                  </w:pPr>
                  <w:r>
                    <w:t>-</w:t>
                  </w:r>
                </w:p>
              </w:tc>
              <w:tc>
                <w:tcPr>
                  <w:tcW w:w="613" w:type="dxa"/>
                  <w:vMerge w:val="continue"/>
                  <w:noWrap w:val="0"/>
                  <w:vAlign w:val="center"/>
                  <w:tcPrChange w:id="25" w:author=" " w:date="2019-01-13T11:55: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26"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682" w:hRule="atLeast"/>
                <w:jc w:val="center"/>
                <w:trPrChange w:id="26" w:author=" " w:date="2019-01-13T11:55:00Z">
                  <w:trPr>
                    <w:gridAfter w:val="1"/>
                    <w:wAfter w:w="0" w:type="dxa"/>
                    <w:trHeight w:val="682" w:hRule="atLeast"/>
                    <w:jc w:val="center"/>
                  </w:trPr>
                </w:trPrChange>
              </w:trPr>
              <w:tc>
                <w:tcPr>
                  <w:tcW w:w="1210" w:type="dxa"/>
                  <w:gridSpan w:val="2"/>
                  <w:noWrap w:val="0"/>
                  <w:vAlign w:val="center"/>
                  <w:tcPrChange w:id="27" w:author=" " w:date="2019-01-13T11:55:00Z">
                    <w:tcPr>
                      <w:tcW w:w="1017" w:type="dxa"/>
                      <w:noWrap w:val="0"/>
                      <w:vAlign w:val="center"/>
                    </w:tcPr>
                  </w:tcPrChange>
                </w:tcPr>
                <w:p>
                  <w:pPr>
                    <w:spacing w:line="240" w:lineRule="auto"/>
                    <w:jc w:val="center"/>
                  </w:pPr>
                  <w:r>
                    <w:t>总量平衡具体方案</w:t>
                  </w:r>
                </w:p>
              </w:tc>
              <w:tc>
                <w:tcPr>
                  <w:tcW w:w="6869" w:type="dxa"/>
                  <w:gridSpan w:val="4"/>
                  <w:noWrap w:val="0"/>
                  <w:vAlign w:val="center"/>
                  <w:tcPrChange w:id="28" w:author=" " w:date="2019-01-13T11:55:00Z">
                    <w:tcPr>
                      <w:tcW w:w="6052" w:type="dxa"/>
                      <w:gridSpan w:val="8"/>
                      <w:noWrap w:val="0"/>
                      <w:vAlign w:val="center"/>
                    </w:tcPr>
                  </w:tcPrChange>
                </w:tcPr>
                <w:p>
                  <w:pPr>
                    <w:spacing w:line="240" w:lineRule="auto"/>
                    <w:jc w:val="center"/>
                  </w:pPr>
                  <w:r>
                    <w:t>大气污染物在区域内平衡，水污染物总量在苏州新区</w:t>
                  </w:r>
                </w:p>
                <w:p>
                  <w:pPr>
                    <w:spacing w:line="240" w:lineRule="auto"/>
                    <w:jc w:val="center"/>
                  </w:pPr>
                  <w:r>
                    <w:t>污水处理厂削减总量内平衡；固体废物实行零排放</w:t>
                  </w:r>
                </w:p>
              </w:tc>
              <w:tc>
                <w:tcPr>
                  <w:tcW w:w="730" w:type="dxa"/>
                  <w:noWrap w:val="0"/>
                  <w:vAlign w:val="center"/>
                  <w:tcPrChange w:id="29" w:author=" " w:date="2019-01-13T11:55:00Z">
                    <w:tcPr>
                      <w:tcW w:w="1003" w:type="dxa"/>
                      <w:noWrap w:val="0"/>
                      <w:vAlign w:val="center"/>
                    </w:tcPr>
                  </w:tcPrChange>
                </w:tcPr>
                <w:p>
                  <w:pPr>
                    <w:spacing w:line="240" w:lineRule="auto"/>
                    <w:jc w:val="center"/>
                  </w:pPr>
                  <w:r>
                    <w:t>-</w:t>
                  </w:r>
                </w:p>
              </w:tc>
              <w:tc>
                <w:tcPr>
                  <w:tcW w:w="613" w:type="dxa"/>
                  <w:vMerge w:val="continue"/>
                  <w:noWrap w:val="0"/>
                  <w:vAlign w:val="center"/>
                  <w:tcPrChange w:id="30" w:author=" " w:date="2019-01-13T11:55: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31"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613" w:hRule="atLeast"/>
                <w:jc w:val="center"/>
                <w:trPrChange w:id="31" w:author=" " w:date="2019-01-13T11:55:00Z">
                  <w:trPr>
                    <w:gridAfter w:val="1"/>
                    <w:wAfter w:w="0" w:type="dxa"/>
                    <w:trHeight w:val="613" w:hRule="atLeast"/>
                    <w:jc w:val="center"/>
                  </w:trPr>
                </w:trPrChange>
              </w:trPr>
              <w:tc>
                <w:tcPr>
                  <w:tcW w:w="1210" w:type="dxa"/>
                  <w:gridSpan w:val="2"/>
                  <w:noWrap w:val="0"/>
                  <w:vAlign w:val="center"/>
                  <w:tcPrChange w:id="32" w:author=" " w:date="2019-01-13T11:55:00Z">
                    <w:tcPr>
                      <w:tcW w:w="1017" w:type="dxa"/>
                      <w:noWrap w:val="0"/>
                      <w:vAlign w:val="center"/>
                    </w:tcPr>
                  </w:tcPrChange>
                </w:tcPr>
                <w:p>
                  <w:pPr>
                    <w:spacing w:line="240" w:lineRule="auto"/>
                    <w:jc w:val="center"/>
                  </w:pPr>
                  <w:r>
                    <w:t>卫生防护距离设置</w:t>
                  </w:r>
                </w:p>
              </w:tc>
              <w:tc>
                <w:tcPr>
                  <w:tcW w:w="6869" w:type="dxa"/>
                  <w:gridSpan w:val="4"/>
                  <w:noWrap w:val="0"/>
                  <w:vAlign w:val="center"/>
                  <w:tcPrChange w:id="33" w:author=" " w:date="2019-01-13T11:55:00Z">
                    <w:tcPr>
                      <w:tcW w:w="6052" w:type="dxa"/>
                      <w:gridSpan w:val="8"/>
                      <w:noWrap w:val="0"/>
                      <w:vAlign w:val="center"/>
                    </w:tcPr>
                  </w:tcPrChange>
                </w:tcPr>
                <w:p>
                  <w:pPr>
                    <w:spacing w:line="240" w:lineRule="auto"/>
                    <w:jc w:val="center"/>
                  </w:pPr>
                  <w:r>
                    <w:t>本项以生产车间为边界，设置100m卫生防护距离</w:t>
                  </w:r>
                </w:p>
              </w:tc>
              <w:tc>
                <w:tcPr>
                  <w:tcW w:w="730" w:type="dxa"/>
                  <w:noWrap w:val="0"/>
                  <w:vAlign w:val="center"/>
                  <w:tcPrChange w:id="34" w:author=" " w:date="2019-01-13T11:55:00Z">
                    <w:tcPr>
                      <w:tcW w:w="1003" w:type="dxa"/>
                      <w:noWrap w:val="0"/>
                      <w:vAlign w:val="center"/>
                    </w:tcPr>
                  </w:tcPrChange>
                </w:tcPr>
                <w:p>
                  <w:pPr>
                    <w:spacing w:line="240" w:lineRule="auto"/>
                    <w:jc w:val="center"/>
                  </w:pPr>
                  <w:r>
                    <w:t>-</w:t>
                  </w:r>
                </w:p>
              </w:tc>
              <w:tc>
                <w:tcPr>
                  <w:tcW w:w="613" w:type="dxa"/>
                  <w:vMerge w:val="continue"/>
                  <w:noWrap w:val="0"/>
                  <w:vAlign w:val="center"/>
                  <w:tcPrChange w:id="35" w:author=" " w:date="2019-01-13T11:55:00Z">
                    <w:tcPr>
                      <w:tcW w:w="1068" w:type="dxa"/>
                      <w:gridSpan w:val="3"/>
                      <w:vMerge w:val="continue"/>
                      <w:noWrap w:val="0"/>
                      <w:vAlign w:val="center"/>
                    </w:tcPr>
                  </w:tcPrChange>
                </w:tcPr>
                <w:p>
                  <w:pPr>
                    <w:spacing w:line="240" w:lineRule="auto"/>
                    <w:jc w:val="cente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Change w:id="36" w:author=" " w:date="2019-01-13T11:55: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blPrExChange>
              </w:tblPrEx>
              <w:trPr>
                <w:wAfter w:w="0" w:type="auto"/>
                <w:trHeight w:val="461" w:hRule="atLeast"/>
                <w:jc w:val="center"/>
                <w:trPrChange w:id="36" w:author=" " w:date="2019-01-13T11:55:00Z">
                  <w:trPr>
                    <w:gridAfter w:val="1"/>
                    <w:wAfter w:w="0" w:type="dxa"/>
                    <w:trHeight w:val="461" w:hRule="atLeast"/>
                    <w:jc w:val="center"/>
                  </w:trPr>
                </w:trPrChange>
              </w:trPr>
              <w:tc>
                <w:tcPr>
                  <w:tcW w:w="1210" w:type="dxa"/>
                  <w:gridSpan w:val="2"/>
                  <w:noWrap w:val="0"/>
                  <w:vAlign w:val="center"/>
                  <w:tcPrChange w:id="37" w:author=" " w:date="2019-01-13T11:55:00Z">
                    <w:tcPr>
                      <w:tcW w:w="1017" w:type="dxa"/>
                      <w:noWrap w:val="0"/>
                      <w:vAlign w:val="center"/>
                    </w:tcPr>
                  </w:tcPrChange>
                </w:tcPr>
                <w:p>
                  <w:pPr>
                    <w:spacing w:line="240" w:lineRule="auto"/>
                    <w:jc w:val="center"/>
                  </w:pPr>
                  <w:r>
                    <w:t>合计</w:t>
                  </w:r>
                </w:p>
              </w:tc>
              <w:tc>
                <w:tcPr>
                  <w:tcW w:w="6869" w:type="dxa"/>
                  <w:gridSpan w:val="4"/>
                  <w:noWrap w:val="0"/>
                  <w:vAlign w:val="center"/>
                  <w:tcPrChange w:id="38" w:author=" " w:date="2019-01-13T11:55:00Z">
                    <w:tcPr>
                      <w:tcW w:w="6052" w:type="dxa"/>
                      <w:gridSpan w:val="8"/>
                      <w:noWrap w:val="0"/>
                      <w:vAlign w:val="center"/>
                    </w:tcPr>
                  </w:tcPrChange>
                </w:tcPr>
                <w:p>
                  <w:pPr>
                    <w:spacing w:line="240" w:lineRule="auto"/>
                    <w:jc w:val="center"/>
                  </w:pPr>
                  <w:r>
                    <w:t>—</w:t>
                  </w:r>
                </w:p>
              </w:tc>
              <w:tc>
                <w:tcPr>
                  <w:tcW w:w="730" w:type="dxa"/>
                  <w:noWrap w:val="0"/>
                  <w:vAlign w:val="center"/>
                  <w:tcPrChange w:id="39" w:author=" " w:date="2019-01-13T11:55:00Z">
                    <w:tcPr>
                      <w:tcW w:w="1003" w:type="dxa"/>
                      <w:noWrap w:val="0"/>
                      <w:vAlign w:val="center"/>
                    </w:tcPr>
                  </w:tcPrChange>
                </w:tcPr>
                <w:p>
                  <w:pPr>
                    <w:spacing w:line="240" w:lineRule="auto"/>
                    <w:jc w:val="center"/>
                    <w:rPr>
                      <w:rFonts w:hint="eastAsia"/>
                      <w:lang w:eastAsia="zh-CN"/>
                    </w:rPr>
                  </w:pPr>
                  <w:r>
                    <w:rPr>
                      <w:rFonts w:hint="eastAsia"/>
                      <w:lang w:val="en-US" w:eastAsia="zh-CN"/>
                    </w:rPr>
                    <w:t>5</w:t>
                  </w:r>
                </w:p>
              </w:tc>
              <w:tc>
                <w:tcPr>
                  <w:tcW w:w="613" w:type="dxa"/>
                  <w:vMerge w:val="continue"/>
                  <w:noWrap w:val="0"/>
                  <w:vAlign w:val="center"/>
                  <w:tcPrChange w:id="40" w:author=" " w:date="2019-01-13T11:55:00Z">
                    <w:tcPr>
                      <w:tcW w:w="1068" w:type="dxa"/>
                      <w:gridSpan w:val="3"/>
                      <w:vMerge w:val="continue"/>
                      <w:noWrap w:val="0"/>
                      <w:vAlign w:val="center"/>
                    </w:tcPr>
                  </w:tcPrChange>
                </w:tcPr>
                <w:p>
                  <w:pPr>
                    <w:spacing w:line="240" w:lineRule="auto"/>
                    <w:jc w:val="center"/>
                  </w:pPr>
                </w:p>
              </w:tc>
            </w:tr>
          </w:tbl>
          <w:p>
            <w:pPr>
              <w:spacing w:line="400" w:lineRule="exact"/>
            </w:pPr>
          </w:p>
          <w:p>
            <w:pPr>
              <w:spacing w:line="400" w:lineRule="exact"/>
            </w:pPr>
          </w:p>
          <w:p>
            <w:pPr>
              <w:spacing w:line="400" w:lineRule="exact"/>
            </w:pPr>
          </w:p>
          <w:p>
            <w:pPr>
              <w:spacing w:line="400" w:lineRule="exact"/>
              <w:ind w:left="-204" w:leftChars="-85" w:firstLine="360" w:firstLineChars="150"/>
            </w:pPr>
          </w:p>
          <w:p>
            <w:pPr>
              <w:pStyle w:val="2"/>
            </w:pPr>
          </w:p>
          <w:p/>
          <w:p>
            <w:pPr>
              <w:pStyle w:val="2"/>
            </w:pPr>
          </w:p>
          <w:p/>
          <w:p>
            <w:pPr>
              <w:pStyle w:val="2"/>
            </w:pPr>
          </w:p>
          <w:p/>
          <w:p>
            <w:pPr>
              <w:pStyle w:val="2"/>
              <w:ind w:left="0" w:leftChars="0" w:firstLine="0" w:firstLineChars="0"/>
            </w:pPr>
          </w:p>
          <w:p/>
          <w:p>
            <w:pPr>
              <w:pStyle w:val="2"/>
            </w:pPr>
          </w:p>
          <w:p/>
          <w:p>
            <w:pPr>
              <w:pStyle w:val="2"/>
            </w:pPr>
          </w:p>
          <w:p>
            <w:pPr>
              <w:pStyle w:val="2"/>
              <w:ind w:left="0" w:leftChars="0" w:firstLine="0" w:firstLineChars="0"/>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noWrap w:val="0"/>
            <w:vAlign w:val="top"/>
          </w:tcPr>
          <w:p>
            <w:pPr>
              <w:spacing w:line="400" w:lineRule="exact"/>
              <w:rPr>
                <w:szCs w:val="20"/>
              </w:rPr>
            </w:pPr>
            <w:r>
              <w:t>预审意见：</w:t>
            </w: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p>
          <w:p>
            <w:pPr>
              <w:spacing w:line="400" w:lineRule="exact"/>
              <w:ind w:left="-204" w:leftChars="-85" w:firstLine="660" w:firstLineChars="275"/>
              <w:rPr>
                <w:szCs w:val="20"/>
              </w:rPr>
            </w:pPr>
            <w:r>
              <w:t xml:space="preserve">                                                              公  章</w:t>
            </w:r>
          </w:p>
          <w:p>
            <w:pPr>
              <w:spacing w:line="400" w:lineRule="exact"/>
              <w:ind w:left="-204" w:leftChars="-85" w:firstLine="660" w:firstLineChars="275"/>
              <w:rPr>
                <w:szCs w:val="20"/>
              </w:rPr>
            </w:pPr>
          </w:p>
          <w:p>
            <w:pPr>
              <w:spacing w:line="400" w:lineRule="exact"/>
              <w:ind w:left="-204" w:leftChars="-85" w:firstLine="360" w:firstLineChars="150"/>
            </w:pPr>
            <w: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noWrap w:val="0"/>
            <w:vAlign w:val="top"/>
          </w:tcPr>
          <w:p>
            <w:pPr>
              <w:bidi w:val="0"/>
            </w:pPr>
            <w:r>
              <w:t>下一级环境保护行政主管部门审查意见：</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bidi w:val="0"/>
              <w:ind w:firstLine="6720" w:firstLineChars="2800"/>
            </w:pPr>
            <w:r>
              <w:t>公章</w:t>
            </w:r>
          </w:p>
          <w:p>
            <w:pPr>
              <w:bidi w:val="0"/>
            </w:pPr>
          </w:p>
          <w:p>
            <w:pPr>
              <w:bidi w:val="0"/>
            </w:pPr>
            <w:r>
              <w:t>经办：                         签发：                     年    月    日</w:t>
            </w:r>
          </w:p>
          <w:p>
            <w:pPr>
              <w:spacing w:line="400" w:lineRule="exact"/>
              <w:ind w:left="-204" w:leftChars="-85" w:firstLine="360"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noWrap w:val="0"/>
            <w:vAlign w:val="top"/>
          </w:tcPr>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noWrap w:val="0"/>
                  <w:vAlign w:val="top"/>
                </w:tcPr>
                <w:p>
                  <w:pPr>
                    <w:spacing w:line="400" w:lineRule="exact"/>
                    <w:rPr>
                      <w:szCs w:val="20"/>
                    </w:rPr>
                  </w:pPr>
                  <w:r>
                    <w:t>审批意见：</w:t>
                  </w: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ind w:firstLine="480" w:firstLineChars="200"/>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rPr>
                      <w:szCs w:val="20"/>
                    </w:rPr>
                  </w:pPr>
                </w:p>
                <w:p>
                  <w:pPr>
                    <w:spacing w:line="400" w:lineRule="exact"/>
                    <w:ind w:firstLine="480" w:firstLineChars="200"/>
                    <w:rPr>
                      <w:szCs w:val="20"/>
                    </w:rPr>
                  </w:pPr>
                  <w:r>
                    <w:t xml:space="preserve">                                                         公  章</w:t>
                  </w:r>
                </w:p>
                <w:p>
                  <w:pPr>
                    <w:spacing w:line="400" w:lineRule="exact"/>
                    <w:ind w:firstLine="480" w:firstLineChars="200"/>
                    <w:rPr>
                      <w:szCs w:val="20"/>
                    </w:rPr>
                  </w:pPr>
                </w:p>
                <w:p>
                  <w:pPr>
                    <w:spacing w:line="400" w:lineRule="exact"/>
                    <w:ind w:firstLine="240" w:firstLineChars="100"/>
                  </w:pPr>
                  <w:r>
                    <w:t xml:space="preserve">经办人：                                               年    月    日 </w:t>
                  </w:r>
                </w:p>
                <w:p>
                  <w:pPr>
                    <w:pStyle w:val="51"/>
                    <w:jc w:val="both"/>
                    <w:rPr>
                      <w:rFonts w:ascii="Times New Roman" w:hAnsi="Times New Roman"/>
                    </w:rPr>
                  </w:pPr>
                </w:p>
              </w:tc>
            </w:tr>
          </w:tbl>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noWrap w:val="0"/>
                  <w:vAlign w:val="top"/>
                </w:tcPr>
                <w:p>
                  <w:pPr>
                    <w:snapToGrid w:val="0"/>
                    <w:spacing w:line="324" w:lineRule="auto"/>
                    <w:jc w:val="center"/>
                  </w:pPr>
                  <w:r>
                    <w:t>注  释</w:t>
                  </w:r>
                </w:p>
                <w:p>
                  <w:pPr>
                    <w:snapToGrid w:val="0"/>
                    <w:spacing w:line="324" w:lineRule="auto"/>
                    <w:ind w:firstLine="480" w:firstLineChars="200"/>
                  </w:pPr>
                  <w:r>
                    <w:t>一、本报告表应附以下附件、附图：</w:t>
                  </w:r>
                </w:p>
                <w:p>
                  <w:pPr>
                    <w:snapToGrid w:val="0"/>
                    <w:spacing w:line="324" w:lineRule="auto"/>
                    <w:ind w:firstLine="470" w:firstLineChars="196"/>
                    <w:jc w:val="left"/>
                  </w:pPr>
                  <w:r>
                    <w:t>附图</w:t>
                  </w:r>
                </w:p>
                <w:p>
                  <w:pPr>
                    <w:snapToGrid w:val="0"/>
                    <w:spacing w:line="324" w:lineRule="auto"/>
                    <w:ind w:firstLine="480" w:firstLineChars="200"/>
                  </w:pPr>
                  <w:r>
                    <w:t>附图</w:t>
                  </w:r>
                  <w:r>
                    <w:rPr>
                      <w:rFonts w:hint="eastAsia"/>
                    </w:rPr>
                    <w:t>一：</w:t>
                  </w:r>
                  <w:r>
                    <w:t>建设项目地理位置图</w:t>
                  </w:r>
                </w:p>
                <w:p>
                  <w:pPr>
                    <w:snapToGrid w:val="0"/>
                    <w:spacing w:line="324" w:lineRule="auto"/>
                    <w:ind w:firstLine="480" w:firstLineChars="200"/>
                  </w:pPr>
                  <w:r>
                    <w:t>附图</w:t>
                  </w:r>
                  <w:r>
                    <w:rPr>
                      <w:rFonts w:hint="eastAsia"/>
                    </w:rPr>
                    <w:t>二：</w:t>
                  </w:r>
                  <w:r>
                    <w:t>苏州高新区总体规划图</w:t>
                  </w:r>
                </w:p>
                <w:p>
                  <w:pPr>
                    <w:snapToGrid w:val="0"/>
                    <w:spacing w:line="324" w:lineRule="auto"/>
                    <w:ind w:firstLine="480" w:firstLineChars="200"/>
                  </w:pPr>
                  <w:r>
                    <w:t>附图</w:t>
                  </w:r>
                  <w:r>
                    <w:rPr>
                      <w:rFonts w:hint="eastAsia"/>
                    </w:rPr>
                    <w:t>三：</w:t>
                  </w:r>
                  <w:r>
                    <w:rPr>
                      <w:rFonts w:hint="eastAsia"/>
                      <w:lang w:val="en-US" w:eastAsia="zh-CN"/>
                    </w:rPr>
                    <w:t>厂区</w:t>
                  </w:r>
                  <w:r>
                    <w:t>平面布置图</w:t>
                  </w:r>
                </w:p>
                <w:p>
                  <w:pPr>
                    <w:snapToGrid w:val="0"/>
                    <w:spacing w:line="324" w:lineRule="auto"/>
                    <w:ind w:firstLine="480" w:firstLineChars="200"/>
                  </w:pPr>
                  <w:r>
                    <w:t>附图</w:t>
                  </w:r>
                  <w:r>
                    <w:rPr>
                      <w:rFonts w:hint="eastAsia"/>
                    </w:rPr>
                    <w:t>四：</w:t>
                  </w:r>
                  <w:r>
                    <w:t>项目周围状况图</w:t>
                  </w:r>
                </w:p>
                <w:p>
                  <w:pPr>
                    <w:pStyle w:val="2"/>
                    <w:snapToGrid w:val="0"/>
                    <w:spacing w:line="324" w:lineRule="auto"/>
                    <w:ind w:firstLine="480"/>
                    <w:rPr>
                      <w:rFonts w:hint="eastAsia"/>
                      <w:lang w:val="en-US" w:eastAsia="zh-CN"/>
                    </w:rPr>
                  </w:pPr>
                  <w:r>
                    <w:t>附图</w:t>
                  </w:r>
                  <w:r>
                    <w:rPr>
                      <w:rFonts w:hint="eastAsia"/>
                    </w:rPr>
                    <w:t>五：</w:t>
                  </w:r>
                  <w:r>
                    <w:rPr>
                      <w:rFonts w:hint="eastAsia"/>
                      <w:lang w:val="en-US" w:eastAsia="zh-CN"/>
                    </w:rPr>
                    <w:t>项目敏感目标图</w:t>
                  </w:r>
                </w:p>
                <w:p>
                  <w:pPr>
                    <w:ind w:firstLine="480" w:firstLineChars="200"/>
                    <w:rPr>
                      <w:rFonts w:hint="eastAsia"/>
                    </w:rPr>
                  </w:pPr>
                  <w:r>
                    <w:rPr>
                      <w:rFonts w:hint="eastAsia"/>
                    </w:rPr>
                    <w:t>附件</w:t>
                  </w:r>
                </w:p>
                <w:p>
                  <w:pPr>
                    <w:ind w:firstLine="480" w:firstLineChars="200"/>
                  </w:pPr>
                  <w:r>
                    <w:rPr>
                      <w:rFonts w:hint="eastAsia"/>
                    </w:rPr>
                    <w:t>附件一：营业执照</w:t>
                  </w:r>
                </w:p>
                <w:p>
                  <w:pPr>
                    <w:ind w:firstLine="480" w:firstLineChars="200"/>
                    <w:rPr>
                      <w:rFonts w:hint="default"/>
                      <w:lang w:val="en-US" w:eastAsia="zh-CN"/>
                    </w:rPr>
                  </w:pPr>
                  <w:r>
                    <w:rPr>
                      <w:rFonts w:hint="eastAsia"/>
                    </w:rPr>
                    <w:t>附件二：</w:t>
                  </w:r>
                  <w:r>
                    <w:rPr>
                      <w:rFonts w:hint="eastAsia"/>
                      <w:lang w:val="en-US" w:eastAsia="zh-CN"/>
                    </w:rPr>
                    <w:t>项目备案证</w:t>
                  </w:r>
                </w:p>
                <w:p>
                  <w:pPr>
                    <w:ind w:firstLine="480" w:firstLineChars="200"/>
                    <w:rPr>
                      <w:rFonts w:hint="eastAsia"/>
                      <w:lang w:val="en-US" w:eastAsia="zh-CN"/>
                    </w:rPr>
                  </w:pPr>
                  <w:r>
                    <w:rPr>
                      <w:rFonts w:hint="eastAsia"/>
                    </w:rPr>
                    <w:t>附件三：</w:t>
                  </w:r>
                  <w:r>
                    <w:rPr>
                      <w:rFonts w:hint="eastAsia"/>
                      <w:lang w:val="en-US" w:eastAsia="zh-CN"/>
                    </w:rPr>
                    <w:t>厂房租赁合同</w:t>
                  </w:r>
                </w:p>
                <w:p>
                  <w:pPr>
                    <w:ind w:firstLine="480" w:firstLineChars="200"/>
                    <w:rPr>
                      <w:rFonts w:hint="default"/>
                      <w:lang w:val="en-US" w:eastAsia="zh-CN"/>
                    </w:rPr>
                  </w:pPr>
                  <w:r>
                    <w:rPr>
                      <w:rFonts w:hint="eastAsia"/>
                    </w:rPr>
                    <w:t>附件四：</w:t>
                  </w:r>
                  <w:r>
                    <w:rPr>
                      <w:rFonts w:hint="eastAsia"/>
                      <w:lang w:val="en-US" w:eastAsia="zh-CN"/>
                    </w:rPr>
                    <w:t>危废处置协议及补充协议</w:t>
                  </w:r>
                </w:p>
                <w:p>
                  <w:pPr>
                    <w:pStyle w:val="2"/>
                    <w:rPr>
                      <w:rFonts w:hint="default"/>
                      <w:lang w:val="en-US" w:eastAsia="zh-CN"/>
                    </w:rPr>
                  </w:pPr>
                  <w:r>
                    <w:rPr>
                      <w:rFonts w:hint="eastAsia"/>
                      <w:lang w:val="en-US" w:eastAsia="zh-CN"/>
                    </w:rPr>
                    <w:t>附件五：环境现状检测报告</w:t>
                  </w:r>
                </w:p>
                <w:p>
                  <w:pPr>
                    <w:ind w:firstLine="480" w:firstLineChars="200"/>
                    <w:rPr>
                      <w:rFonts w:hint="eastAsia"/>
                      <w:lang w:val="en-US" w:eastAsia="zh-CN"/>
                    </w:rPr>
                  </w:pPr>
                  <w:r>
                    <w:rPr>
                      <w:rFonts w:hint="eastAsia"/>
                      <w:lang w:val="en-US" w:eastAsia="zh-CN"/>
                    </w:rPr>
                    <w:t>附件六：现有项目批复</w:t>
                  </w:r>
                </w:p>
                <w:p>
                  <w:pPr>
                    <w:pStyle w:val="2"/>
                    <w:rPr>
                      <w:rFonts w:hint="eastAsia"/>
                      <w:lang w:val="en-US" w:eastAsia="zh-CN"/>
                    </w:rPr>
                  </w:pPr>
                  <w:r>
                    <w:rPr>
                      <w:rFonts w:hint="eastAsia"/>
                      <w:lang w:val="en-US" w:eastAsia="zh-CN"/>
                    </w:rPr>
                    <w:t>附件七：建设项目环评审批基础信息表</w:t>
                  </w:r>
                </w:p>
                <w:p>
                  <w:pPr>
                    <w:ind w:firstLine="480" w:firstLineChars="200"/>
                    <w:rPr>
                      <w:rFonts w:hint="default"/>
                      <w:lang w:val="en-US" w:eastAsia="zh-CN"/>
                    </w:rPr>
                  </w:pPr>
                  <w:r>
                    <w:rPr>
                      <w:rFonts w:hint="eastAsia"/>
                      <w:lang w:val="en-US" w:eastAsia="zh-CN"/>
                    </w:rPr>
                    <w:t>附件八：项目自主公示说明</w:t>
                  </w:r>
                </w:p>
              </w:tc>
            </w:tr>
          </w:tbl>
          <w:p>
            <w:pPr>
              <w:spacing w:line="400" w:lineRule="exact"/>
              <w:ind w:left="-204" w:leftChars="-85" w:firstLine="360" w:firstLineChars="150"/>
            </w:pPr>
          </w:p>
        </w:tc>
      </w:tr>
    </w:tbl>
    <w:p>
      <w:pPr>
        <w:rPr>
          <w:rFonts w:hint="eastAsia"/>
          <w:lang w:eastAsia="zh-CN"/>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F2">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8D50"/>
    <w:multiLevelType w:val="singleLevel"/>
    <w:tmpl w:val="88E38D50"/>
    <w:lvl w:ilvl="0" w:tentative="0">
      <w:start w:val="8"/>
      <w:numFmt w:val="chineseCounting"/>
      <w:suff w:val="nothing"/>
      <w:lvlText w:val="%1、"/>
      <w:lvlJc w:val="left"/>
      <w:rPr>
        <w:rFonts w:hint="eastAsia"/>
      </w:rPr>
    </w:lvl>
  </w:abstractNum>
  <w:abstractNum w:abstractNumId="1">
    <w:nsid w:val="10838155"/>
    <w:multiLevelType w:val="singleLevel"/>
    <w:tmpl w:val="10838155"/>
    <w:lvl w:ilvl="0" w:tentative="0">
      <w:start w:val="5"/>
      <w:numFmt w:val="decimal"/>
      <w:suff w:val="nothing"/>
      <w:lvlText w:val="%1、"/>
      <w:lvlJc w:val="left"/>
    </w:lvl>
  </w:abstractNum>
  <w:abstractNum w:abstractNumId="2">
    <w:nsid w:val="14DD2C3B"/>
    <w:multiLevelType w:val="singleLevel"/>
    <w:tmpl w:val="14DD2C3B"/>
    <w:lvl w:ilvl="0" w:tentative="0">
      <w:start w:val="1"/>
      <w:numFmt w:val="decimal"/>
      <w:suff w:val="nothing"/>
      <w:lvlText w:val="%1、"/>
      <w:lvlJc w:val="left"/>
    </w:lvl>
  </w:abstractNum>
  <w:abstractNum w:abstractNumId="3">
    <w:nsid w:val="2BC446A1"/>
    <w:multiLevelType w:val="singleLevel"/>
    <w:tmpl w:val="2BC446A1"/>
    <w:lvl w:ilvl="0" w:tentative="0">
      <w:start w:val="1"/>
      <w:numFmt w:val="decimal"/>
      <w:lvlText w:val="%1．"/>
      <w:lvlJc w:val="left"/>
      <w:pPr>
        <w:tabs>
          <w:tab w:val="left" w:pos="885"/>
        </w:tabs>
        <w:ind w:left="885" w:hanging="360"/>
      </w:pPr>
      <w:rPr>
        <w:rFonts w:hint="eastAsia"/>
      </w:rPr>
    </w:lvl>
  </w:abstractNum>
  <w:abstractNum w:abstractNumId="4">
    <w:nsid w:val="706E0B61"/>
    <w:multiLevelType w:val="multilevel"/>
    <w:tmpl w:val="706E0B61"/>
    <w:lvl w:ilvl="0" w:tentative="0">
      <w:start w:val="1"/>
      <w:numFmt w:val="decimal"/>
      <w:lvlText w:val="%1、"/>
      <w:lvlJc w:val="left"/>
      <w:pPr>
        <w:ind w:left="852" w:hanging="37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6E38"/>
    <w:rsid w:val="000005DC"/>
    <w:rsid w:val="00000A2D"/>
    <w:rsid w:val="00001A81"/>
    <w:rsid w:val="00001B58"/>
    <w:rsid w:val="00002BD3"/>
    <w:rsid w:val="00002DC7"/>
    <w:rsid w:val="00003C3B"/>
    <w:rsid w:val="00004B79"/>
    <w:rsid w:val="00004B90"/>
    <w:rsid w:val="00005331"/>
    <w:rsid w:val="00005AD3"/>
    <w:rsid w:val="00005BF5"/>
    <w:rsid w:val="00005C4A"/>
    <w:rsid w:val="00005DFB"/>
    <w:rsid w:val="00005F22"/>
    <w:rsid w:val="000065E4"/>
    <w:rsid w:val="000074A1"/>
    <w:rsid w:val="00007A62"/>
    <w:rsid w:val="0001026A"/>
    <w:rsid w:val="00010450"/>
    <w:rsid w:val="0001072D"/>
    <w:rsid w:val="0001135F"/>
    <w:rsid w:val="00011A9A"/>
    <w:rsid w:val="00012E5D"/>
    <w:rsid w:val="00012FC4"/>
    <w:rsid w:val="000132E3"/>
    <w:rsid w:val="00014B21"/>
    <w:rsid w:val="00015F60"/>
    <w:rsid w:val="000169E8"/>
    <w:rsid w:val="00016B9B"/>
    <w:rsid w:val="0001771F"/>
    <w:rsid w:val="00017FF5"/>
    <w:rsid w:val="00020790"/>
    <w:rsid w:val="00020A5B"/>
    <w:rsid w:val="00020D55"/>
    <w:rsid w:val="00020DA2"/>
    <w:rsid w:val="00020FEC"/>
    <w:rsid w:val="000220C4"/>
    <w:rsid w:val="0002379E"/>
    <w:rsid w:val="00023B23"/>
    <w:rsid w:val="00023CD3"/>
    <w:rsid w:val="00024326"/>
    <w:rsid w:val="000248C9"/>
    <w:rsid w:val="00024CEB"/>
    <w:rsid w:val="000250E1"/>
    <w:rsid w:val="00025779"/>
    <w:rsid w:val="00025D80"/>
    <w:rsid w:val="00026F0B"/>
    <w:rsid w:val="0002749C"/>
    <w:rsid w:val="0003060D"/>
    <w:rsid w:val="000306B9"/>
    <w:rsid w:val="000306CE"/>
    <w:rsid w:val="00030914"/>
    <w:rsid w:val="00030C7F"/>
    <w:rsid w:val="00032C52"/>
    <w:rsid w:val="00032E29"/>
    <w:rsid w:val="000339E7"/>
    <w:rsid w:val="00033B2F"/>
    <w:rsid w:val="00034181"/>
    <w:rsid w:val="0003430D"/>
    <w:rsid w:val="00034A94"/>
    <w:rsid w:val="000352B9"/>
    <w:rsid w:val="00035E29"/>
    <w:rsid w:val="00036A99"/>
    <w:rsid w:val="00036FC1"/>
    <w:rsid w:val="00037D67"/>
    <w:rsid w:val="00037EBA"/>
    <w:rsid w:val="000405F8"/>
    <w:rsid w:val="00040A0B"/>
    <w:rsid w:val="00040B89"/>
    <w:rsid w:val="00040CA6"/>
    <w:rsid w:val="00040E1C"/>
    <w:rsid w:val="00042221"/>
    <w:rsid w:val="00043578"/>
    <w:rsid w:val="000438E7"/>
    <w:rsid w:val="00045AC5"/>
    <w:rsid w:val="00047192"/>
    <w:rsid w:val="000471E5"/>
    <w:rsid w:val="0004761B"/>
    <w:rsid w:val="000477CC"/>
    <w:rsid w:val="0005109D"/>
    <w:rsid w:val="0005139A"/>
    <w:rsid w:val="00051E78"/>
    <w:rsid w:val="00053156"/>
    <w:rsid w:val="00053C7A"/>
    <w:rsid w:val="00053CEB"/>
    <w:rsid w:val="0005477A"/>
    <w:rsid w:val="00054D71"/>
    <w:rsid w:val="00055C50"/>
    <w:rsid w:val="00055F44"/>
    <w:rsid w:val="000561DC"/>
    <w:rsid w:val="000566EC"/>
    <w:rsid w:val="000568D3"/>
    <w:rsid w:val="000568F3"/>
    <w:rsid w:val="000603D2"/>
    <w:rsid w:val="0006047B"/>
    <w:rsid w:val="00060CB2"/>
    <w:rsid w:val="00060D74"/>
    <w:rsid w:val="00061299"/>
    <w:rsid w:val="000616AE"/>
    <w:rsid w:val="00061B1D"/>
    <w:rsid w:val="00061C88"/>
    <w:rsid w:val="00061E5B"/>
    <w:rsid w:val="00062203"/>
    <w:rsid w:val="00065273"/>
    <w:rsid w:val="0006745D"/>
    <w:rsid w:val="00067DCC"/>
    <w:rsid w:val="00070317"/>
    <w:rsid w:val="000708A8"/>
    <w:rsid w:val="000717BD"/>
    <w:rsid w:val="00071880"/>
    <w:rsid w:val="00073636"/>
    <w:rsid w:val="000740E9"/>
    <w:rsid w:val="00074396"/>
    <w:rsid w:val="00075695"/>
    <w:rsid w:val="00076382"/>
    <w:rsid w:val="00077330"/>
    <w:rsid w:val="00077B87"/>
    <w:rsid w:val="00080533"/>
    <w:rsid w:val="00080590"/>
    <w:rsid w:val="000807F1"/>
    <w:rsid w:val="00080B33"/>
    <w:rsid w:val="00080DA9"/>
    <w:rsid w:val="00081111"/>
    <w:rsid w:val="00082D8C"/>
    <w:rsid w:val="0008302D"/>
    <w:rsid w:val="00083BF7"/>
    <w:rsid w:val="00083E60"/>
    <w:rsid w:val="000842AE"/>
    <w:rsid w:val="00084739"/>
    <w:rsid w:val="0008478D"/>
    <w:rsid w:val="00084914"/>
    <w:rsid w:val="00084973"/>
    <w:rsid w:val="00084C42"/>
    <w:rsid w:val="000851DB"/>
    <w:rsid w:val="000857FE"/>
    <w:rsid w:val="0008636B"/>
    <w:rsid w:val="0008668C"/>
    <w:rsid w:val="00086CE3"/>
    <w:rsid w:val="000907AE"/>
    <w:rsid w:val="00091A3E"/>
    <w:rsid w:val="0009201C"/>
    <w:rsid w:val="000920C2"/>
    <w:rsid w:val="00092388"/>
    <w:rsid w:val="00093206"/>
    <w:rsid w:val="00093A2C"/>
    <w:rsid w:val="00093E2A"/>
    <w:rsid w:val="00094581"/>
    <w:rsid w:val="00094737"/>
    <w:rsid w:val="00094E01"/>
    <w:rsid w:val="000951CF"/>
    <w:rsid w:val="00095239"/>
    <w:rsid w:val="000952C0"/>
    <w:rsid w:val="00095757"/>
    <w:rsid w:val="00095951"/>
    <w:rsid w:val="00095D88"/>
    <w:rsid w:val="000A07F8"/>
    <w:rsid w:val="000A1188"/>
    <w:rsid w:val="000A16E4"/>
    <w:rsid w:val="000A18E5"/>
    <w:rsid w:val="000A19F2"/>
    <w:rsid w:val="000A1E96"/>
    <w:rsid w:val="000A2B40"/>
    <w:rsid w:val="000A32E7"/>
    <w:rsid w:val="000A3DA4"/>
    <w:rsid w:val="000A50A4"/>
    <w:rsid w:val="000A701B"/>
    <w:rsid w:val="000A7131"/>
    <w:rsid w:val="000A75A4"/>
    <w:rsid w:val="000A799D"/>
    <w:rsid w:val="000B0D9E"/>
    <w:rsid w:val="000B2244"/>
    <w:rsid w:val="000B2527"/>
    <w:rsid w:val="000B2DDA"/>
    <w:rsid w:val="000B4404"/>
    <w:rsid w:val="000B5D3A"/>
    <w:rsid w:val="000B6206"/>
    <w:rsid w:val="000B7A83"/>
    <w:rsid w:val="000C10C3"/>
    <w:rsid w:val="000C1696"/>
    <w:rsid w:val="000C1ACE"/>
    <w:rsid w:val="000C24A7"/>
    <w:rsid w:val="000C47E3"/>
    <w:rsid w:val="000C5C97"/>
    <w:rsid w:val="000C5CEB"/>
    <w:rsid w:val="000C5EA8"/>
    <w:rsid w:val="000C6798"/>
    <w:rsid w:val="000C70CA"/>
    <w:rsid w:val="000D0D1A"/>
    <w:rsid w:val="000D0D40"/>
    <w:rsid w:val="000D1069"/>
    <w:rsid w:val="000D2B81"/>
    <w:rsid w:val="000D31AB"/>
    <w:rsid w:val="000D35C3"/>
    <w:rsid w:val="000D4027"/>
    <w:rsid w:val="000D45A9"/>
    <w:rsid w:val="000D4929"/>
    <w:rsid w:val="000D61B0"/>
    <w:rsid w:val="000D691F"/>
    <w:rsid w:val="000D6F33"/>
    <w:rsid w:val="000D7C5C"/>
    <w:rsid w:val="000E08E4"/>
    <w:rsid w:val="000E0A61"/>
    <w:rsid w:val="000E11FB"/>
    <w:rsid w:val="000E1C72"/>
    <w:rsid w:val="000E213A"/>
    <w:rsid w:val="000E21D0"/>
    <w:rsid w:val="000E4023"/>
    <w:rsid w:val="000E460D"/>
    <w:rsid w:val="000E48CD"/>
    <w:rsid w:val="000E4D1E"/>
    <w:rsid w:val="000E5787"/>
    <w:rsid w:val="000E5E5D"/>
    <w:rsid w:val="000E62D7"/>
    <w:rsid w:val="000E6E22"/>
    <w:rsid w:val="000E7827"/>
    <w:rsid w:val="000E799D"/>
    <w:rsid w:val="000F0054"/>
    <w:rsid w:val="000F0AA3"/>
    <w:rsid w:val="000F123C"/>
    <w:rsid w:val="000F1879"/>
    <w:rsid w:val="000F1900"/>
    <w:rsid w:val="000F1AE8"/>
    <w:rsid w:val="000F1D45"/>
    <w:rsid w:val="000F2AE5"/>
    <w:rsid w:val="000F31F1"/>
    <w:rsid w:val="000F57C1"/>
    <w:rsid w:val="000F6CCE"/>
    <w:rsid w:val="000F70D2"/>
    <w:rsid w:val="000F73A5"/>
    <w:rsid w:val="00100081"/>
    <w:rsid w:val="0010054E"/>
    <w:rsid w:val="001007A9"/>
    <w:rsid w:val="00100A56"/>
    <w:rsid w:val="00101837"/>
    <w:rsid w:val="00102F2A"/>
    <w:rsid w:val="00102FB9"/>
    <w:rsid w:val="00103097"/>
    <w:rsid w:val="00103971"/>
    <w:rsid w:val="00103E6F"/>
    <w:rsid w:val="00104575"/>
    <w:rsid w:val="00104C81"/>
    <w:rsid w:val="001055E0"/>
    <w:rsid w:val="0010710E"/>
    <w:rsid w:val="001073C5"/>
    <w:rsid w:val="00113C46"/>
    <w:rsid w:val="001143D6"/>
    <w:rsid w:val="00114E6A"/>
    <w:rsid w:val="0011554D"/>
    <w:rsid w:val="0011584A"/>
    <w:rsid w:val="00116FB2"/>
    <w:rsid w:val="0011791D"/>
    <w:rsid w:val="00120D61"/>
    <w:rsid w:val="00120FBE"/>
    <w:rsid w:val="001212EB"/>
    <w:rsid w:val="00122010"/>
    <w:rsid w:val="00122036"/>
    <w:rsid w:val="00122E33"/>
    <w:rsid w:val="001238C9"/>
    <w:rsid w:val="00124EB7"/>
    <w:rsid w:val="00124F80"/>
    <w:rsid w:val="001251C9"/>
    <w:rsid w:val="00125980"/>
    <w:rsid w:val="001261A3"/>
    <w:rsid w:val="00126785"/>
    <w:rsid w:val="00127172"/>
    <w:rsid w:val="00127CD3"/>
    <w:rsid w:val="00130CB9"/>
    <w:rsid w:val="001311E7"/>
    <w:rsid w:val="00132FB0"/>
    <w:rsid w:val="00133794"/>
    <w:rsid w:val="00133B12"/>
    <w:rsid w:val="00133BC5"/>
    <w:rsid w:val="00133EA2"/>
    <w:rsid w:val="00134268"/>
    <w:rsid w:val="00134D23"/>
    <w:rsid w:val="00135887"/>
    <w:rsid w:val="00135D48"/>
    <w:rsid w:val="00135DD0"/>
    <w:rsid w:val="00136C44"/>
    <w:rsid w:val="00137684"/>
    <w:rsid w:val="00137F15"/>
    <w:rsid w:val="00140ED3"/>
    <w:rsid w:val="00141058"/>
    <w:rsid w:val="00141318"/>
    <w:rsid w:val="00141542"/>
    <w:rsid w:val="00141E6B"/>
    <w:rsid w:val="00141FBA"/>
    <w:rsid w:val="0014202E"/>
    <w:rsid w:val="0014361B"/>
    <w:rsid w:val="0014375E"/>
    <w:rsid w:val="001444F1"/>
    <w:rsid w:val="00145EDA"/>
    <w:rsid w:val="00150AFF"/>
    <w:rsid w:val="00151075"/>
    <w:rsid w:val="001512B1"/>
    <w:rsid w:val="001512D6"/>
    <w:rsid w:val="00151A5C"/>
    <w:rsid w:val="00151D5E"/>
    <w:rsid w:val="001528F0"/>
    <w:rsid w:val="00152969"/>
    <w:rsid w:val="0015473C"/>
    <w:rsid w:val="00154EE4"/>
    <w:rsid w:val="001554D8"/>
    <w:rsid w:val="00156102"/>
    <w:rsid w:val="001563B2"/>
    <w:rsid w:val="001566C2"/>
    <w:rsid w:val="00157187"/>
    <w:rsid w:val="00157688"/>
    <w:rsid w:val="00157A94"/>
    <w:rsid w:val="00157BFC"/>
    <w:rsid w:val="00157CA4"/>
    <w:rsid w:val="00157CE8"/>
    <w:rsid w:val="001609CF"/>
    <w:rsid w:val="00160CD5"/>
    <w:rsid w:val="001616C9"/>
    <w:rsid w:val="0016357D"/>
    <w:rsid w:val="0016415E"/>
    <w:rsid w:val="00164ABB"/>
    <w:rsid w:val="00165000"/>
    <w:rsid w:val="00165194"/>
    <w:rsid w:val="001654A2"/>
    <w:rsid w:val="001655E0"/>
    <w:rsid w:val="00165D6B"/>
    <w:rsid w:val="00170D23"/>
    <w:rsid w:val="00170E89"/>
    <w:rsid w:val="00172750"/>
    <w:rsid w:val="001728B7"/>
    <w:rsid w:val="00172A30"/>
    <w:rsid w:val="001732A9"/>
    <w:rsid w:val="00176A52"/>
    <w:rsid w:val="001770CF"/>
    <w:rsid w:val="001804E8"/>
    <w:rsid w:val="00180A48"/>
    <w:rsid w:val="00180B2E"/>
    <w:rsid w:val="00183CF5"/>
    <w:rsid w:val="00185158"/>
    <w:rsid w:val="00185688"/>
    <w:rsid w:val="00185B8A"/>
    <w:rsid w:val="00185E1D"/>
    <w:rsid w:val="00187184"/>
    <w:rsid w:val="0019044D"/>
    <w:rsid w:val="00190882"/>
    <w:rsid w:val="00191079"/>
    <w:rsid w:val="00192434"/>
    <w:rsid w:val="00192495"/>
    <w:rsid w:val="001934D1"/>
    <w:rsid w:val="001936D8"/>
    <w:rsid w:val="00193BC4"/>
    <w:rsid w:val="00194037"/>
    <w:rsid w:val="0019442A"/>
    <w:rsid w:val="0019459A"/>
    <w:rsid w:val="001946F1"/>
    <w:rsid w:val="0019478B"/>
    <w:rsid w:val="00195579"/>
    <w:rsid w:val="0019564B"/>
    <w:rsid w:val="00195DBB"/>
    <w:rsid w:val="00196292"/>
    <w:rsid w:val="001964E2"/>
    <w:rsid w:val="00196916"/>
    <w:rsid w:val="00197D9C"/>
    <w:rsid w:val="00197FC9"/>
    <w:rsid w:val="001A0BA9"/>
    <w:rsid w:val="001A18F0"/>
    <w:rsid w:val="001A19ED"/>
    <w:rsid w:val="001A27E1"/>
    <w:rsid w:val="001A3E54"/>
    <w:rsid w:val="001A48D4"/>
    <w:rsid w:val="001A4B7E"/>
    <w:rsid w:val="001A4FC5"/>
    <w:rsid w:val="001A5305"/>
    <w:rsid w:val="001A56C6"/>
    <w:rsid w:val="001A5996"/>
    <w:rsid w:val="001A7D9E"/>
    <w:rsid w:val="001B024C"/>
    <w:rsid w:val="001B0D97"/>
    <w:rsid w:val="001B0DC8"/>
    <w:rsid w:val="001B1383"/>
    <w:rsid w:val="001B14D5"/>
    <w:rsid w:val="001B19F3"/>
    <w:rsid w:val="001B276C"/>
    <w:rsid w:val="001B2C22"/>
    <w:rsid w:val="001B317D"/>
    <w:rsid w:val="001B4977"/>
    <w:rsid w:val="001B4B17"/>
    <w:rsid w:val="001B5008"/>
    <w:rsid w:val="001B5355"/>
    <w:rsid w:val="001B5882"/>
    <w:rsid w:val="001B709B"/>
    <w:rsid w:val="001B72FC"/>
    <w:rsid w:val="001C0207"/>
    <w:rsid w:val="001C136D"/>
    <w:rsid w:val="001C160A"/>
    <w:rsid w:val="001C3212"/>
    <w:rsid w:val="001C34AF"/>
    <w:rsid w:val="001C36E4"/>
    <w:rsid w:val="001C3A72"/>
    <w:rsid w:val="001C452C"/>
    <w:rsid w:val="001C51C4"/>
    <w:rsid w:val="001C52A9"/>
    <w:rsid w:val="001C7615"/>
    <w:rsid w:val="001C7748"/>
    <w:rsid w:val="001D0761"/>
    <w:rsid w:val="001D0ACE"/>
    <w:rsid w:val="001D2615"/>
    <w:rsid w:val="001D27A1"/>
    <w:rsid w:val="001D336C"/>
    <w:rsid w:val="001D5551"/>
    <w:rsid w:val="001D660C"/>
    <w:rsid w:val="001D6BB8"/>
    <w:rsid w:val="001D73E0"/>
    <w:rsid w:val="001D763F"/>
    <w:rsid w:val="001E11A9"/>
    <w:rsid w:val="001E15A9"/>
    <w:rsid w:val="001E19A6"/>
    <w:rsid w:val="001E1EA7"/>
    <w:rsid w:val="001E232D"/>
    <w:rsid w:val="001E35AD"/>
    <w:rsid w:val="001E45BC"/>
    <w:rsid w:val="001E4981"/>
    <w:rsid w:val="001E5661"/>
    <w:rsid w:val="001E60B8"/>
    <w:rsid w:val="001E6EAB"/>
    <w:rsid w:val="001E73A0"/>
    <w:rsid w:val="001E76AE"/>
    <w:rsid w:val="001E792D"/>
    <w:rsid w:val="001E7933"/>
    <w:rsid w:val="001E7FA7"/>
    <w:rsid w:val="001F062B"/>
    <w:rsid w:val="001F17B8"/>
    <w:rsid w:val="001F1878"/>
    <w:rsid w:val="001F1C44"/>
    <w:rsid w:val="001F1F30"/>
    <w:rsid w:val="001F3A26"/>
    <w:rsid w:val="001F3AD0"/>
    <w:rsid w:val="001F5BF1"/>
    <w:rsid w:val="001F78E3"/>
    <w:rsid w:val="00200032"/>
    <w:rsid w:val="002003CD"/>
    <w:rsid w:val="00201303"/>
    <w:rsid w:val="00201BB3"/>
    <w:rsid w:val="00201E55"/>
    <w:rsid w:val="00202563"/>
    <w:rsid w:val="00202851"/>
    <w:rsid w:val="00203B3F"/>
    <w:rsid w:val="002044E0"/>
    <w:rsid w:val="002049F1"/>
    <w:rsid w:val="00204A4C"/>
    <w:rsid w:val="002055AC"/>
    <w:rsid w:val="00205635"/>
    <w:rsid w:val="0020570E"/>
    <w:rsid w:val="002071F2"/>
    <w:rsid w:val="002079DE"/>
    <w:rsid w:val="00210461"/>
    <w:rsid w:val="00210EFC"/>
    <w:rsid w:val="00210F8A"/>
    <w:rsid w:val="002116A5"/>
    <w:rsid w:val="00211F2D"/>
    <w:rsid w:val="002121A6"/>
    <w:rsid w:val="00212B11"/>
    <w:rsid w:val="0021536C"/>
    <w:rsid w:val="0021611C"/>
    <w:rsid w:val="0021661F"/>
    <w:rsid w:val="002168E9"/>
    <w:rsid w:val="00216944"/>
    <w:rsid w:val="00216A2B"/>
    <w:rsid w:val="002176B6"/>
    <w:rsid w:val="002178FC"/>
    <w:rsid w:val="002204D9"/>
    <w:rsid w:val="00220DFA"/>
    <w:rsid w:val="00221638"/>
    <w:rsid w:val="002219A0"/>
    <w:rsid w:val="00222A27"/>
    <w:rsid w:val="00222E00"/>
    <w:rsid w:val="0022346B"/>
    <w:rsid w:val="0022459D"/>
    <w:rsid w:val="00224BEC"/>
    <w:rsid w:val="00225CEB"/>
    <w:rsid w:val="0022654B"/>
    <w:rsid w:val="00226B08"/>
    <w:rsid w:val="00227278"/>
    <w:rsid w:val="002275A3"/>
    <w:rsid w:val="00230A72"/>
    <w:rsid w:val="00232051"/>
    <w:rsid w:val="0023287B"/>
    <w:rsid w:val="00232880"/>
    <w:rsid w:val="002331EF"/>
    <w:rsid w:val="00233B1E"/>
    <w:rsid w:val="00234145"/>
    <w:rsid w:val="002347CD"/>
    <w:rsid w:val="00234A76"/>
    <w:rsid w:val="00234AF5"/>
    <w:rsid w:val="00235A80"/>
    <w:rsid w:val="00235AED"/>
    <w:rsid w:val="00236598"/>
    <w:rsid w:val="002368F1"/>
    <w:rsid w:val="00240988"/>
    <w:rsid w:val="00240ABA"/>
    <w:rsid w:val="00241CFA"/>
    <w:rsid w:val="002423C1"/>
    <w:rsid w:val="00242525"/>
    <w:rsid w:val="00242983"/>
    <w:rsid w:val="00243531"/>
    <w:rsid w:val="00244C8B"/>
    <w:rsid w:val="00244E05"/>
    <w:rsid w:val="00245419"/>
    <w:rsid w:val="00245AC7"/>
    <w:rsid w:val="002461A0"/>
    <w:rsid w:val="002468FF"/>
    <w:rsid w:val="0024719E"/>
    <w:rsid w:val="00247870"/>
    <w:rsid w:val="0025042B"/>
    <w:rsid w:val="00250DC0"/>
    <w:rsid w:val="002517FB"/>
    <w:rsid w:val="00251EB7"/>
    <w:rsid w:val="00252382"/>
    <w:rsid w:val="002530C0"/>
    <w:rsid w:val="00253426"/>
    <w:rsid w:val="00253C3C"/>
    <w:rsid w:val="00254E8E"/>
    <w:rsid w:val="0025637A"/>
    <w:rsid w:val="00263D07"/>
    <w:rsid w:val="002640D8"/>
    <w:rsid w:val="0026417D"/>
    <w:rsid w:val="002651C5"/>
    <w:rsid w:val="00267475"/>
    <w:rsid w:val="00270A89"/>
    <w:rsid w:val="00270DF9"/>
    <w:rsid w:val="00270F0E"/>
    <w:rsid w:val="00271063"/>
    <w:rsid w:val="00271331"/>
    <w:rsid w:val="00271408"/>
    <w:rsid w:val="0027171C"/>
    <w:rsid w:val="0027189F"/>
    <w:rsid w:val="002720DF"/>
    <w:rsid w:val="00273308"/>
    <w:rsid w:val="002734FB"/>
    <w:rsid w:val="00273819"/>
    <w:rsid w:val="00273A25"/>
    <w:rsid w:val="00273DC3"/>
    <w:rsid w:val="00273FF9"/>
    <w:rsid w:val="002743E1"/>
    <w:rsid w:val="0027534C"/>
    <w:rsid w:val="00275C69"/>
    <w:rsid w:val="00275DF8"/>
    <w:rsid w:val="00276354"/>
    <w:rsid w:val="00277712"/>
    <w:rsid w:val="00280283"/>
    <w:rsid w:val="00281200"/>
    <w:rsid w:val="00282588"/>
    <w:rsid w:val="0028299E"/>
    <w:rsid w:val="00282DCE"/>
    <w:rsid w:val="00282F51"/>
    <w:rsid w:val="002854B9"/>
    <w:rsid w:val="0028581D"/>
    <w:rsid w:val="0028642A"/>
    <w:rsid w:val="00287052"/>
    <w:rsid w:val="002876D1"/>
    <w:rsid w:val="00287877"/>
    <w:rsid w:val="00287B2D"/>
    <w:rsid w:val="00287E81"/>
    <w:rsid w:val="0029013A"/>
    <w:rsid w:val="002904C7"/>
    <w:rsid w:val="0029181C"/>
    <w:rsid w:val="0029258D"/>
    <w:rsid w:val="0029263E"/>
    <w:rsid w:val="00292BAB"/>
    <w:rsid w:val="00293824"/>
    <w:rsid w:val="00294229"/>
    <w:rsid w:val="0029448E"/>
    <w:rsid w:val="002951E1"/>
    <w:rsid w:val="002956E2"/>
    <w:rsid w:val="00295ACC"/>
    <w:rsid w:val="00295EC4"/>
    <w:rsid w:val="00295EFD"/>
    <w:rsid w:val="00296C8C"/>
    <w:rsid w:val="002970D7"/>
    <w:rsid w:val="00297631"/>
    <w:rsid w:val="00297B51"/>
    <w:rsid w:val="002A090C"/>
    <w:rsid w:val="002A1AAD"/>
    <w:rsid w:val="002A256B"/>
    <w:rsid w:val="002A2FB5"/>
    <w:rsid w:val="002A41BA"/>
    <w:rsid w:val="002A4299"/>
    <w:rsid w:val="002A4DA7"/>
    <w:rsid w:val="002A5101"/>
    <w:rsid w:val="002A6B85"/>
    <w:rsid w:val="002A6FC2"/>
    <w:rsid w:val="002A78D3"/>
    <w:rsid w:val="002A7D9A"/>
    <w:rsid w:val="002B0504"/>
    <w:rsid w:val="002B081F"/>
    <w:rsid w:val="002B11C5"/>
    <w:rsid w:val="002B23E3"/>
    <w:rsid w:val="002B4038"/>
    <w:rsid w:val="002B4C5F"/>
    <w:rsid w:val="002B4DA3"/>
    <w:rsid w:val="002B5F3F"/>
    <w:rsid w:val="002B610B"/>
    <w:rsid w:val="002B6BCC"/>
    <w:rsid w:val="002B6BE4"/>
    <w:rsid w:val="002B6C8E"/>
    <w:rsid w:val="002B6F1D"/>
    <w:rsid w:val="002B77B3"/>
    <w:rsid w:val="002B7A78"/>
    <w:rsid w:val="002C0CE7"/>
    <w:rsid w:val="002C1848"/>
    <w:rsid w:val="002C1DD4"/>
    <w:rsid w:val="002C1E1D"/>
    <w:rsid w:val="002C2CBB"/>
    <w:rsid w:val="002C3E6D"/>
    <w:rsid w:val="002C4E05"/>
    <w:rsid w:val="002C5480"/>
    <w:rsid w:val="002C553A"/>
    <w:rsid w:val="002C56E2"/>
    <w:rsid w:val="002C7197"/>
    <w:rsid w:val="002C7426"/>
    <w:rsid w:val="002C7816"/>
    <w:rsid w:val="002D01ED"/>
    <w:rsid w:val="002D0DC4"/>
    <w:rsid w:val="002D198E"/>
    <w:rsid w:val="002D1CDB"/>
    <w:rsid w:val="002D1F7B"/>
    <w:rsid w:val="002D215B"/>
    <w:rsid w:val="002D28DB"/>
    <w:rsid w:val="002D3892"/>
    <w:rsid w:val="002D72FA"/>
    <w:rsid w:val="002D7302"/>
    <w:rsid w:val="002D73B8"/>
    <w:rsid w:val="002D7460"/>
    <w:rsid w:val="002D75C4"/>
    <w:rsid w:val="002D78E2"/>
    <w:rsid w:val="002D7CCA"/>
    <w:rsid w:val="002E1B1F"/>
    <w:rsid w:val="002E1C66"/>
    <w:rsid w:val="002E4139"/>
    <w:rsid w:val="002E48F6"/>
    <w:rsid w:val="002E4A70"/>
    <w:rsid w:val="002E4EA0"/>
    <w:rsid w:val="002E5038"/>
    <w:rsid w:val="002E5CD4"/>
    <w:rsid w:val="002E62FF"/>
    <w:rsid w:val="002E6FF3"/>
    <w:rsid w:val="002E7618"/>
    <w:rsid w:val="002E7E67"/>
    <w:rsid w:val="002E7F8E"/>
    <w:rsid w:val="002F0DA0"/>
    <w:rsid w:val="002F1235"/>
    <w:rsid w:val="002F195D"/>
    <w:rsid w:val="002F266E"/>
    <w:rsid w:val="002F28E2"/>
    <w:rsid w:val="002F2B19"/>
    <w:rsid w:val="002F338D"/>
    <w:rsid w:val="002F33AA"/>
    <w:rsid w:val="002F34A1"/>
    <w:rsid w:val="002F415A"/>
    <w:rsid w:val="002F4283"/>
    <w:rsid w:val="002F60A0"/>
    <w:rsid w:val="002F6377"/>
    <w:rsid w:val="002F64E7"/>
    <w:rsid w:val="002F6A9F"/>
    <w:rsid w:val="003001FE"/>
    <w:rsid w:val="0030073B"/>
    <w:rsid w:val="0030129B"/>
    <w:rsid w:val="00301577"/>
    <w:rsid w:val="00301918"/>
    <w:rsid w:val="00302207"/>
    <w:rsid w:val="00303990"/>
    <w:rsid w:val="00304A6B"/>
    <w:rsid w:val="00305D34"/>
    <w:rsid w:val="003066E0"/>
    <w:rsid w:val="00306D98"/>
    <w:rsid w:val="00310421"/>
    <w:rsid w:val="0031047A"/>
    <w:rsid w:val="00310D71"/>
    <w:rsid w:val="00312333"/>
    <w:rsid w:val="003124C7"/>
    <w:rsid w:val="00313C22"/>
    <w:rsid w:val="00313C93"/>
    <w:rsid w:val="00313DC6"/>
    <w:rsid w:val="00313F98"/>
    <w:rsid w:val="00313F99"/>
    <w:rsid w:val="00314EFC"/>
    <w:rsid w:val="00314FB6"/>
    <w:rsid w:val="0031516F"/>
    <w:rsid w:val="003153CD"/>
    <w:rsid w:val="003153DD"/>
    <w:rsid w:val="00315467"/>
    <w:rsid w:val="00315856"/>
    <w:rsid w:val="0031668E"/>
    <w:rsid w:val="00316718"/>
    <w:rsid w:val="00316D2E"/>
    <w:rsid w:val="0031780D"/>
    <w:rsid w:val="00317C1B"/>
    <w:rsid w:val="00320413"/>
    <w:rsid w:val="00320AF7"/>
    <w:rsid w:val="0032190C"/>
    <w:rsid w:val="00321F43"/>
    <w:rsid w:val="00322A63"/>
    <w:rsid w:val="0032323E"/>
    <w:rsid w:val="00323915"/>
    <w:rsid w:val="00323D18"/>
    <w:rsid w:val="00325F03"/>
    <w:rsid w:val="0032635C"/>
    <w:rsid w:val="003268C5"/>
    <w:rsid w:val="00326E3B"/>
    <w:rsid w:val="00326EB9"/>
    <w:rsid w:val="00330551"/>
    <w:rsid w:val="003309A4"/>
    <w:rsid w:val="00330A8D"/>
    <w:rsid w:val="003313A8"/>
    <w:rsid w:val="003319CB"/>
    <w:rsid w:val="003321EE"/>
    <w:rsid w:val="00333AC2"/>
    <w:rsid w:val="00333FA2"/>
    <w:rsid w:val="003357E9"/>
    <w:rsid w:val="00335DA5"/>
    <w:rsid w:val="00336399"/>
    <w:rsid w:val="0033748F"/>
    <w:rsid w:val="003374C7"/>
    <w:rsid w:val="003378CB"/>
    <w:rsid w:val="00337955"/>
    <w:rsid w:val="00337BDC"/>
    <w:rsid w:val="003407DF"/>
    <w:rsid w:val="00340C29"/>
    <w:rsid w:val="00340CB2"/>
    <w:rsid w:val="00340F37"/>
    <w:rsid w:val="00340FEF"/>
    <w:rsid w:val="003415FD"/>
    <w:rsid w:val="00341A11"/>
    <w:rsid w:val="0034236D"/>
    <w:rsid w:val="003428E3"/>
    <w:rsid w:val="00342A2D"/>
    <w:rsid w:val="0034383B"/>
    <w:rsid w:val="00343B73"/>
    <w:rsid w:val="003441A3"/>
    <w:rsid w:val="0034429C"/>
    <w:rsid w:val="00344AE2"/>
    <w:rsid w:val="00344BB3"/>
    <w:rsid w:val="00344EFC"/>
    <w:rsid w:val="00345B3C"/>
    <w:rsid w:val="00345D71"/>
    <w:rsid w:val="00346034"/>
    <w:rsid w:val="00346910"/>
    <w:rsid w:val="00346AF4"/>
    <w:rsid w:val="00346F21"/>
    <w:rsid w:val="00347300"/>
    <w:rsid w:val="003505F6"/>
    <w:rsid w:val="003507A3"/>
    <w:rsid w:val="003518FD"/>
    <w:rsid w:val="0035242D"/>
    <w:rsid w:val="003526BA"/>
    <w:rsid w:val="00352B6B"/>
    <w:rsid w:val="00353A5F"/>
    <w:rsid w:val="00353DCC"/>
    <w:rsid w:val="00353F77"/>
    <w:rsid w:val="003542DA"/>
    <w:rsid w:val="00354465"/>
    <w:rsid w:val="00354C96"/>
    <w:rsid w:val="00354EBE"/>
    <w:rsid w:val="0035532D"/>
    <w:rsid w:val="003562C0"/>
    <w:rsid w:val="003569C2"/>
    <w:rsid w:val="00356A6A"/>
    <w:rsid w:val="00356E95"/>
    <w:rsid w:val="00360112"/>
    <w:rsid w:val="00360381"/>
    <w:rsid w:val="00360B25"/>
    <w:rsid w:val="00360CDD"/>
    <w:rsid w:val="00361575"/>
    <w:rsid w:val="003629B6"/>
    <w:rsid w:val="00362AA4"/>
    <w:rsid w:val="00362BAE"/>
    <w:rsid w:val="00362C37"/>
    <w:rsid w:val="00362F57"/>
    <w:rsid w:val="00363272"/>
    <w:rsid w:val="00363463"/>
    <w:rsid w:val="00363D02"/>
    <w:rsid w:val="00364065"/>
    <w:rsid w:val="003644EE"/>
    <w:rsid w:val="00364632"/>
    <w:rsid w:val="00364EC3"/>
    <w:rsid w:val="00364F7E"/>
    <w:rsid w:val="00365356"/>
    <w:rsid w:val="00365F52"/>
    <w:rsid w:val="00366D72"/>
    <w:rsid w:val="00366D96"/>
    <w:rsid w:val="00370AA8"/>
    <w:rsid w:val="003725E8"/>
    <w:rsid w:val="00372B5C"/>
    <w:rsid w:val="00372D12"/>
    <w:rsid w:val="00372F34"/>
    <w:rsid w:val="00373307"/>
    <w:rsid w:val="00375091"/>
    <w:rsid w:val="00375501"/>
    <w:rsid w:val="003756AF"/>
    <w:rsid w:val="003764D9"/>
    <w:rsid w:val="00376DAB"/>
    <w:rsid w:val="00377CD0"/>
    <w:rsid w:val="0038091B"/>
    <w:rsid w:val="0038252F"/>
    <w:rsid w:val="0038400C"/>
    <w:rsid w:val="003843C7"/>
    <w:rsid w:val="0038462B"/>
    <w:rsid w:val="003846DE"/>
    <w:rsid w:val="00384DBF"/>
    <w:rsid w:val="0038607C"/>
    <w:rsid w:val="00386387"/>
    <w:rsid w:val="003872DC"/>
    <w:rsid w:val="003876E0"/>
    <w:rsid w:val="00387777"/>
    <w:rsid w:val="00387E00"/>
    <w:rsid w:val="0039043A"/>
    <w:rsid w:val="003904BB"/>
    <w:rsid w:val="00390B45"/>
    <w:rsid w:val="00390D87"/>
    <w:rsid w:val="00391865"/>
    <w:rsid w:val="003918BD"/>
    <w:rsid w:val="0039351B"/>
    <w:rsid w:val="003935B1"/>
    <w:rsid w:val="003935D2"/>
    <w:rsid w:val="00393AAC"/>
    <w:rsid w:val="003940F9"/>
    <w:rsid w:val="00394E63"/>
    <w:rsid w:val="003950BF"/>
    <w:rsid w:val="00396030"/>
    <w:rsid w:val="0039635C"/>
    <w:rsid w:val="003963AA"/>
    <w:rsid w:val="00397FF1"/>
    <w:rsid w:val="003A0E0B"/>
    <w:rsid w:val="003A2565"/>
    <w:rsid w:val="003A25A1"/>
    <w:rsid w:val="003A2A3E"/>
    <w:rsid w:val="003A2F3E"/>
    <w:rsid w:val="003A3313"/>
    <w:rsid w:val="003A4096"/>
    <w:rsid w:val="003A42C0"/>
    <w:rsid w:val="003A4942"/>
    <w:rsid w:val="003A5344"/>
    <w:rsid w:val="003A5F15"/>
    <w:rsid w:val="003A60C3"/>
    <w:rsid w:val="003A6B95"/>
    <w:rsid w:val="003B02ED"/>
    <w:rsid w:val="003B041A"/>
    <w:rsid w:val="003B169A"/>
    <w:rsid w:val="003B20CD"/>
    <w:rsid w:val="003B218C"/>
    <w:rsid w:val="003B3167"/>
    <w:rsid w:val="003B3A43"/>
    <w:rsid w:val="003B46A7"/>
    <w:rsid w:val="003B508B"/>
    <w:rsid w:val="003B5A96"/>
    <w:rsid w:val="003B6162"/>
    <w:rsid w:val="003B67AD"/>
    <w:rsid w:val="003C17B2"/>
    <w:rsid w:val="003C1F85"/>
    <w:rsid w:val="003C2162"/>
    <w:rsid w:val="003C2FA9"/>
    <w:rsid w:val="003C300C"/>
    <w:rsid w:val="003C4AD6"/>
    <w:rsid w:val="003C6715"/>
    <w:rsid w:val="003C6742"/>
    <w:rsid w:val="003C6B46"/>
    <w:rsid w:val="003C7DF4"/>
    <w:rsid w:val="003D2783"/>
    <w:rsid w:val="003D2998"/>
    <w:rsid w:val="003D3389"/>
    <w:rsid w:val="003D3748"/>
    <w:rsid w:val="003D4FC9"/>
    <w:rsid w:val="003D5BDE"/>
    <w:rsid w:val="003D6BB7"/>
    <w:rsid w:val="003D7A7E"/>
    <w:rsid w:val="003D7D17"/>
    <w:rsid w:val="003E01A4"/>
    <w:rsid w:val="003E0309"/>
    <w:rsid w:val="003E0317"/>
    <w:rsid w:val="003E05C5"/>
    <w:rsid w:val="003E0F9F"/>
    <w:rsid w:val="003E10B7"/>
    <w:rsid w:val="003E1646"/>
    <w:rsid w:val="003E170B"/>
    <w:rsid w:val="003E1969"/>
    <w:rsid w:val="003E1EDD"/>
    <w:rsid w:val="003E20D0"/>
    <w:rsid w:val="003E2516"/>
    <w:rsid w:val="003E3550"/>
    <w:rsid w:val="003E3708"/>
    <w:rsid w:val="003E4A7A"/>
    <w:rsid w:val="003E4CC0"/>
    <w:rsid w:val="003E749B"/>
    <w:rsid w:val="003E779A"/>
    <w:rsid w:val="003F0CE8"/>
    <w:rsid w:val="003F12EC"/>
    <w:rsid w:val="003F1DDD"/>
    <w:rsid w:val="003F25B5"/>
    <w:rsid w:val="003F30D1"/>
    <w:rsid w:val="003F3C70"/>
    <w:rsid w:val="003F4826"/>
    <w:rsid w:val="003F4C25"/>
    <w:rsid w:val="003F4FD3"/>
    <w:rsid w:val="003F5D5B"/>
    <w:rsid w:val="003F5E99"/>
    <w:rsid w:val="003F60B8"/>
    <w:rsid w:val="003F6B8F"/>
    <w:rsid w:val="003F6C9B"/>
    <w:rsid w:val="003F7114"/>
    <w:rsid w:val="003F7D43"/>
    <w:rsid w:val="003F7E10"/>
    <w:rsid w:val="00400534"/>
    <w:rsid w:val="004010F4"/>
    <w:rsid w:val="004015E1"/>
    <w:rsid w:val="004018DD"/>
    <w:rsid w:val="00401F4C"/>
    <w:rsid w:val="00402595"/>
    <w:rsid w:val="00402934"/>
    <w:rsid w:val="00403461"/>
    <w:rsid w:val="00403A54"/>
    <w:rsid w:val="004040F0"/>
    <w:rsid w:val="00404114"/>
    <w:rsid w:val="00404B3D"/>
    <w:rsid w:val="00404F5F"/>
    <w:rsid w:val="0040578B"/>
    <w:rsid w:val="00405A92"/>
    <w:rsid w:val="00405E74"/>
    <w:rsid w:val="00410E7A"/>
    <w:rsid w:val="004115F7"/>
    <w:rsid w:val="00411D8F"/>
    <w:rsid w:val="00412095"/>
    <w:rsid w:val="00413655"/>
    <w:rsid w:val="004136FC"/>
    <w:rsid w:val="00413ABC"/>
    <w:rsid w:val="00413F7B"/>
    <w:rsid w:val="0041416D"/>
    <w:rsid w:val="00414558"/>
    <w:rsid w:val="0041487D"/>
    <w:rsid w:val="00415928"/>
    <w:rsid w:val="00416299"/>
    <w:rsid w:val="004166B2"/>
    <w:rsid w:val="0041753A"/>
    <w:rsid w:val="00417A69"/>
    <w:rsid w:val="00417C67"/>
    <w:rsid w:val="00422152"/>
    <w:rsid w:val="004226DF"/>
    <w:rsid w:val="00422F4D"/>
    <w:rsid w:val="00425A19"/>
    <w:rsid w:val="00426334"/>
    <w:rsid w:val="004263D9"/>
    <w:rsid w:val="004266AD"/>
    <w:rsid w:val="004267D9"/>
    <w:rsid w:val="004269F3"/>
    <w:rsid w:val="00426E1E"/>
    <w:rsid w:val="00426EFB"/>
    <w:rsid w:val="00426FBB"/>
    <w:rsid w:val="004272F9"/>
    <w:rsid w:val="004277F3"/>
    <w:rsid w:val="004309D8"/>
    <w:rsid w:val="0043125C"/>
    <w:rsid w:val="00431790"/>
    <w:rsid w:val="00431950"/>
    <w:rsid w:val="00431B73"/>
    <w:rsid w:val="00432756"/>
    <w:rsid w:val="00432CB1"/>
    <w:rsid w:val="00433599"/>
    <w:rsid w:val="00433899"/>
    <w:rsid w:val="00433C9E"/>
    <w:rsid w:val="00434CD5"/>
    <w:rsid w:val="004358C9"/>
    <w:rsid w:val="00436BC3"/>
    <w:rsid w:val="00436BC6"/>
    <w:rsid w:val="0043778A"/>
    <w:rsid w:val="00440252"/>
    <w:rsid w:val="00441EF9"/>
    <w:rsid w:val="00442145"/>
    <w:rsid w:val="00443F77"/>
    <w:rsid w:val="004440DB"/>
    <w:rsid w:val="0044433F"/>
    <w:rsid w:val="00445080"/>
    <w:rsid w:val="00445852"/>
    <w:rsid w:val="00445F66"/>
    <w:rsid w:val="004463A1"/>
    <w:rsid w:val="00446945"/>
    <w:rsid w:val="00446D26"/>
    <w:rsid w:val="004479A4"/>
    <w:rsid w:val="00447BD6"/>
    <w:rsid w:val="00447D9A"/>
    <w:rsid w:val="00450EEE"/>
    <w:rsid w:val="004515D5"/>
    <w:rsid w:val="00453A4A"/>
    <w:rsid w:val="004545D1"/>
    <w:rsid w:val="0045467D"/>
    <w:rsid w:val="0045497C"/>
    <w:rsid w:val="00454E66"/>
    <w:rsid w:val="004551D2"/>
    <w:rsid w:val="00455500"/>
    <w:rsid w:val="0045666E"/>
    <w:rsid w:val="00456C38"/>
    <w:rsid w:val="00456EFA"/>
    <w:rsid w:val="00460984"/>
    <w:rsid w:val="00460A6B"/>
    <w:rsid w:val="0046119C"/>
    <w:rsid w:val="00461219"/>
    <w:rsid w:val="00462732"/>
    <w:rsid w:val="0046528E"/>
    <w:rsid w:val="0046544A"/>
    <w:rsid w:val="004654A5"/>
    <w:rsid w:val="00466269"/>
    <w:rsid w:val="00466643"/>
    <w:rsid w:val="00466CC0"/>
    <w:rsid w:val="00467677"/>
    <w:rsid w:val="00467CC5"/>
    <w:rsid w:val="004706E0"/>
    <w:rsid w:val="004726ED"/>
    <w:rsid w:val="00472F81"/>
    <w:rsid w:val="004735D6"/>
    <w:rsid w:val="004748FC"/>
    <w:rsid w:val="004754F1"/>
    <w:rsid w:val="004769FB"/>
    <w:rsid w:val="00476CFF"/>
    <w:rsid w:val="0047768E"/>
    <w:rsid w:val="0048053B"/>
    <w:rsid w:val="0048053D"/>
    <w:rsid w:val="0048056B"/>
    <w:rsid w:val="004824FE"/>
    <w:rsid w:val="00482A1D"/>
    <w:rsid w:val="00483256"/>
    <w:rsid w:val="004834CD"/>
    <w:rsid w:val="00483618"/>
    <w:rsid w:val="00484DFA"/>
    <w:rsid w:val="00484FB7"/>
    <w:rsid w:val="00485A2B"/>
    <w:rsid w:val="00485A8D"/>
    <w:rsid w:val="00485F54"/>
    <w:rsid w:val="00486FAE"/>
    <w:rsid w:val="0049053D"/>
    <w:rsid w:val="00490568"/>
    <w:rsid w:val="00490ABF"/>
    <w:rsid w:val="00490BF7"/>
    <w:rsid w:val="00490CA2"/>
    <w:rsid w:val="004910EB"/>
    <w:rsid w:val="0049124E"/>
    <w:rsid w:val="004931FD"/>
    <w:rsid w:val="00493259"/>
    <w:rsid w:val="00493AD4"/>
    <w:rsid w:val="00493F43"/>
    <w:rsid w:val="00495456"/>
    <w:rsid w:val="00496A31"/>
    <w:rsid w:val="00497989"/>
    <w:rsid w:val="004A010A"/>
    <w:rsid w:val="004A05BC"/>
    <w:rsid w:val="004A0F7E"/>
    <w:rsid w:val="004A0FAD"/>
    <w:rsid w:val="004A1A9E"/>
    <w:rsid w:val="004A1C82"/>
    <w:rsid w:val="004A2C06"/>
    <w:rsid w:val="004A2F59"/>
    <w:rsid w:val="004A5161"/>
    <w:rsid w:val="004A54C2"/>
    <w:rsid w:val="004A6D6E"/>
    <w:rsid w:val="004B06F9"/>
    <w:rsid w:val="004B093F"/>
    <w:rsid w:val="004B0EE8"/>
    <w:rsid w:val="004B1661"/>
    <w:rsid w:val="004B1D25"/>
    <w:rsid w:val="004B36C6"/>
    <w:rsid w:val="004B44DA"/>
    <w:rsid w:val="004B4C63"/>
    <w:rsid w:val="004B533C"/>
    <w:rsid w:val="004B547A"/>
    <w:rsid w:val="004B5782"/>
    <w:rsid w:val="004B5BB6"/>
    <w:rsid w:val="004B5D6C"/>
    <w:rsid w:val="004B7290"/>
    <w:rsid w:val="004C0A17"/>
    <w:rsid w:val="004C1F2A"/>
    <w:rsid w:val="004C2413"/>
    <w:rsid w:val="004C26AB"/>
    <w:rsid w:val="004C29B9"/>
    <w:rsid w:val="004C3462"/>
    <w:rsid w:val="004C35B4"/>
    <w:rsid w:val="004C41E3"/>
    <w:rsid w:val="004C444D"/>
    <w:rsid w:val="004C447D"/>
    <w:rsid w:val="004C4A2D"/>
    <w:rsid w:val="004C55C9"/>
    <w:rsid w:val="004C583B"/>
    <w:rsid w:val="004C6307"/>
    <w:rsid w:val="004C6901"/>
    <w:rsid w:val="004C72CB"/>
    <w:rsid w:val="004D0299"/>
    <w:rsid w:val="004D02FF"/>
    <w:rsid w:val="004D0738"/>
    <w:rsid w:val="004D09FE"/>
    <w:rsid w:val="004D1008"/>
    <w:rsid w:val="004D2741"/>
    <w:rsid w:val="004D2BBE"/>
    <w:rsid w:val="004D30D8"/>
    <w:rsid w:val="004D3666"/>
    <w:rsid w:val="004D374D"/>
    <w:rsid w:val="004D39A5"/>
    <w:rsid w:val="004D44CF"/>
    <w:rsid w:val="004D468C"/>
    <w:rsid w:val="004D4746"/>
    <w:rsid w:val="004D4ABD"/>
    <w:rsid w:val="004D654D"/>
    <w:rsid w:val="004D6C66"/>
    <w:rsid w:val="004D6EEA"/>
    <w:rsid w:val="004D7760"/>
    <w:rsid w:val="004D7A33"/>
    <w:rsid w:val="004D7B0A"/>
    <w:rsid w:val="004E00C6"/>
    <w:rsid w:val="004E1443"/>
    <w:rsid w:val="004E2039"/>
    <w:rsid w:val="004E2907"/>
    <w:rsid w:val="004E2D85"/>
    <w:rsid w:val="004E3397"/>
    <w:rsid w:val="004E4294"/>
    <w:rsid w:val="004E4770"/>
    <w:rsid w:val="004E4B64"/>
    <w:rsid w:val="004E5B8E"/>
    <w:rsid w:val="004E613A"/>
    <w:rsid w:val="004E6A18"/>
    <w:rsid w:val="004E71B8"/>
    <w:rsid w:val="004E7699"/>
    <w:rsid w:val="004E77FA"/>
    <w:rsid w:val="004E7969"/>
    <w:rsid w:val="004E79B3"/>
    <w:rsid w:val="004E7A54"/>
    <w:rsid w:val="004E7BA1"/>
    <w:rsid w:val="004F194F"/>
    <w:rsid w:val="004F1AAE"/>
    <w:rsid w:val="004F281B"/>
    <w:rsid w:val="004F29FE"/>
    <w:rsid w:val="004F3528"/>
    <w:rsid w:val="004F3DFD"/>
    <w:rsid w:val="004F4876"/>
    <w:rsid w:val="004F5677"/>
    <w:rsid w:val="004F6299"/>
    <w:rsid w:val="005005C0"/>
    <w:rsid w:val="00500A5B"/>
    <w:rsid w:val="00500BC4"/>
    <w:rsid w:val="0050140B"/>
    <w:rsid w:val="005019D8"/>
    <w:rsid w:val="00502508"/>
    <w:rsid w:val="00502584"/>
    <w:rsid w:val="005029B5"/>
    <w:rsid w:val="0050314C"/>
    <w:rsid w:val="005034FF"/>
    <w:rsid w:val="005037E4"/>
    <w:rsid w:val="005037F3"/>
    <w:rsid w:val="00505CBC"/>
    <w:rsid w:val="00505CBE"/>
    <w:rsid w:val="005062A2"/>
    <w:rsid w:val="00506AD6"/>
    <w:rsid w:val="00506EED"/>
    <w:rsid w:val="005079B4"/>
    <w:rsid w:val="00507B7F"/>
    <w:rsid w:val="00511108"/>
    <w:rsid w:val="00511BCE"/>
    <w:rsid w:val="00511E62"/>
    <w:rsid w:val="00512972"/>
    <w:rsid w:val="00512CC5"/>
    <w:rsid w:val="005139AC"/>
    <w:rsid w:val="00513B3E"/>
    <w:rsid w:val="00514153"/>
    <w:rsid w:val="005148B3"/>
    <w:rsid w:val="00515120"/>
    <w:rsid w:val="005151D7"/>
    <w:rsid w:val="00515BC7"/>
    <w:rsid w:val="00516A2E"/>
    <w:rsid w:val="00516F1C"/>
    <w:rsid w:val="005201E6"/>
    <w:rsid w:val="00520278"/>
    <w:rsid w:val="0052063C"/>
    <w:rsid w:val="00520BBC"/>
    <w:rsid w:val="00521263"/>
    <w:rsid w:val="00521529"/>
    <w:rsid w:val="005218B5"/>
    <w:rsid w:val="00521ADF"/>
    <w:rsid w:val="00521BA7"/>
    <w:rsid w:val="00521D91"/>
    <w:rsid w:val="0052236F"/>
    <w:rsid w:val="00523007"/>
    <w:rsid w:val="00523027"/>
    <w:rsid w:val="00523A40"/>
    <w:rsid w:val="00524324"/>
    <w:rsid w:val="00526F82"/>
    <w:rsid w:val="0052734D"/>
    <w:rsid w:val="0052739B"/>
    <w:rsid w:val="00527DB4"/>
    <w:rsid w:val="00531139"/>
    <w:rsid w:val="00531353"/>
    <w:rsid w:val="005322A4"/>
    <w:rsid w:val="00533F6C"/>
    <w:rsid w:val="00534679"/>
    <w:rsid w:val="005348C1"/>
    <w:rsid w:val="00534B96"/>
    <w:rsid w:val="00534C5D"/>
    <w:rsid w:val="005363C5"/>
    <w:rsid w:val="00536FEF"/>
    <w:rsid w:val="005377CD"/>
    <w:rsid w:val="00537D52"/>
    <w:rsid w:val="00537DE5"/>
    <w:rsid w:val="00537E4F"/>
    <w:rsid w:val="005404BF"/>
    <w:rsid w:val="005415E6"/>
    <w:rsid w:val="00541624"/>
    <w:rsid w:val="005420DF"/>
    <w:rsid w:val="005423A9"/>
    <w:rsid w:val="0054318F"/>
    <w:rsid w:val="005442AF"/>
    <w:rsid w:val="005444D4"/>
    <w:rsid w:val="00544884"/>
    <w:rsid w:val="005459B6"/>
    <w:rsid w:val="00545AD3"/>
    <w:rsid w:val="00545EE5"/>
    <w:rsid w:val="005462A0"/>
    <w:rsid w:val="005463F0"/>
    <w:rsid w:val="005473F3"/>
    <w:rsid w:val="0054759E"/>
    <w:rsid w:val="00547705"/>
    <w:rsid w:val="00550288"/>
    <w:rsid w:val="005537A1"/>
    <w:rsid w:val="00554308"/>
    <w:rsid w:val="00554702"/>
    <w:rsid w:val="005558AB"/>
    <w:rsid w:val="0056088B"/>
    <w:rsid w:val="00560F5C"/>
    <w:rsid w:val="0056174B"/>
    <w:rsid w:val="00561C3E"/>
    <w:rsid w:val="00561F6C"/>
    <w:rsid w:val="005625A7"/>
    <w:rsid w:val="00562682"/>
    <w:rsid w:val="00563D6D"/>
    <w:rsid w:val="00563D71"/>
    <w:rsid w:val="00563E9A"/>
    <w:rsid w:val="00563EDA"/>
    <w:rsid w:val="00566DE7"/>
    <w:rsid w:val="00567827"/>
    <w:rsid w:val="0057026D"/>
    <w:rsid w:val="0057027A"/>
    <w:rsid w:val="005702A4"/>
    <w:rsid w:val="00570A46"/>
    <w:rsid w:val="00570CD3"/>
    <w:rsid w:val="0057131A"/>
    <w:rsid w:val="005720FD"/>
    <w:rsid w:val="0057227C"/>
    <w:rsid w:val="00572647"/>
    <w:rsid w:val="00572AC5"/>
    <w:rsid w:val="00572EE0"/>
    <w:rsid w:val="005743BB"/>
    <w:rsid w:val="00574907"/>
    <w:rsid w:val="00576152"/>
    <w:rsid w:val="0057669D"/>
    <w:rsid w:val="00577D85"/>
    <w:rsid w:val="0058103D"/>
    <w:rsid w:val="005811E7"/>
    <w:rsid w:val="00581947"/>
    <w:rsid w:val="00581A84"/>
    <w:rsid w:val="00582DE4"/>
    <w:rsid w:val="0058398E"/>
    <w:rsid w:val="00583B65"/>
    <w:rsid w:val="00583BBA"/>
    <w:rsid w:val="00584B47"/>
    <w:rsid w:val="00584ECD"/>
    <w:rsid w:val="0058511C"/>
    <w:rsid w:val="00585433"/>
    <w:rsid w:val="0058570C"/>
    <w:rsid w:val="00585852"/>
    <w:rsid w:val="00586877"/>
    <w:rsid w:val="00586B0A"/>
    <w:rsid w:val="005871D0"/>
    <w:rsid w:val="00590274"/>
    <w:rsid w:val="00590BAE"/>
    <w:rsid w:val="005911AB"/>
    <w:rsid w:val="00591580"/>
    <w:rsid w:val="00591FB1"/>
    <w:rsid w:val="005925E8"/>
    <w:rsid w:val="00592CCF"/>
    <w:rsid w:val="00593A27"/>
    <w:rsid w:val="00593C88"/>
    <w:rsid w:val="00593E35"/>
    <w:rsid w:val="005942C1"/>
    <w:rsid w:val="00595B2C"/>
    <w:rsid w:val="00596CDC"/>
    <w:rsid w:val="005971A6"/>
    <w:rsid w:val="0059727A"/>
    <w:rsid w:val="00597D9D"/>
    <w:rsid w:val="00597F83"/>
    <w:rsid w:val="005A0B69"/>
    <w:rsid w:val="005A17AB"/>
    <w:rsid w:val="005A1D72"/>
    <w:rsid w:val="005A3351"/>
    <w:rsid w:val="005A39A9"/>
    <w:rsid w:val="005A4936"/>
    <w:rsid w:val="005A493D"/>
    <w:rsid w:val="005A499C"/>
    <w:rsid w:val="005A5011"/>
    <w:rsid w:val="005A50FF"/>
    <w:rsid w:val="005A602A"/>
    <w:rsid w:val="005A65B3"/>
    <w:rsid w:val="005A6F0D"/>
    <w:rsid w:val="005A77E2"/>
    <w:rsid w:val="005A7C17"/>
    <w:rsid w:val="005B0578"/>
    <w:rsid w:val="005B0C9C"/>
    <w:rsid w:val="005B1210"/>
    <w:rsid w:val="005B1BE5"/>
    <w:rsid w:val="005B4793"/>
    <w:rsid w:val="005B54B3"/>
    <w:rsid w:val="005B6562"/>
    <w:rsid w:val="005B659E"/>
    <w:rsid w:val="005B66BD"/>
    <w:rsid w:val="005B6F07"/>
    <w:rsid w:val="005B7A6E"/>
    <w:rsid w:val="005B7C70"/>
    <w:rsid w:val="005B7E04"/>
    <w:rsid w:val="005C086E"/>
    <w:rsid w:val="005C122C"/>
    <w:rsid w:val="005C3F71"/>
    <w:rsid w:val="005C54D8"/>
    <w:rsid w:val="005C56F6"/>
    <w:rsid w:val="005C5738"/>
    <w:rsid w:val="005C726B"/>
    <w:rsid w:val="005C741D"/>
    <w:rsid w:val="005C7805"/>
    <w:rsid w:val="005D1943"/>
    <w:rsid w:val="005D2616"/>
    <w:rsid w:val="005D294E"/>
    <w:rsid w:val="005D381F"/>
    <w:rsid w:val="005D4007"/>
    <w:rsid w:val="005D42EE"/>
    <w:rsid w:val="005D695D"/>
    <w:rsid w:val="005D6C7D"/>
    <w:rsid w:val="005D6DFE"/>
    <w:rsid w:val="005D7F96"/>
    <w:rsid w:val="005E080D"/>
    <w:rsid w:val="005E1054"/>
    <w:rsid w:val="005E22E7"/>
    <w:rsid w:val="005E2302"/>
    <w:rsid w:val="005E3988"/>
    <w:rsid w:val="005E4122"/>
    <w:rsid w:val="005E4F85"/>
    <w:rsid w:val="005E4F92"/>
    <w:rsid w:val="005E5862"/>
    <w:rsid w:val="005E5D12"/>
    <w:rsid w:val="005E60CD"/>
    <w:rsid w:val="005F055A"/>
    <w:rsid w:val="005F0F96"/>
    <w:rsid w:val="005F1574"/>
    <w:rsid w:val="005F1743"/>
    <w:rsid w:val="005F1E4D"/>
    <w:rsid w:val="005F1F22"/>
    <w:rsid w:val="005F232F"/>
    <w:rsid w:val="005F2694"/>
    <w:rsid w:val="005F292E"/>
    <w:rsid w:val="005F36C6"/>
    <w:rsid w:val="005F44D9"/>
    <w:rsid w:val="005F4838"/>
    <w:rsid w:val="005F4868"/>
    <w:rsid w:val="005F4DB5"/>
    <w:rsid w:val="005F502D"/>
    <w:rsid w:val="005F520B"/>
    <w:rsid w:val="005F5B37"/>
    <w:rsid w:val="005F6129"/>
    <w:rsid w:val="005F7490"/>
    <w:rsid w:val="005F7577"/>
    <w:rsid w:val="006012AE"/>
    <w:rsid w:val="00601358"/>
    <w:rsid w:val="006016DD"/>
    <w:rsid w:val="006020E2"/>
    <w:rsid w:val="0060239F"/>
    <w:rsid w:val="0060251C"/>
    <w:rsid w:val="00602FDF"/>
    <w:rsid w:val="006035D2"/>
    <w:rsid w:val="00603EE7"/>
    <w:rsid w:val="00604249"/>
    <w:rsid w:val="0060547C"/>
    <w:rsid w:val="0060756F"/>
    <w:rsid w:val="00611263"/>
    <w:rsid w:val="00613A70"/>
    <w:rsid w:val="00613F3F"/>
    <w:rsid w:val="006140E4"/>
    <w:rsid w:val="00614A0F"/>
    <w:rsid w:val="00614C7E"/>
    <w:rsid w:val="00614D27"/>
    <w:rsid w:val="00614E09"/>
    <w:rsid w:val="00617560"/>
    <w:rsid w:val="00620616"/>
    <w:rsid w:val="0062124E"/>
    <w:rsid w:val="006212FF"/>
    <w:rsid w:val="00621EFC"/>
    <w:rsid w:val="00623227"/>
    <w:rsid w:val="006240BE"/>
    <w:rsid w:val="0062534D"/>
    <w:rsid w:val="006254F0"/>
    <w:rsid w:val="006255BD"/>
    <w:rsid w:val="0062586D"/>
    <w:rsid w:val="00627612"/>
    <w:rsid w:val="006277F0"/>
    <w:rsid w:val="006277FB"/>
    <w:rsid w:val="0063158C"/>
    <w:rsid w:val="006319B5"/>
    <w:rsid w:val="00632A70"/>
    <w:rsid w:val="00632D27"/>
    <w:rsid w:val="00632DD1"/>
    <w:rsid w:val="006334DB"/>
    <w:rsid w:val="00633BED"/>
    <w:rsid w:val="006341FB"/>
    <w:rsid w:val="006347E5"/>
    <w:rsid w:val="006348EB"/>
    <w:rsid w:val="006360F1"/>
    <w:rsid w:val="006368AE"/>
    <w:rsid w:val="00636B9A"/>
    <w:rsid w:val="00637571"/>
    <w:rsid w:val="0063776E"/>
    <w:rsid w:val="00637E63"/>
    <w:rsid w:val="00641435"/>
    <w:rsid w:val="006419CC"/>
    <w:rsid w:val="00641CEB"/>
    <w:rsid w:val="00641D3A"/>
    <w:rsid w:val="006422D9"/>
    <w:rsid w:val="00643067"/>
    <w:rsid w:val="006432C8"/>
    <w:rsid w:val="006434A9"/>
    <w:rsid w:val="00643914"/>
    <w:rsid w:val="00643FDA"/>
    <w:rsid w:val="00644184"/>
    <w:rsid w:val="00644280"/>
    <w:rsid w:val="00644723"/>
    <w:rsid w:val="00644B51"/>
    <w:rsid w:val="00644EA8"/>
    <w:rsid w:val="0064673A"/>
    <w:rsid w:val="006469CA"/>
    <w:rsid w:val="00646BA3"/>
    <w:rsid w:val="00647E82"/>
    <w:rsid w:val="006505B8"/>
    <w:rsid w:val="00650FFD"/>
    <w:rsid w:val="006522E4"/>
    <w:rsid w:val="006523C8"/>
    <w:rsid w:val="006550E0"/>
    <w:rsid w:val="006552A8"/>
    <w:rsid w:val="00655684"/>
    <w:rsid w:val="006559DD"/>
    <w:rsid w:val="00655FCE"/>
    <w:rsid w:val="00656B3B"/>
    <w:rsid w:val="00656BCD"/>
    <w:rsid w:val="00657597"/>
    <w:rsid w:val="0066005F"/>
    <w:rsid w:val="00660634"/>
    <w:rsid w:val="006626C7"/>
    <w:rsid w:val="006629BA"/>
    <w:rsid w:val="00662CBE"/>
    <w:rsid w:val="00664185"/>
    <w:rsid w:val="00666A16"/>
    <w:rsid w:val="00667840"/>
    <w:rsid w:val="006678D1"/>
    <w:rsid w:val="00667AC5"/>
    <w:rsid w:val="00667B6C"/>
    <w:rsid w:val="006703CB"/>
    <w:rsid w:val="006707DB"/>
    <w:rsid w:val="006725B3"/>
    <w:rsid w:val="00672E34"/>
    <w:rsid w:val="006734D7"/>
    <w:rsid w:val="0067507D"/>
    <w:rsid w:val="00675649"/>
    <w:rsid w:val="00675E5A"/>
    <w:rsid w:val="00675E6E"/>
    <w:rsid w:val="00676A2B"/>
    <w:rsid w:val="00680C1E"/>
    <w:rsid w:val="00680CCE"/>
    <w:rsid w:val="00681C58"/>
    <w:rsid w:val="00682770"/>
    <w:rsid w:val="00683075"/>
    <w:rsid w:val="00683703"/>
    <w:rsid w:val="00683A5F"/>
    <w:rsid w:val="00683AD8"/>
    <w:rsid w:val="00683D98"/>
    <w:rsid w:val="006843A8"/>
    <w:rsid w:val="00684B4D"/>
    <w:rsid w:val="00684B7C"/>
    <w:rsid w:val="00685141"/>
    <w:rsid w:val="00685512"/>
    <w:rsid w:val="00685976"/>
    <w:rsid w:val="00685D18"/>
    <w:rsid w:val="00685D47"/>
    <w:rsid w:val="00686A84"/>
    <w:rsid w:val="00686D84"/>
    <w:rsid w:val="0068716B"/>
    <w:rsid w:val="006928B6"/>
    <w:rsid w:val="006940AD"/>
    <w:rsid w:val="00694BB6"/>
    <w:rsid w:val="00694BC0"/>
    <w:rsid w:val="00694E88"/>
    <w:rsid w:val="006955D2"/>
    <w:rsid w:val="00695EF5"/>
    <w:rsid w:val="00696897"/>
    <w:rsid w:val="0069706A"/>
    <w:rsid w:val="006A0A76"/>
    <w:rsid w:val="006A1187"/>
    <w:rsid w:val="006A14BF"/>
    <w:rsid w:val="006A15BC"/>
    <w:rsid w:val="006A205D"/>
    <w:rsid w:val="006A23E3"/>
    <w:rsid w:val="006A24B2"/>
    <w:rsid w:val="006A25DF"/>
    <w:rsid w:val="006A3891"/>
    <w:rsid w:val="006A5969"/>
    <w:rsid w:val="006A6086"/>
    <w:rsid w:val="006A7A29"/>
    <w:rsid w:val="006B1110"/>
    <w:rsid w:val="006B152B"/>
    <w:rsid w:val="006B1DD7"/>
    <w:rsid w:val="006B2628"/>
    <w:rsid w:val="006B2FEF"/>
    <w:rsid w:val="006B32FA"/>
    <w:rsid w:val="006B390F"/>
    <w:rsid w:val="006B3F9F"/>
    <w:rsid w:val="006B41B8"/>
    <w:rsid w:val="006B5ECC"/>
    <w:rsid w:val="006B74BB"/>
    <w:rsid w:val="006C019B"/>
    <w:rsid w:val="006C02A5"/>
    <w:rsid w:val="006C037F"/>
    <w:rsid w:val="006C04E8"/>
    <w:rsid w:val="006C14D1"/>
    <w:rsid w:val="006C2535"/>
    <w:rsid w:val="006C383E"/>
    <w:rsid w:val="006C4E77"/>
    <w:rsid w:val="006C4F61"/>
    <w:rsid w:val="006C5194"/>
    <w:rsid w:val="006C5218"/>
    <w:rsid w:val="006C538F"/>
    <w:rsid w:val="006C584A"/>
    <w:rsid w:val="006C724B"/>
    <w:rsid w:val="006C7AB2"/>
    <w:rsid w:val="006D016E"/>
    <w:rsid w:val="006D03D2"/>
    <w:rsid w:val="006D08AE"/>
    <w:rsid w:val="006D174C"/>
    <w:rsid w:val="006D25BC"/>
    <w:rsid w:val="006D2893"/>
    <w:rsid w:val="006D2A50"/>
    <w:rsid w:val="006D2AB5"/>
    <w:rsid w:val="006D3107"/>
    <w:rsid w:val="006D39D8"/>
    <w:rsid w:val="006D47CC"/>
    <w:rsid w:val="006D6345"/>
    <w:rsid w:val="006D656D"/>
    <w:rsid w:val="006D6BC3"/>
    <w:rsid w:val="006D732C"/>
    <w:rsid w:val="006D76E0"/>
    <w:rsid w:val="006D7981"/>
    <w:rsid w:val="006D7F33"/>
    <w:rsid w:val="006E0321"/>
    <w:rsid w:val="006E0F3B"/>
    <w:rsid w:val="006E20A4"/>
    <w:rsid w:val="006E2350"/>
    <w:rsid w:val="006E2CE1"/>
    <w:rsid w:val="006E319B"/>
    <w:rsid w:val="006E31D2"/>
    <w:rsid w:val="006E4152"/>
    <w:rsid w:val="006E50B4"/>
    <w:rsid w:val="006E5304"/>
    <w:rsid w:val="006E57BD"/>
    <w:rsid w:val="006E5B28"/>
    <w:rsid w:val="006E5C2F"/>
    <w:rsid w:val="006E6764"/>
    <w:rsid w:val="006F0FD9"/>
    <w:rsid w:val="006F139F"/>
    <w:rsid w:val="006F17B9"/>
    <w:rsid w:val="006F1839"/>
    <w:rsid w:val="006F18BF"/>
    <w:rsid w:val="006F1903"/>
    <w:rsid w:val="006F2456"/>
    <w:rsid w:val="006F2D24"/>
    <w:rsid w:val="006F36E1"/>
    <w:rsid w:val="006F3CED"/>
    <w:rsid w:val="006F4BAC"/>
    <w:rsid w:val="006F6A0A"/>
    <w:rsid w:val="006F773F"/>
    <w:rsid w:val="006F7CB5"/>
    <w:rsid w:val="0070001D"/>
    <w:rsid w:val="007021C9"/>
    <w:rsid w:val="00702324"/>
    <w:rsid w:val="0070251E"/>
    <w:rsid w:val="00703267"/>
    <w:rsid w:val="00705118"/>
    <w:rsid w:val="0070585A"/>
    <w:rsid w:val="00705A12"/>
    <w:rsid w:val="00705A8D"/>
    <w:rsid w:val="00705D2E"/>
    <w:rsid w:val="00705FC3"/>
    <w:rsid w:val="0070614F"/>
    <w:rsid w:val="00706328"/>
    <w:rsid w:val="00706C56"/>
    <w:rsid w:val="007072DD"/>
    <w:rsid w:val="00707762"/>
    <w:rsid w:val="00707A7B"/>
    <w:rsid w:val="00711119"/>
    <w:rsid w:val="007113C5"/>
    <w:rsid w:val="00712BDA"/>
    <w:rsid w:val="0071309C"/>
    <w:rsid w:val="007139D9"/>
    <w:rsid w:val="0071500B"/>
    <w:rsid w:val="007159C5"/>
    <w:rsid w:val="00715DA8"/>
    <w:rsid w:val="007161F9"/>
    <w:rsid w:val="007165CE"/>
    <w:rsid w:val="007167F7"/>
    <w:rsid w:val="007169E0"/>
    <w:rsid w:val="00717743"/>
    <w:rsid w:val="00717C1F"/>
    <w:rsid w:val="00720753"/>
    <w:rsid w:val="00720762"/>
    <w:rsid w:val="007212C5"/>
    <w:rsid w:val="007230A9"/>
    <w:rsid w:val="00723E17"/>
    <w:rsid w:val="00724263"/>
    <w:rsid w:val="0072456F"/>
    <w:rsid w:val="007249D0"/>
    <w:rsid w:val="0072596C"/>
    <w:rsid w:val="00726463"/>
    <w:rsid w:val="00726DFC"/>
    <w:rsid w:val="00727290"/>
    <w:rsid w:val="0072738B"/>
    <w:rsid w:val="00727C8B"/>
    <w:rsid w:val="007306B2"/>
    <w:rsid w:val="00730D00"/>
    <w:rsid w:val="00734368"/>
    <w:rsid w:val="007343C5"/>
    <w:rsid w:val="007344C1"/>
    <w:rsid w:val="00734C75"/>
    <w:rsid w:val="00735AC6"/>
    <w:rsid w:val="00735EC1"/>
    <w:rsid w:val="0074118C"/>
    <w:rsid w:val="00741541"/>
    <w:rsid w:val="007416B7"/>
    <w:rsid w:val="00741A9C"/>
    <w:rsid w:val="00742C25"/>
    <w:rsid w:val="007439F4"/>
    <w:rsid w:val="00743DE5"/>
    <w:rsid w:val="0074426B"/>
    <w:rsid w:val="00745C04"/>
    <w:rsid w:val="00745E46"/>
    <w:rsid w:val="007460D8"/>
    <w:rsid w:val="0074662C"/>
    <w:rsid w:val="00746DD4"/>
    <w:rsid w:val="00746F4D"/>
    <w:rsid w:val="007475C5"/>
    <w:rsid w:val="007508FF"/>
    <w:rsid w:val="007525B2"/>
    <w:rsid w:val="00753551"/>
    <w:rsid w:val="00754367"/>
    <w:rsid w:val="00754B36"/>
    <w:rsid w:val="00754FDB"/>
    <w:rsid w:val="00755906"/>
    <w:rsid w:val="00755B3A"/>
    <w:rsid w:val="0075670A"/>
    <w:rsid w:val="007567B5"/>
    <w:rsid w:val="00757322"/>
    <w:rsid w:val="00757C56"/>
    <w:rsid w:val="00760824"/>
    <w:rsid w:val="00760869"/>
    <w:rsid w:val="00761134"/>
    <w:rsid w:val="00761316"/>
    <w:rsid w:val="00761484"/>
    <w:rsid w:val="00761CD2"/>
    <w:rsid w:val="00761FE0"/>
    <w:rsid w:val="00762864"/>
    <w:rsid w:val="00762E8F"/>
    <w:rsid w:val="00762FB8"/>
    <w:rsid w:val="00763634"/>
    <w:rsid w:val="00763C0C"/>
    <w:rsid w:val="00763EAB"/>
    <w:rsid w:val="007643D8"/>
    <w:rsid w:val="0076486B"/>
    <w:rsid w:val="00764A59"/>
    <w:rsid w:val="00765863"/>
    <w:rsid w:val="00766682"/>
    <w:rsid w:val="00766717"/>
    <w:rsid w:val="00766719"/>
    <w:rsid w:val="00766803"/>
    <w:rsid w:val="0076781C"/>
    <w:rsid w:val="00767F24"/>
    <w:rsid w:val="00767F5E"/>
    <w:rsid w:val="00770526"/>
    <w:rsid w:val="0077068C"/>
    <w:rsid w:val="00771373"/>
    <w:rsid w:val="00772D22"/>
    <w:rsid w:val="007737D6"/>
    <w:rsid w:val="00774033"/>
    <w:rsid w:val="007740EB"/>
    <w:rsid w:val="007747F5"/>
    <w:rsid w:val="00775741"/>
    <w:rsid w:val="00775D7E"/>
    <w:rsid w:val="00775F57"/>
    <w:rsid w:val="00776E76"/>
    <w:rsid w:val="0077711A"/>
    <w:rsid w:val="00777184"/>
    <w:rsid w:val="007776DC"/>
    <w:rsid w:val="007779E9"/>
    <w:rsid w:val="00777C04"/>
    <w:rsid w:val="00780F49"/>
    <w:rsid w:val="00781693"/>
    <w:rsid w:val="0078216C"/>
    <w:rsid w:val="007821D6"/>
    <w:rsid w:val="00782650"/>
    <w:rsid w:val="0078297D"/>
    <w:rsid w:val="00782F2A"/>
    <w:rsid w:val="0078333F"/>
    <w:rsid w:val="0078397C"/>
    <w:rsid w:val="00783D5B"/>
    <w:rsid w:val="00783F19"/>
    <w:rsid w:val="0078618B"/>
    <w:rsid w:val="00786705"/>
    <w:rsid w:val="007868C3"/>
    <w:rsid w:val="00787AF5"/>
    <w:rsid w:val="00787C08"/>
    <w:rsid w:val="0079016C"/>
    <w:rsid w:val="007904DB"/>
    <w:rsid w:val="007904FD"/>
    <w:rsid w:val="0079052E"/>
    <w:rsid w:val="007911E7"/>
    <w:rsid w:val="007928C9"/>
    <w:rsid w:val="00793279"/>
    <w:rsid w:val="007937AD"/>
    <w:rsid w:val="0079386A"/>
    <w:rsid w:val="00793A86"/>
    <w:rsid w:val="00793C14"/>
    <w:rsid w:val="007942B1"/>
    <w:rsid w:val="00794ADA"/>
    <w:rsid w:val="0079500B"/>
    <w:rsid w:val="007954B8"/>
    <w:rsid w:val="007954DD"/>
    <w:rsid w:val="00797DC1"/>
    <w:rsid w:val="007A0099"/>
    <w:rsid w:val="007A0BEE"/>
    <w:rsid w:val="007A1CE0"/>
    <w:rsid w:val="007A2F3D"/>
    <w:rsid w:val="007A3A8C"/>
    <w:rsid w:val="007A43EE"/>
    <w:rsid w:val="007A4E14"/>
    <w:rsid w:val="007A5393"/>
    <w:rsid w:val="007A6350"/>
    <w:rsid w:val="007A7257"/>
    <w:rsid w:val="007B08E5"/>
    <w:rsid w:val="007B10F1"/>
    <w:rsid w:val="007B22FD"/>
    <w:rsid w:val="007B2387"/>
    <w:rsid w:val="007B2533"/>
    <w:rsid w:val="007B2652"/>
    <w:rsid w:val="007B319F"/>
    <w:rsid w:val="007B4048"/>
    <w:rsid w:val="007B4441"/>
    <w:rsid w:val="007B5530"/>
    <w:rsid w:val="007B563B"/>
    <w:rsid w:val="007B5B94"/>
    <w:rsid w:val="007B70F2"/>
    <w:rsid w:val="007B7480"/>
    <w:rsid w:val="007C1A38"/>
    <w:rsid w:val="007C26E6"/>
    <w:rsid w:val="007C317E"/>
    <w:rsid w:val="007C31EB"/>
    <w:rsid w:val="007C376E"/>
    <w:rsid w:val="007C37CB"/>
    <w:rsid w:val="007C3954"/>
    <w:rsid w:val="007C4B90"/>
    <w:rsid w:val="007C4FF9"/>
    <w:rsid w:val="007C64D1"/>
    <w:rsid w:val="007C6AB8"/>
    <w:rsid w:val="007C6FDA"/>
    <w:rsid w:val="007C7639"/>
    <w:rsid w:val="007C7D70"/>
    <w:rsid w:val="007D0121"/>
    <w:rsid w:val="007D0731"/>
    <w:rsid w:val="007D089C"/>
    <w:rsid w:val="007D1244"/>
    <w:rsid w:val="007D1F15"/>
    <w:rsid w:val="007D290B"/>
    <w:rsid w:val="007D338D"/>
    <w:rsid w:val="007D4C33"/>
    <w:rsid w:val="007D57C1"/>
    <w:rsid w:val="007D6122"/>
    <w:rsid w:val="007D66B6"/>
    <w:rsid w:val="007D67F5"/>
    <w:rsid w:val="007D7294"/>
    <w:rsid w:val="007D745A"/>
    <w:rsid w:val="007D7D51"/>
    <w:rsid w:val="007E04F5"/>
    <w:rsid w:val="007E0BDA"/>
    <w:rsid w:val="007E22D6"/>
    <w:rsid w:val="007E3F0F"/>
    <w:rsid w:val="007E42A1"/>
    <w:rsid w:val="007E4725"/>
    <w:rsid w:val="007E5807"/>
    <w:rsid w:val="007E67FE"/>
    <w:rsid w:val="007E6854"/>
    <w:rsid w:val="007E72C3"/>
    <w:rsid w:val="007E7DD4"/>
    <w:rsid w:val="007F093E"/>
    <w:rsid w:val="007F1294"/>
    <w:rsid w:val="007F15D3"/>
    <w:rsid w:val="007F1AD5"/>
    <w:rsid w:val="007F1F70"/>
    <w:rsid w:val="007F274D"/>
    <w:rsid w:val="007F27DD"/>
    <w:rsid w:val="007F33BA"/>
    <w:rsid w:val="007F48BB"/>
    <w:rsid w:val="007F48DB"/>
    <w:rsid w:val="007F582B"/>
    <w:rsid w:val="007F6FE2"/>
    <w:rsid w:val="008017D6"/>
    <w:rsid w:val="008019C0"/>
    <w:rsid w:val="00801EAC"/>
    <w:rsid w:val="00802375"/>
    <w:rsid w:val="00802A9D"/>
    <w:rsid w:val="0080334F"/>
    <w:rsid w:val="00803B72"/>
    <w:rsid w:val="00803C26"/>
    <w:rsid w:val="00804040"/>
    <w:rsid w:val="00804BD0"/>
    <w:rsid w:val="00805A1D"/>
    <w:rsid w:val="00806231"/>
    <w:rsid w:val="008069E8"/>
    <w:rsid w:val="00811503"/>
    <w:rsid w:val="00811722"/>
    <w:rsid w:val="0081183E"/>
    <w:rsid w:val="008120A8"/>
    <w:rsid w:val="00813E8A"/>
    <w:rsid w:val="008141EA"/>
    <w:rsid w:val="008146D9"/>
    <w:rsid w:val="00814C46"/>
    <w:rsid w:val="008156E4"/>
    <w:rsid w:val="00815A6E"/>
    <w:rsid w:val="00815D34"/>
    <w:rsid w:val="00817464"/>
    <w:rsid w:val="00817AD8"/>
    <w:rsid w:val="00817D6E"/>
    <w:rsid w:val="00817DD8"/>
    <w:rsid w:val="00821002"/>
    <w:rsid w:val="008214A5"/>
    <w:rsid w:val="008214B3"/>
    <w:rsid w:val="0082154C"/>
    <w:rsid w:val="00821A2C"/>
    <w:rsid w:val="008223DF"/>
    <w:rsid w:val="00822573"/>
    <w:rsid w:val="00822B9D"/>
    <w:rsid w:val="00823630"/>
    <w:rsid w:val="00824B2B"/>
    <w:rsid w:val="00824DDC"/>
    <w:rsid w:val="00824F09"/>
    <w:rsid w:val="0082584B"/>
    <w:rsid w:val="00825C2B"/>
    <w:rsid w:val="00825FC8"/>
    <w:rsid w:val="0083030F"/>
    <w:rsid w:val="00830322"/>
    <w:rsid w:val="00830334"/>
    <w:rsid w:val="00830600"/>
    <w:rsid w:val="008308F2"/>
    <w:rsid w:val="008313B1"/>
    <w:rsid w:val="00831588"/>
    <w:rsid w:val="00831EED"/>
    <w:rsid w:val="008323F3"/>
    <w:rsid w:val="00832831"/>
    <w:rsid w:val="0083337D"/>
    <w:rsid w:val="00833F7F"/>
    <w:rsid w:val="0083410F"/>
    <w:rsid w:val="00834408"/>
    <w:rsid w:val="0083467B"/>
    <w:rsid w:val="0083532B"/>
    <w:rsid w:val="008355C1"/>
    <w:rsid w:val="008356DC"/>
    <w:rsid w:val="00836458"/>
    <w:rsid w:val="008369B0"/>
    <w:rsid w:val="008371A4"/>
    <w:rsid w:val="00837260"/>
    <w:rsid w:val="00837317"/>
    <w:rsid w:val="00837386"/>
    <w:rsid w:val="00841274"/>
    <w:rsid w:val="008423AC"/>
    <w:rsid w:val="00842998"/>
    <w:rsid w:val="00842E33"/>
    <w:rsid w:val="00843204"/>
    <w:rsid w:val="00844981"/>
    <w:rsid w:val="008461FF"/>
    <w:rsid w:val="008462A1"/>
    <w:rsid w:val="00847C81"/>
    <w:rsid w:val="008504E6"/>
    <w:rsid w:val="008505E5"/>
    <w:rsid w:val="00851966"/>
    <w:rsid w:val="00851D59"/>
    <w:rsid w:val="0085291F"/>
    <w:rsid w:val="00852DD4"/>
    <w:rsid w:val="008544D7"/>
    <w:rsid w:val="00854886"/>
    <w:rsid w:val="00854D47"/>
    <w:rsid w:val="008554C7"/>
    <w:rsid w:val="00855EA9"/>
    <w:rsid w:val="00856265"/>
    <w:rsid w:val="0085637E"/>
    <w:rsid w:val="00860E5C"/>
    <w:rsid w:val="008618CF"/>
    <w:rsid w:val="008626E1"/>
    <w:rsid w:val="00862AEC"/>
    <w:rsid w:val="00862E5D"/>
    <w:rsid w:val="008636B8"/>
    <w:rsid w:val="00864C27"/>
    <w:rsid w:val="00865419"/>
    <w:rsid w:val="008667A8"/>
    <w:rsid w:val="008668A7"/>
    <w:rsid w:val="008677B0"/>
    <w:rsid w:val="008678F6"/>
    <w:rsid w:val="00867F5A"/>
    <w:rsid w:val="008706D5"/>
    <w:rsid w:val="00871625"/>
    <w:rsid w:val="0087232C"/>
    <w:rsid w:val="00873108"/>
    <w:rsid w:val="008732E7"/>
    <w:rsid w:val="008733BB"/>
    <w:rsid w:val="0087401C"/>
    <w:rsid w:val="008753C6"/>
    <w:rsid w:val="00875622"/>
    <w:rsid w:val="008757F0"/>
    <w:rsid w:val="00875AE3"/>
    <w:rsid w:val="00876B21"/>
    <w:rsid w:val="00876EBC"/>
    <w:rsid w:val="008770DE"/>
    <w:rsid w:val="00877278"/>
    <w:rsid w:val="008777C5"/>
    <w:rsid w:val="0088037D"/>
    <w:rsid w:val="00880BF8"/>
    <w:rsid w:val="00880D4B"/>
    <w:rsid w:val="00880EAF"/>
    <w:rsid w:val="00880FD2"/>
    <w:rsid w:val="00880FDD"/>
    <w:rsid w:val="008811D8"/>
    <w:rsid w:val="00881B23"/>
    <w:rsid w:val="00881E70"/>
    <w:rsid w:val="008828C7"/>
    <w:rsid w:val="00882F13"/>
    <w:rsid w:val="00883F58"/>
    <w:rsid w:val="008849A4"/>
    <w:rsid w:val="008851C4"/>
    <w:rsid w:val="008856BA"/>
    <w:rsid w:val="00885A33"/>
    <w:rsid w:val="00886179"/>
    <w:rsid w:val="00886FD5"/>
    <w:rsid w:val="00887D0E"/>
    <w:rsid w:val="00890364"/>
    <w:rsid w:val="00891782"/>
    <w:rsid w:val="00891F60"/>
    <w:rsid w:val="00892A10"/>
    <w:rsid w:val="0089304D"/>
    <w:rsid w:val="0089585B"/>
    <w:rsid w:val="008959FD"/>
    <w:rsid w:val="00896493"/>
    <w:rsid w:val="008964A9"/>
    <w:rsid w:val="00896B5B"/>
    <w:rsid w:val="008A1522"/>
    <w:rsid w:val="008A1D35"/>
    <w:rsid w:val="008A1ECC"/>
    <w:rsid w:val="008A20EB"/>
    <w:rsid w:val="008A2D34"/>
    <w:rsid w:val="008A34C8"/>
    <w:rsid w:val="008A3877"/>
    <w:rsid w:val="008A61A9"/>
    <w:rsid w:val="008A6728"/>
    <w:rsid w:val="008A6CEF"/>
    <w:rsid w:val="008A76A8"/>
    <w:rsid w:val="008B0233"/>
    <w:rsid w:val="008B03AD"/>
    <w:rsid w:val="008B0527"/>
    <w:rsid w:val="008B0C03"/>
    <w:rsid w:val="008B13F1"/>
    <w:rsid w:val="008B2065"/>
    <w:rsid w:val="008B3E5C"/>
    <w:rsid w:val="008B4838"/>
    <w:rsid w:val="008B4F1C"/>
    <w:rsid w:val="008B68E9"/>
    <w:rsid w:val="008B6D62"/>
    <w:rsid w:val="008B787D"/>
    <w:rsid w:val="008C0EBF"/>
    <w:rsid w:val="008C1CA3"/>
    <w:rsid w:val="008C2D6C"/>
    <w:rsid w:val="008C360E"/>
    <w:rsid w:val="008C3A1F"/>
    <w:rsid w:val="008C50DC"/>
    <w:rsid w:val="008C5425"/>
    <w:rsid w:val="008C6099"/>
    <w:rsid w:val="008C6430"/>
    <w:rsid w:val="008C7B4E"/>
    <w:rsid w:val="008C7C08"/>
    <w:rsid w:val="008D138E"/>
    <w:rsid w:val="008D1659"/>
    <w:rsid w:val="008D1AEE"/>
    <w:rsid w:val="008D34A0"/>
    <w:rsid w:val="008D4926"/>
    <w:rsid w:val="008D5FB6"/>
    <w:rsid w:val="008D67E7"/>
    <w:rsid w:val="008D6808"/>
    <w:rsid w:val="008D6BEC"/>
    <w:rsid w:val="008D705A"/>
    <w:rsid w:val="008D71E4"/>
    <w:rsid w:val="008D76D2"/>
    <w:rsid w:val="008D7FD8"/>
    <w:rsid w:val="008E122F"/>
    <w:rsid w:val="008E23ED"/>
    <w:rsid w:val="008E4A53"/>
    <w:rsid w:val="008E4F4C"/>
    <w:rsid w:val="008E6028"/>
    <w:rsid w:val="008E7447"/>
    <w:rsid w:val="008F097E"/>
    <w:rsid w:val="008F1AB3"/>
    <w:rsid w:val="008F1CE3"/>
    <w:rsid w:val="008F2295"/>
    <w:rsid w:val="008F22F7"/>
    <w:rsid w:val="008F27C8"/>
    <w:rsid w:val="008F29FF"/>
    <w:rsid w:val="008F2A88"/>
    <w:rsid w:val="008F2F4F"/>
    <w:rsid w:val="008F3150"/>
    <w:rsid w:val="008F3644"/>
    <w:rsid w:val="008F3C10"/>
    <w:rsid w:val="008F3DA2"/>
    <w:rsid w:val="008F4B59"/>
    <w:rsid w:val="008F4B8C"/>
    <w:rsid w:val="008F5086"/>
    <w:rsid w:val="008F55AC"/>
    <w:rsid w:val="008F575E"/>
    <w:rsid w:val="008F5C2C"/>
    <w:rsid w:val="008F6090"/>
    <w:rsid w:val="008F616E"/>
    <w:rsid w:val="008F637B"/>
    <w:rsid w:val="008F63A3"/>
    <w:rsid w:val="008F6DB0"/>
    <w:rsid w:val="008F70AC"/>
    <w:rsid w:val="008F76AF"/>
    <w:rsid w:val="00901883"/>
    <w:rsid w:val="00902650"/>
    <w:rsid w:val="00903486"/>
    <w:rsid w:val="009036F1"/>
    <w:rsid w:val="00903CA3"/>
    <w:rsid w:val="00903CB5"/>
    <w:rsid w:val="0090440B"/>
    <w:rsid w:val="009047FB"/>
    <w:rsid w:val="0090486D"/>
    <w:rsid w:val="009058EB"/>
    <w:rsid w:val="0090605E"/>
    <w:rsid w:val="009065C4"/>
    <w:rsid w:val="009067F2"/>
    <w:rsid w:val="00906FD7"/>
    <w:rsid w:val="00910841"/>
    <w:rsid w:val="00910AC8"/>
    <w:rsid w:val="00910D28"/>
    <w:rsid w:val="009117E0"/>
    <w:rsid w:val="00912911"/>
    <w:rsid w:val="0091307C"/>
    <w:rsid w:val="009130DF"/>
    <w:rsid w:val="0091340C"/>
    <w:rsid w:val="00913DEA"/>
    <w:rsid w:val="00915536"/>
    <w:rsid w:val="00916DF6"/>
    <w:rsid w:val="00917A75"/>
    <w:rsid w:val="00920BBE"/>
    <w:rsid w:val="00921C34"/>
    <w:rsid w:val="009221CB"/>
    <w:rsid w:val="00922DBA"/>
    <w:rsid w:val="0092311F"/>
    <w:rsid w:val="009239DC"/>
    <w:rsid w:val="00923AB2"/>
    <w:rsid w:val="00923B68"/>
    <w:rsid w:val="00923C74"/>
    <w:rsid w:val="00923FA9"/>
    <w:rsid w:val="00924A30"/>
    <w:rsid w:val="00924EC3"/>
    <w:rsid w:val="00925492"/>
    <w:rsid w:val="0092572B"/>
    <w:rsid w:val="00926772"/>
    <w:rsid w:val="00926EC7"/>
    <w:rsid w:val="0092778F"/>
    <w:rsid w:val="00927BAC"/>
    <w:rsid w:val="009302C0"/>
    <w:rsid w:val="00930CA0"/>
    <w:rsid w:val="0093197F"/>
    <w:rsid w:val="00931D3F"/>
    <w:rsid w:val="0093205D"/>
    <w:rsid w:val="0093272A"/>
    <w:rsid w:val="0093424F"/>
    <w:rsid w:val="0093425E"/>
    <w:rsid w:val="009356A8"/>
    <w:rsid w:val="00935753"/>
    <w:rsid w:val="00936581"/>
    <w:rsid w:val="0093685A"/>
    <w:rsid w:val="0093689A"/>
    <w:rsid w:val="009375E9"/>
    <w:rsid w:val="00937AE8"/>
    <w:rsid w:val="00937CC4"/>
    <w:rsid w:val="009404CB"/>
    <w:rsid w:val="00940F63"/>
    <w:rsid w:val="00941786"/>
    <w:rsid w:val="00942B84"/>
    <w:rsid w:val="00943122"/>
    <w:rsid w:val="00943364"/>
    <w:rsid w:val="00944504"/>
    <w:rsid w:val="00945554"/>
    <w:rsid w:val="00945B30"/>
    <w:rsid w:val="00945C1B"/>
    <w:rsid w:val="00946518"/>
    <w:rsid w:val="0094660B"/>
    <w:rsid w:val="00947170"/>
    <w:rsid w:val="009472AE"/>
    <w:rsid w:val="00947A38"/>
    <w:rsid w:val="00950202"/>
    <w:rsid w:val="0095173E"/>
    <w:rsid w:val="00951F2B"/>
    <w:rsid w:val="009526C7"/>
    <w:rsid w:val="00954756"/>
    <w:rsid w:val="00954E6E"/>
    <w:rsid w:val="00955161"/>
    <w:rsid w:val="00955684"/>
    <w:rsid w:val="00955862"/>
    <w:rsid w:val="009558B6"/>
    <w:rsid w:val="009570BD"/>
    <w:rsid w:val="009571BF"/>
    <w:rsid w:val="0096022A"/>
    <w:rsid w:val="009604EA"/>
    <w:rsid w:val="00960B2F"/>
    <w:rsid w:val="00961671"/>
    <w:rsid w:val="00963B71"/>
    <w:rsid w:val="00964DD5"/>
    <w:rsid w:val="0096516C"/>
    <w:rsid w:val="009653CF"/>
    <w:rsid w:val="00965914"/>
    <w:rsid w:val="00966851"/>
    <w:rsid w:val="00970328"/>
    <w:rsid w:val="00970F38"/>
    <w:rsid w:val="00971101"/>
    <w:rsid w:val="009715D6"/>
    <w:rsid w:val="00971C22"/>
    <w:rsid w:val="00972011"/>
    <w:rsid w:val="009727FC"/>
    <w:rsid w:val="0097302D"/>
    <w:rsid w:val="0097483A"/>
    <w:rsid w:val="0097526F"/>
    <w:rsid w:val="00975C17"/>
    <w:rsid w:val="00975C8D"/>
    <w:rsid w:val="00975DCD"/>
    <w:rsid w:val="009763AE"/>
    <w:rsid w:val="00976C3C"/>
    <w:rsid w:val="0097765D"/>
    <w:rsid w:val="00977A54"/>
    <w:rsid w:val="00977AD2"/>
    <w:rsid w:val="00980044"/>
    <w:rsid w:val="009808F5"/>
    <w:rsid w:val="00980F3F"/>
    <w:rsid w:val="00981954"/>
    <w:rsid w:val="00982284"/>
    <w:rsid w:val="009829CF"/>
    <w:rsid w:val="00982A01"/>
    <w:rsid w:val="00982DCA"/>
    <w:rsid w:val="00983245"/>
    <w:rsid w:val="00983F13"/>
    <w:rsid w:val="009858E1"/>
    <w:rsid w:val="00985B35"/>
    <w:rsid w:val="00986449"/>
    <w:rsid w:val="0098693B"/>
    <w:rsid w:val="009869F5"/>
    <w:rsid w:val="0098705D"/>
    <w:rsid w:val="00987C84"/>
    <w:rsid w:val="00987FB5"/>
    <w:rsid w:val="009917CA"/>
    <w:rsid w:val="00991CB4"/>
    <w:rsid w:val="00992CFA"/>
    <w:rsid w:val="009931A8"/>
    <w:rsid w:val="0099331F"/>
    <w:rsid w:val="009942AE"/>
    <w:rsid w:val="00995FA6"/>
    <w:rsid w:val="00996F52"/>
    <w:rsid w:val="009979E4"/>
    <w:rsid w:val="00997A7F"/>
    <w:rsid w:val="00997D37"/>
    <w:rsid w:val="009A0A6A"/>
    <w:rsid w:val="009A131A"/>
    <w:rsid w:val="009A1988"/>
    <w:rsid w:val="009A1D30"/>
    <w:rsid w:val="009A1FD3"/>
    <w:rsid w:val="009A1FDD"/>
    <w:rsid w:val="009A2D02"/>
    <w:rsid w:val="009A3C99"/>
    <w:rsid w:val="009A3F94"/>
    <w:rsid w:val="009A4BC8"/>
    <w:rsid w:val="009A4CA5"/>
    <w:rsid w:val="009A5663"/>
    <w:rsid w:val="009A5687"/>
    <w:rsid w:val="009A64D0"/>
    <w:rsid w:val="009A6769"/>
    <w:rsid w:val="009A6BB5"/>
    <w:rsid w:val="009A6C90"/>
    <w:rsid w:val="009A76AB"/>
    <w:rsid w:val="009B0093"/>
    <w:rsid w:val="009B05E5"/>
    <w:rsid w:val="009B0E3A"/>
    <w:rsid w:val="009B1318"/>
    <w:rsid w:val="009B3653"/>
    <w:rsid w:val="009B3D72"/>
    <w:rsid w:val="009B475D"/>
    <w:rsid w:val="009B4AE9"/>
    <w:rsid w:val="009B5861"/>
    <w:rsid w:val="009B6CD7"/>
    <w:rsid w:val="009C03FB"/>
    <w:rsid w:val="009C0ABC"/>
    <w:rsid w:val="009C1DA0"/>
    <w:rsid w:val="009C2B21"/>
    <w:rsid w:val="009C3850"/>
    <w:rsid w:val="009C3D37"/>
    <w:rsid w:val="009C6579"/>
    <w:rsid w:val="009C7F0D"/>
    <w:rsid w:val="009D01A8"/>
    <w:rsid w:val="009D0F69"/>
    <w:rsid w:val="009D11A1"/>
    <w:rsid w:val="009D1625"/>
    <w:rsid w:val="009D1F16"/>
    <w:rsid w:val="009D2271"/>
    <w:rsid w:val="009D2E4F"/>
    <w:rsid w:val="009D550E"/>
    <w:rsid w:val="009D5E75"/>
    <w:rsid w:val="009D60D1"/>
    <w:rsid w:val="009D6B87"/>
    <w:rsid w:val="009D6BB5"/>
    <w:rsid w:val="009D6DDC"/>
    <w:rsid w:val="009D72C9"/>
    <w:rsid w:val="009E0719"/>
    <w:rsid w:val="009E119B"/>
    <w:rsid w:val="009E172E"/>
    <w:rsid w:val="009E21CC"/>
    <w:rsid w:val="009E22B7"/>
    <w:rsid w:val="009E2C28"/>
    <w:rsid w:val="009E2F45"/>
    <w:rsid w:val="009E31FD"/>
    <w:rsid w:val="009E4599"/>
    <w:rsid w:val="009E4AED"/>
    <w:rsid w:val="009E5179"/>
    <w:rsid w:val="009E5180"/>
    <w:rsid w:val="009E6026"/>
    <w:rsid w:val="009E6101"/>
    <w:rsid w:val="009E7450"/>
    <w:rsid w:val="009E7825"/>
    <w:rsid w:val="009E791B"/>
    <w:rsid w:val="009F0007"/>
    <w:rsid w:val="009F0619"/>
    <w:rsid w:val="009F0B0D"/>
    <w:rsid w:val="009F10E9"/>
    <w:rsid w:val="009F1173"/>
    <w:rsid w:val="009F317D"/>
    <w:rsid w:val="009F5465"/>
    <w:rsid w:val="009F5C9B"/>
    <w:rsid w:val="009F5D52"/>
    <w:rsid w:val="009F5FAC"/>
    <w:rsid w:val="009F5FE0"/>
    <w:rsid w:val="009F6211"/>
    <w:rsid w:val="009F6652"/>
    <w:rsid w:val="009F6ABA"/>
    <w:rsid w:val="009F71E6"/>
    <w:rsid w:val="009F7F66"/>
    <w:rsid w:val="00A00548"/>
    <w:rsid w:val="00A00B02"/>
    <w:rsid w:val="00A01595"/>
    <w:rsid w:val="00A0175B"/>
    <w:rsid w:val="00A017DE"/>
    <w:rsid w:val="00A02494"/>
    <w:rsid w:val="00A02C7A"/>
    <w:rsid w:val="00A02EF0"/>
    <w:rsid w:val="00A03F66"/>
    <w:rsid w:val="00A063D4"/>
    <w:rsid w:val="00A064CD"/>
    <w:rsid w:val="00A07189"/>
    <w:rsid w:val="00A073C9"/>
    <w:rsid w:val="00A10F1E"/>
    <w:rsid w:val="00A11560"/>
    <w:rsid w:val="00A11800"/>
    <w:rsid w:val="00A1305B"/>
    <w:rsid w:val="00A14340"/>
    <w:rsid w:val="00A14F2F"/>
    <w:rsid w:val="00A15242"/>
    <w:rsid w:val="00A1528F"/>
    <w:rsid w:val="00A156C9"/>
    <w:rsid w:val="00A15EDA"/>
    <w:rsid w:val="00A16003"/>
    <w:rsid w:val="00A160BD"/>
    <w:rsid w:val="00A16159"/>
    <w:rsid w:val="00A16495"/>
    <w:rsid w:val="00A16D08"/>
    <w:rsid w:val="00A20838"/>
    <w:rsid w:val="00A20960"/>
    <w:rsid w:val="00A21CCA"/>
    <w:rsid w:val="00A220CC"/>
    <w:rsid w:val="00A221F3"/>
    <w:rsid w:val="00A22566"/>
    <w:rsid w:val="00A23793"/>
    <w:rsid w:val="00A23B03"/>
    <w:rsid w:val="00A25107"/>
    <w:rsid w:val="00A25DF5"/>
    <w:rsid w:val="00A2611D"/>
    <w:rsid w:val="00A2642E"/>
    <w:rsid w:val="00A265A1"/>
    <w:rsid w:val="00A266E1"/>
    <w:rsid w:val="00A27C6F"/>
    <w:rsid w:val="00A27F80"/>
    <w:rsid w:val="00A303AE"/>
    <w:rsid w:val="00A30644"/>
    <w:rsid w:val="00A30DC3"/>
    <w:rsid w:val="00A31D4A"/>
    <w:rsid w:val="00A336AF"/>
    <w:rsid w:val="00A34CA4"/>
    <w:rsid w:val="00A3591F"/>
    <w:rsid w:val="00A36206"/>
    <w:rsid w:val="00A3671F"/>
    <w:rsid w:val="00A36BF2"/>
    <w:rsid w:val="00A371D6"/>
    <w:rsid w:val="00A37265"/>
    <w:rsid w:val="00A37520"/>
    <w:rsid w:val="00A37690"/>
    <w:rsid w:val="00A43166"/>
    <w:rsid w:val="00A43A3E"/>
    <w:rsid w:val="00A44ABA"/>
    <w:rsid w:val="00A45241"/>
    <w:rsid w:val="00A45679"/>
    <w:rsid w:val="00A457B3"/>
    <w:rsid w:val="00A45B9B"/>
    <w:rsid w:val="00A46B24"/>
    <w:rsid w:val="00A501A8"/>
    <w:rsid w:val="00A5084E"/>
    <w:rsid w:val="00A510A5"/>
    <w:rsid w:val="00A51711"/>
    <w:rsid w:val="00A52422"/>
    <w:rsid w:val="00A52D2A"/>
    <w:rsid w:val="00A52D31"/>
    <w:rsid w:val="00A532D9"/>
    <w:rsid w:val="00A53501"/>
    <w:rsid w:val="00A55068"/>
    <w:rsid w:val="00A5548F"/>
    <w:rsid w:val="00A56299"/>
    <w:rsid w:val="00A56CBF"/>
    <w:rsid w:val="00A571CC"/>
    <w:rsid w:val="00A57904"/>
    <w:rsid w:val="00A600E4"/>
    <w:rsid w:val="00A61CD8"/>
    <w:rsid w:val="00A6273B"/>
    <w:rsid w:val="00A64466"/>
    <w:rsid w:val="00A64520"/>
    <w:rsid w:val="00A645C7"/>
    <w:rsid w:val="00A65506"/>
    <w:rsid w:val="00A663A0"/>
    <w:rsid w:val="00A663CC"/>
    <w:rsid w:val="00A66C58"/>
    <w:rsid w:val="00A677FC"/>
    <w:rsid w:val="00A67BC5"/>
    <w:rsid w:val="00A70E84"/>
    <w:rsid w:val="00A717BE"/>
    <w:rsid w:val="00A720DB"/>
    <w:rsid w:val="00A72217"/>
    <w:rsid w:val="00A72A3A"/>
    <w:rsid w:val="00A736A2"/>
    <w:rsid w:val="00A73A7F"/>
    <w:rsid w:val="00A7443C"/>
    <w:rsid w:val="00A74515"/>
    <w:rsid w:val="00A75182"/>
    <w:rsid w:val="00A75F70"/>
    <w:rsid w:val="00A76C85"/>
    <w:rsid w:val="00A80897"/>
    <w:rsid w:val="00A80A2F"/>
    <w:rsid w:val="00A80F46"/>
    <w:rsid w:val="00A81C65"/>
    <w:rsid w:val="00A82105"/>
    <w:rsid w:val="00A82269"/>
    <w:rsid w:val="00A84391"/>
    <w:rsid w:val="00A8452D"/>
    <w:rsid w:val="00A84A64"/>
    <w:rsid w:val="00A87D7D"/>
    <w:rsid w:val="00A90482"/>
    <w:rsid w:val="00A905A1"/>
    <w:rsid w:val="00A90D05"/>
    <w:rsid w:val="00A91448"/>
    <w:rsid w:val="00A92ABB"/>
    <w:rsid w:val="00A9328B"/>
    <w:rsid w:val="00A94279"/>
    <w:rsid w:val="00A95D8B"/>
    <w:rsid w:val="00A9697C"/>
    <w:rsid w:val="00A975AF"/>
    <w:rsid w:val="00AA0BA2"/>
    <w:rsid w:val="00AA0F26"/>
    <w:rsid w:val="00AA130C"/>
    <w:rsid w:val="00AA16CF"/>
    <w:rsid w:val="00AA2D28"/>
    <w:rsid w:val="00AA33BE"/>
    <w:rsid w:val="00AA33ED"/>
    <w:rsid w:val="00AA4142"/>
    <w:rsid w:val="00AA4FAE"/>
    <w:rsid w:val="00AA5195"/>
    <w:rsid w:val="00AA51BF"/>
    <w:rsid w:val="00AA63D6"/>
    <w:rsid w:val="00AA68B9"/>
    <w:rsid w:val="00AA6AA0"/>
    <w:rsid w:val="00AA6FDB"/>
    <w:rsid w:val="00AA72D0"/>
    <w:rsid w:val="00AA75B5"/>
    <w:rsid w:val="00AB0138"/>
    <w:rsid w:val="00AB0B55"/>
    <w:rsid w:val="00AB0EEE"/>
    <w:rsid w:val="00AB1D84"/>
    <w:rsid w:val="00AB25F2"/>
    <w:rsid w:val="00AB2D32"/>
    <w:rsid w:val="00AB3D92"/>
    <w:rsid w:val="00AB44BA"/>
    <w:rsid w:val="00AB466D"/>
    <w:rsid w:val="00AB473C"/>
    <w:rsid w:val="00AB47F5"/>
    <w:rsid w:val="00AB48E6"/>
    <w:rsid w:val="00AB53F6"/>
    <w:rsid w:val="00AB65D7"/>
    <w:rsid w:val="00AB7E09"/>
    <w:rsid w:val="00AC04D6"/>
    <w:rsid w:val="00AC0CCC"/>
    <w:rsid w:val="00AC0D43"/>
    <w:rsid w:val="00AC312B"/>
    <w:rsid w:val="00AC4734"/>
    <w:rsid w:val="00AC4F87"/>
    <w:rsid w:val="00AC508B"/>
    <w:rsid w:val="00AC5CD5"/>
    <w:rsid w:val="00AC67E4"/>
    <w:rsid w:val="00AC6E8F"/>
    <w:rsid w:val="00AC7328"/>
    <w:rsid w:val="00AD04BB"/>
    <w:rsid w:val="00AD0ACA"/>
    <w:rsid w:val="00AD0B71"/>
    <w:rsid w:val="00AD1BA6"/>
    <w:rsid w:val="00AD1D2A"/>
    <w:rsid w:val="00AD3176"/>
    <w:rsid w:val="00AD393E"/>
    <w:rsid w:val="00AD39F2"/>
    <w:rsid w:val="00AD3A5C"/>
    <w:rsid w:val="00AD453D"/>
    <w:rsid w:val="00AD4762"/>
    <w:rsid w:val="00AD4E31"/>
    <w:rsid w:val="00AD55EF"/>
    <w:rsid w:val="00AD6625"/>
    <w:rsid w:val="00AD7AF7"/>
    <w:rsid w:val="00AE059E"/>
    <w:rsid w:val="00AE0C7F"/>
    <w:rsid w:val="00AE1AD5"/>
    <w:rsid w:val="00AE1CD4"/>
    <w:rsid w:val="00AE2082"/>
    <w:rsid w:val="00AE212A"/>
    <w:rsid w:val="00AE2296"/>
    <w:rsid w:val="00AE2968"/>
    <w:rsid w:val="00AE38A7"/>
    <w:rsid w:val="00AE3C58"/>
    <w:rsid w:val="00AE4BED"/>
    <w:rsid w:val="00AE5C38"/>
    <w:rsid w:val="00AE6296"/>
    <w:rsid w:val="00AE6555"/>
    <w:rsid w:val="00AE6C89"/>
    <w:rsid w:val="00AE7C83"/>
    <w:rsid w:val="00AE7D93"/>
    <w:rsid w:val="00AE7D96"/>
    <w:rsid w:val="00AF09A6"/>
    <w:rsid w:val="00AF1358"/>
    <w:rsid w:val="00AF145B"/>
    <w:rsid w:val="00AF1FA5"/>
    <w:rsid w:val="00AF27BD"/>
    <w:rsid w:val="00AF2E1E"/>
    <w:rsid w:val="00AF3C8F"/>
    <w:rsid w:val="00AF3E04"/>
    <w:rsid w:val="00AF436F"/>
    <w:rsid w:val="00AF43CC"/>
    <w:rsid w:val="00AF47E6"/>
    <w:rsid w:val="00AF4CBC"/>
    <w:rsid w:val="00AF4DC7"/>
    <w:rsid w:val="00AF535D"/>
    <w:rsid w:val="00AF6096"/>
    <w:rsid w:val="00AF634E"/>
    <w:rsid w:val="00AF67BB"/>
    <w:rsid w:val="00AF6A63"/>
    <w:rsid w:val="00AF6D63"/>
    <w:rsid w:val="00AF700A"/>
    <w:rsid w:val="00AF767A"/>
    <w:rsid w:val="00AF7DB6"/>
    <w:rsid w:val="00AF7F3D"/>
    <w:rsid w:val="00B0237B"/>
    <w:rsid w:val="00B02437"/>
    <w:rsid w:val="00B0344B"/>
    <w:rsid w:val="00B0521D"/>
    <w:rsid w:val="00B05940"/>
    <w:rsid w:val="00B05B85"/>
    <w:rsid w:val="00B06CF5"/>
    <w:rsid w:val="00B104E7"/>
    <w:rsid w:val="00B10A00"/>
    <w:rsid w:val="00B115BF"/>
    <w:rsid w:val="00B1186A"/>
    <w:rsid w:val="00B13070"/>
    <w:rsid w:val="00B1314A"/>
    <w:rsid w:val="00B13788"/>
    <w:rsid w:val="00B137D4"/>
    <w:rsid w:val="00B13B37"/>
    <w:rsid w:val="00B13FFB"/>
    <w:rsid w:val="00B144B2"/>
    <w:rsid w:val="00B149B4"/>
    <w:rsid w:val="00B14D79"/>
    <w:rsid w:val="00B15D97"/>
    <w:rsid w:val="00B16204"/>
    <w:rsid w:val="00B17A80"/>
    <w:rsid w:val="00B2002F"/>
    <w:rsid w:val="00B21B62"/>
    <w:rsid w:val="00B21C34"/>
    <w:rsid w:val="00B22E3A"/>
    <w:rsid w:val="00B23B36"/>
    <w:rsid w:val="00B25D50"/>
    <w:rsid w:val="00B260E7"/>
    <w:rsid w:val="00B26821"/>
    <w:rsid w:val="00B26DEF"/>
    <w:rsid w:val="00B27563"/>
    <w:rsid w:val="00B275B0"/>
    <w:rsid w:val="00B276DD"/>
    <w:rsid w:val="00B27A64"/>
    <w:rsid w:val="00B27A99"/>
    <w:rsid w:val="00B3098E"/>
    <w:rsid w:val="00B31466"/>
    <w:rsid w:val="00B31F1A"/>
    <w:rsid w:val="00B332D4"/>
    <w:rsid w:val="00B3449C"/>
    <w:rsid w:val="00B34750"/>
    <w:rsid w:val="00B357AA"/>
    <w:rsid w:val="00B37459"/>
    <w:rsid w:val="00B40D83"/>
    <w:rsid w:val="00B4243C"/>
    <w:rsid w:val="00B43368"/>
    <w:rsid w:val="00B4391E"/>
    <w:rsid w:val="00B447D0"/>
    <w:rsid w:val="00B4484C"/>
    <w:rsid w:val="00B44CD5"/>
    <w:rsid w:val="00B45C94"/>
    <w:rsid w:val="00B46A94"/>
    <w:rsid w:val="00B46F60"/>
    <w:rsid w:val="00B47257"/>
    <w:rsid w:val="00B474DE"/>
    <w:rsid w:val="00B50E24"/>
    <w:rsid w:val="00B5157E"/>
    <w:rsid w:val="00B51E99"/>
    <w:rsid w:val="00B52527"/>
    <w:rsid w:val="00B5290D"/>
    <w:rsid w:val="00B53109"/>
    <w:rsid w:val="00B53606"/>
    <w:rsid w:val="00B53C2E"/>
    <w:rsid w:val="00B5482A"/>
    <w:rsid w:val="00B55A80"/>
    <w:rsid w:val="00B57EC2"/>
    <w:rsid w:val="00B57FCB"/>
    <w:rsid w:val="00B60831"/>
    <w:rsid w:val="00B61DE2"/>
    <w:rsid w:val="00B61F6C"/>
    <w:rsid w:val="00B6212B"/>
    <w:rsid w:val="00B6217B"/>
    <w:rsid w:val="00B62F2E"/>
    <w:rsid w:val="00B63BB7"/>
    <w:rsid w:val="00B64A98"/>
    <w:rsid w:val="00B652A3"/>
    <w:rsid w:val="00B65575"/>
    <w:rsid w:val="00B6643D"/>
    <w:rsid w:val="00B66A7D"/>
    <w:rsid w:val="00B66BB2"/>
    <w:rsid w:val="00B700BC"/>
    <w:rsid w:val="00B70298"/>
    <w:rsid w:val="00B70333"/>
    <w:rsid w:val="00B705CC"/>
    <w:rsid w:val="00B70884"/>
    <w:rsid w:val="00B71D6E"/>
    <w:rsid w:val="00B72654"/>
    <w:rsid w:val="00B73694"/>
    <w:rsid w:val="00B737F4"/>
    <w:rsid w:val="00B738BE"/>
    <w:rsid w:val="00B73B5F"/>
    <w:rsid w:val="00B74123"/>
    <w:rsid w:val="00B74864"/>
    <w:rsid w:val="00B7528F"/>
    <w:rsid w:val="00B75780"/>
    <w:rsid w:val="00B75FED"/>
    <w:rsid w:val="00B7654B"/>
    <w:rsid w:val="00B76ADC"/>
    <w:rsid w:val="00B76FDE"/>
    <w:rsid w:val="00B77AC4"/>
    <w:rsid w:val="00B77AC5"/>
    <w:rsid w:val="00B80474"/>
    <w:rsid w:val="00B8087E"/>
    <w:rsid w:val="00B81456"/>
    <w:rsid w:val="00B81D07"/>
    <w:rsid w:val="00B8210A"/>
    <w:rsid w:val="00B82847"/>
    <w:rsid w:val="00B8348A"/>
    <w:rsid w:val="00B84967"/>
    <w:rsid w:val="00B84A0F"/>
    <w:rsid w:val="00B84D74"/>
    <w:rsid w:val="00B86763"/>
    <w:rsid w:val="00B90693"/>
    <w:rsid w:val="00B90C1D"/>
    <w:rsid w:val="00B9142A"/>
    <w:rsid w:val="00B92794"/>
    <w:rsid w:val="00B93A77"/>
    <w:rsid w:val="00B960BB"/>
    <w:rsid w:val="00B9713C"/>
    <w:rsid w:val="00BA0192"/>
    <w:rsid w:val="00BA1260"/>
    <w:rsid w:val="00BA1BE6"/>
    <w:rsid w:val="00BA1D94"/>
    <w:rsid w:val="00BA2EEF"/>
    <w:rsid w:val="00BA30C5"/>
    <w:rsid w:val="00BA3154"/>
    <w:rsid w:val="00BA31AE"/>
    <w:rsid w:val="00BA3D20"/>
    <w:rsid w:val="00BA400A"/>
    <w:rsid w:val="00BA45F9"/>
    <w:rsid w:val="00BA4648"/>
    <w:rsid w:val="00BA52F4"/>
    <w:rsid w:val="00BA53C8"/>
    <w:rsid w:val="00BA5BC1"/>
    <w:rsid w:val="00BA6009"/>
    <w:rsid w:val="00BA60C9"/>
    <w:rsid w:val="00BB0114"/>
    <w:rsid w:val="00BB0362"/>
    <w:rsid w:val="00BB03E4"/>
    <w:rsid w:val="00BB03E7"/>
    <w:rsid w:val="00BB10D1"/>
    <w:rsid w:val="00BB17C2"/>
    <w:rsid w:val="00BB2070"/>
    <w:rsid w:val="00BB2F27"/>
    <w:rsid w:val="00BB33FE"/>
    <w:rsid w:val="00BB3402"/>
    <w:rsid w:val="00BB395E"/>
    <w:rsid w:val="00BB3B0C"/>
    <w:rsid w:val="00BB3DFC"/>
    <w:rsid w:val="00BB509C"/>
    <w:rsid w:val="00BB6F46"/>
    <w:rsid w:val="00BB727A"/>
    <w:rsid w:val="00BB7697"/>
    <w:rsid w:val="00BB7BDE"/>
    <w:rsid w:val="00BC02F3"/>
    <w:rsid w:val="00BC073A"/>
    <w:rsid w:val="00BC0C2F"/>
    <w:rsid w:val="00BC0E99"/>
    <w:rsid w:val="00BC23C5"/>
    <w:rsid w:val="00BC2795"/>
    <w:rsid w:val="00BC2ADE"/>
    <w:rsid w:val="00BC39D1"/>
    <w:rsid w:val="00BC3F62"/>
    <w:rsid w:val="00BC4E60"/>
    <w:rsid w:val="00BC5135"/>
    <w:rsid w:val="00BC5415"/>
    <w:rsid w:val="00BC5F8E"/>
    <w:rsid w:val="00BC6E74"/>
    <w:rsid w:val="00BC6F61"/>
    <w:rsid w:val="00BD0AE8"/>
    <w:rsid w:val="00BD1171"/>
    <w:rsid w:val="00BD2AB7"/>
    <w:rsid w:val="00BD3218"/>
    <w:rsid w:val="00BD35D7"/>
    <w:rsid w:val="00BD3735"/>
    <w:rsid w:val="00BD3FB3"/>
    <w:rsid w:val="00BD4541"/>
    <w:rsid w:val="00BD48AA"/>
    <w:rsid w:val="00BD5A8C"/>
    <w:rsid w:val="00BD5FA5"/>
    <w:rsid w:val="00BD6776"/>
    <w:rsid w:val="00BD6AA7"/>
    <w:rsid w:val="00BD7297"/>
    <w:rsid w:val="00BD7594"/>
    <w:rsid w:val="00BE0390"/>
    <w:rsid w:val="00BE1457"/>
    <w:rsid w:val="00BE1992"/>
    <w:rsid w:val="00BE1B1A"/>
    <w:rsid w:val="00BE1B5C"/>
    <w:rsid w:val="00BE31B8"/>
    <w:rsid w:val="00BE3980"/>
    <w:rsid w:val="00BE3FC2"/>
    <w:rsid w:val="00BE40A6"/>
    <w:rsid w:val="00BE40B4"/>
    <w:rsid w:val="00BE5366"/>
    <w:rsid w:val="00BE5391"/>
    <w:rsid w:val="00BE5E7D"/>
    <w:rsid w:val="00BE7377"/>
    <w:rsid w:val="00BE79B3"/>
    <w:rsid w:val="00BE7DD1"/>
    <w:rsid w:val="00BF069E"/>
    <w:rsid w:val="00BF0A79"/>
    <w:rsid w:val="00BF1584"/>
    <w:rsid w:val="00BF26E8"/>
    <w:rsid w:val="00BF276D"/>
    <w:rsid w:val="00BF2942"/>
    <w:rsid w:val="00BF2F44"/>
    <w:rsid w:val="00BF3174"/>
    <w:rsid w:val="00BF39A8"/>
    <w:rsid w:val="00BF3ABF"/>
    <w:rsid w:val="00BF4A71"/>
    <w:rsid w:val="00BF6B9A"/>
    <w:rsid w:val="00BF6F92"/>
    <w:rsid w:val="00BF72C1"/>
    <w:rsid w:val="00BF7949"/>
    <w:rsid w:val="00C01ABD"/>
    <w:rsid w:val="00C01AFD"/>
    <w:rsid w:val="00C039EC"/>
    <w:rsid w:val="00C03C31"/>
    <w:rsid w:val="00C05A37"/>
    <w:rsid w:val="00C05BC3"/>
    <w:rsid w:val="00C062D0"/>
    <w:rsid w:val="00C07515"/>
    <w:rsid w:val="00C076FE"/>
    <w:rsid w:val="00C107F9"/>
    <w:rsid w:val="00C10A52"/>
    <w:rsid w:val="00C11035"/>
    <w:rsid w:val="00C12149"/>
    <w:rsid w:val="00C123AF"/>
    <w:rsid w:val="00C1368D"/>
    <w:rsid w:val="00C14FA7"/>
    <w:rsid w:val="00C15240"/>
    <w:rsid w:val="00C15452"/>
    <w:rsid w:val="00C15625"/>
    <w:rsid w:val="00C1562F"/>
    <w:rsid w:val="00C158E2"/>
    <w:rsid w:val="00C15A19"/>
    <w:rsid w:val="00C15D1E"/>
    <w:rsid w:val="00C15E10"/>
    <w:rsid w:val="00C16682"/>
    <w:rsid w:val="00C171A2"/>
    <w:rsid w:val="00C202EC"/>
    <w:rsid w:val="00C2057B"/>
    <w:rsid w:val="00C20D17"/>
    <w:rsid w:val="00C215DA"/>
    <w:rsid w:val="00C24159"/>
    <w:rsid w:val="00C2468E"/>
    <w:rsid w:val="00C246D3"/>
    <w:rsid w:val="00C2491D"/>
    <w:rsid w:val="00C25C28"/>
    <w:rsid w:val="00C26C22"/>
    <w:rsid w:val="00C26E1C"/>
    <w:rsid w:val="00C26F81"/>
    <w:rsid w:val="00C272D5"/>
    <w:rsid w:val="00C2790B"/>
    <w:rsid w:val="00C27D29"/>
    <w:rsid w:val="00C27F02"/>
    <w:rsid w:val="00C30486"/>
    <w:rsid w:val="00C30D74"/>
    <w:rsid w:val="00C32E87"/>
    <w:rsid w:val="00C331F8"/>
    <w:rsid w:val="00C3329F"/>
    <w:rsid w:val="00C346F3"/>
    <w:rsid w:val="00C34C35"/>
    <w:rsid w:val="00C35C9D"/>
    <w:rsid w:val="00C35FB1"/>
    <w:rsid w:val="00C36171"/>
    <w:rsid w:val="00C36556"/>
    <w:rsid w:val="00C37104"/>
    <w:rsid w:val="00C429EA"/>
    <w:rsid w:val="00C43013"/>
    <w:rsid w:val="00C43517"/>
    <w:rsid w:val="00C43641"/>
    <w:rsid w:val="00C43865"/>
    <w:rsid w:val="00C43FA3"/>
    <w:rsid w:val="00C4427C"/>
    <w:rsid w:val="00C44E15"/>
    <w:rsid w:val="00C4501A"/>
    <w:rsid w:val="00C45270"/>
    <w:rsid w:val="00C45649"/>
    <w:rsid w:val="00C46B39"/>
    <w:rsid w:val="00C46BFF"/>
    <w:rsid w:val="00C46D3E"/>
    <w:rsid w:val="00C505CF"/>
    <w:rsid w:val="00C5087B"/>
    <w:rsid w:val="00C50A0B"/>
    <w:rsid w:val="00C50E14"/>
    <w:rsid w:val="00C50EB2"/>
    <w:rsid w:val="00C51076"/>
    <w:rsid w:val="00C516D4"/>
    <w:rsid w:val="00C51FAF"/>
    <w:rsid w:val="00C524CD"/>
    <w:rsid w:val="00C52578"/>
    <w:rsid w:val="00C54335"/>
    <w:rsid w:val="00C543F0"/>
    <w:rsid w:val="00C552C4"/>
    <w:rsid w:val="00C5742E"/>
    <w:rsid w:val="00C5744D"/>
    <w:rsid w:val="00C57E8C"/>
    <w:rsid w:val="00C60442"/>
    <w:rsid w:val="00C6200C"/>
    <w:rsid w:val="00C62C71"/>
    <w:rsid w:val="00C631DE"/>
    <w:rsid w:val="00C63315"/>
    <w:rsid w:val="00C636F2"/>
    <w:rsid w:val="00C63DB5"/>
    <w:rsid w:val="00C63F92"/>
    <w:rsid w:val="00C6425C"/>
    <w:rsid w:val="00C646C4"/>
    <w:rsid w:val="00C65529"/>
    <w:rsid w:val="00C7024F"/>
    <w:rsid w:val="00C70DEE"/>
    <w:rsid w:val="00C7188A"/>
    <w:rsid w:val="00C71EA5"/>
    <w:rsid w:val="00C72065"/>
    <w:rsid w:val="00C7251C"/>
    <w:rsid w:val="00C732D0"/>
    <w:rsid w:val="00C74088"/>
    <w:rsid w:val="00C74ECC"/>
    <w:rsid w:val="00C75AEA"/>
    <w:rsid w:val="00C77443"/>
    <w:rsid w:val="00C7759D"/>
    <w:rsid w:val="00C778F7"/>
    <w:rsid w:val="00C80191"/>
    <w:rsid w:val="00C80757"/>
    <w:rsid w:val="00C80A51"/>
    <w:rsid w:val="00C80AB0"/>
    <w:rsid w:val="00C81400"/>
    <w:rsid w:val="00C816FE"/>
    <w:rsid w:val="00C8191B"/>
    <w:rsid w:val="00C81CDF"/>
    <w:rsid w:val="00C8204C"/>
    <w:rsid w:val="00C82343"/>
    <w:rsid w:val="00C824AB"/>
    <w:rsid w:val="00C825FE"/>
    <w:rsid w:val="00C82AAB"/>
    <w:rsid w:val="00C82B03"/>
    <w:rsid w:val="00C835A4"/>
    <w:rsid w:val="00C848FA"/>
    <w:rsid w:val="00C84B4F"/>
    <w:rsid w:val="00C850F7"/>
    <w:rsid w:val="00C85637"/>
    <w:rsid w:val="00C85683"/>
    <w:rsid w:val="00C85CB9"/>
    <w:rsid w:val="00C86145"/>
    <w:rsid w:val="00C8626D"/>
    <w:rsid w:val="00C86A42"/>
    <w:rsid w:val="00C86BE2"/>
    <w:rsid w:val="00C86F05"/>
    <w:rsid w:val="00C87EFF"/>
    <w:rsid w:val="00C87F26"/>
    <w:rsid w:val="00C907DB"/>
    <w:rsid w:val="00C90C0D"/>
    <w:rsid w:val="00C91D2D"/>
    <w:rsid w:val="00C92ADB"/>
    <w:rsid w:val="00C92C99"/>
    <w:rsid w:val="00C92FEE"/>
    <w:rsid w:val="00C93240"/>
    <w:rsid w:val="00C93730"/>
    <w:rsid w:val="00C937B4"/>
    <w:rsid w:val="00C94066"/>
    <w:rsid w:val="00C9418D"/>
    <w:rsid w:val="00C944EF"/>
    <w:rsid w:val="00C947C5"/>
    <w:rsid w:val="00C94A1B"/>
    <w:rsid w:val="00C94A7E"/>
    <w:rsid w:val="00CA048C"/>
    <w:rsid w:val="00CA1082"/>
    <w:rsid w:val="00CA11A5"/>
    <w:rsid w:val="00CA25E9"/>
    <w:rsid w:val="00CA2D20"/>
    <w:rsid w:val="00CA587A"/>
    <w:rsid w:val="00CA631C"/>
    <w:rsid w:val="00CB0329"/>
    <w:rsid w:val="00CB04A8"/>
    <w:rsid w:val="00CB04EA"/>
    <w:rsid w:val="00CB07EA"/>
    <w:rsid w:val="00CB1482"/>
    <w:rsid w:val="00CB1586"/>
    <w:rsid w:val="00CB1DD4"/>
    <w:rsid w:val="00CB335B"/>
    <w:rsid w:val="00CB377F"/>
    <w:rsid w:val="00CB4087"/>
    <w:rsid w:val="00CB4655"/>
    <w:rsid w:val="00CB4E3A"/>
    <w:rsid w:val="00CB58CC"/>
    <w:rsid w:val="00CB593F"/>
    <w:rsid w:val="00CB6FA9"/>
    <w:rsid w:val="00CB748E"/>
    <w:rsid w:val="00CC05E4"/>
    <w:rsid w:val="00CC0711"/>
    <w:rsid w:val="00CC2D93"/>
    <w:rsid w:val="00CC340E"/>
    <w:rsid w:val="00CC4BF3"/>
    <w:rsid w:val="00CC4E0D"/>
    <w:rsid w:val="00CC53F6"/>
    <w:rsid w:val="00CC5840"/>
    <w:rsid w:val="00CC596B"/>
    <w:rsid w:val="00CC5FC4"/>
    <w:rsid w:val="00CC6888"/>
    <w:rsid w:val="00CC695B"/>
    <w:rsid w:val="00CC6C71"/>
    <w:rsid w:val="00CC6D21"/>
    <w:rsid w:val="00CC6E42"/>
    <w:rsid w:val="00CD178A"/>
    <w:rsid w:val="00CD1B08"/>
    <w:rsid w:val="00CD3E61"/>
    <w:rsid w:val="00CD427E"/>
    <w:rsid w:val="00CD5C39"/>
    <w:rsid w:val="00CD5E0F"/>
    <w:rsid w:val="00CD7B41"/>
    <w:rsid w:val="00CD7CDC"/>
    <w:rsid w:val="00CE0336"/>
    <w:rsid w:val="00CE04E7"/>
    <w:rsid w:val="00CE113B"/>
    <w:rsid w:val="00CE20FD"/>
    <w:rsid w:val="00CE2121"/>
    <w:rsid w:val="00CE27EE"/>
    <w:rsid w:val="00CE3BAE"/>
    <w:rsid w:val="00CE465D"/>
    <w:rsid w:val="00CE63D5"/>
    <w:rsid w:val="00CE6E38"/>
    <w:rsid w:val="00CE7CA2"/>
    <w:rsid w:val="00CF0192"/>
    <w:rsid w:val="00CF046B"/>
    <w:rsid w:val="00CF0E9C"/>
    <w:rsid w:val="00CF1817"/>
    <w:rsid w:val="00CF43A1"/>
    <w:rsid w:val="00CF4B47"/>
    <w:rsid w:val="00CF4B5E"/>
    <w:rsid w:val="00CF4FF7"/>
    <w:rsid w:val="00CF5140"/>
    <w:rsid w:val="00CF5581"/>
    <w:rsid w:val="00CF5B51"/>
    <w:rsid w:val="00CF5D5D"/>
    <w:rsid w:val="00CF62E7"/>
    <w:rsid w:val="00CF6FA9"/>
    <w:rsid w:val="00CF7111"/>
    <w:rsid w:val="00CF744D"/>
    <w:rsid w:val="00CF7A95"/>
    <w:rsid w:val="00D017CD"/>
    <w:rsid w:val="00D02296"/>
    <w:rsid w:val="00D02758"/>
    <w:rsid w:val="00D0297D"/>
    <w:rsid w:val="00D03002"/>
    <w:rsid w:val="00D03440"/>
    <w:rsid w:val="00D034C0"/>
    <w:rsid w:val="00D04026"/>
    <w:rsid w:val="00D04EB4"/>
    <w:rsid w:val="00D051E5"/>
    <w:rsid w:val="00D051F9"/>
    <w:rsid w:val="00D056A4"/>
    <w:rsid w:val="00D05D5C"/>
    <w:rsid w:val="00D05E6E"/>
    <w:rsid w:val="00D072FC"/>
    <w:rsid w:val="00D073B8"/>
    <w:rsid w:val="00D07C77"/>
    <w:rsid w:val="00D07DD2"/>
    <w:rsid w:val="00D117FD"/>
    <w:rsid w:val="00D125E0"/>
    <w:rsid w:val="00D128E1"/>
    <w:rsid w:val="00D12A75"/>
    <w:rsid w:val="00D130F5"/>
    <w:rsid w:val="00D13808"/>
    <w:rsid w:val="00D141FE"/>
    <w:rsid w:val="00D14448"/>
    <w:rsid w:val="00D14A3A"/>
    <w:rsid w:val="00D14F61"/>
    <w:rsid w:val="00D15E54"/>
    <w:rsid w:val="00D1626A"/>
    <w:rsid w:val="00D168DA"/>
    <w:rsid w:val="00D16AEF"/>
    <w:rsid w:val="00D179E4"/>
    <w:rsid w:val="00D17B5C"/>
    <w:rsid w:val="00D17F75"/>
    <w:rsid w:val="00D22011"/>
    <w:rsid w:val="00D223E4"/>
    <w:rsid w:val="00D2256C"/>
    <w:rsid w:val="00D2264C"/>
    <w:rsid w:val="00D22DD5"/>
    <w:rsid w:val="00D22EB1"/>
    <w:rsid w:val="00D23028"/>
    <w:rsid w:val="00D23214"/>
    <w:rsid w:val="00D2337B"/>
    <w:rsid w:val="00D23FC7"/>
    <w:rsid w:val="00D240EF"/>
    <w:rsid w:val="00D24336"/>
    <w:rsid w:val="00D247B4"/>
    <w:rsid w:val="00D24A97"/>
    <w:rsid w:val="00D24D35"/>
    <w:rsid w:val="00D26D34"/>
    <w:rsid w:val="00D30AB6"/>
    <w:rsid w:val="00D3273E"/>
    <w:rsid w:val="00D337E7"/>
    <w:rsid w:val="00D33DDB"/>
    <w:rsid w:val="00D35064"/>
    <w:rsid w:val="00D36AA8"/>
    <w:rsid w:val="00D37343"/>
    <w:rsid w:val="00D374F5"/>
    <w:rsid w:val="00D40503"/>
    <w:rsid w:val="00D40A46"/>
    <w:rsid w:val="00D40C7C"/>
    <w:rsid w:val="00D40E6D"/>
    <w:rsid w:val="00D41BD4"/>
    <w:rsid w:val="00D41EBC"/>
    <w:rsid w:val="00D42577"/>
    <w:rsid w:val="00D42B92"/>
    <w:rsid w:val="00D42E07"/>
    <w:rsid w:val="00D43593"/>
    <w:rsid w:val="00D43878"/>
    <w:rsid w:val="00D4433E"/>
    <w:rsid w:val="00D44801"/>
    <w:rsid w:val="00D45F3C"/>
    <w:rsid w:val="00D46A11"/>
    <w:rsid w:val="00D51DFC"/>
    <w:rsid w:val="00D5388C"/>
    <w:rsid w:val="00D538E9"/>
    <w:rsid w:val="00D53962"/>
    <w:rsid w:val="00D53AD2"/>
    <w:rsid w:val="00D5464D"/>
    <w:rsid w:val="00D55CA3"/>
    <w:rsid w:val="00D56638"/>
    <w:rsid w:val="00D56778"/>
    <w:rsid w:val="00D56794"/>
    <w:rsid w:val="00D5698F"/>
    <w:rsid w:val="00D5702C"/>
    <w:rsid w:val="00D60DCC"/>
    <w:rsid w:val="00D613A8"/>
    <w:rsid w:val="00D61410"/>
    <w:rsid w:val="00D61E28"/>
    <w:rsid w:val="00D62419"/>
    <w:rsid w:val="00D630DF"/>
    <w:rsid w:val="00D63746"/>
    <w:rsid w:val="00D642D0"/>
    <w:rsid w:val="00D648B0"/>
    <w:rsid w:val="00D64CD4"/>
    <w:rsid w:val="00D65665"/>
    <w:rsid w:val="00D65F1A"/>
    <w:rsid w:val="00D66588"/>
    <w:rsid w:val="00D6734A"/>
    <w:rsid w:val="00D67817"/>
    <w:rsid w:val="00D67838"/>
    <w:rsid w:val="00D67E30"/>
    <w:rsid w:val="00D7275B"/>
    <w:rsid w:val="00D72E48"/>
    <w:rsid w:val="00D73235"/>
    <w:rsid w:val="00D73561"/>
    <w:rsid w:val="00D73651"/>
    <w:rsid w:val="00D736E8"/>
    <w:rsid w:val="00D75C77"/>
    <w:rsid w:val="00D76910"/>
    <w:rsid w:val="00D77E8E"/>
    <w:rsid w:val="00D8070A"/>
    <w:rsid w:val="00D80BFC"/>
    <w:rsid w:val="00D80C91"/>
    <w:rsid w:val="00D80F84"/>
    <w:rsid w:val="00D819EE"/>
    <w:rsid w:val="00D81F0B"/>
    <w:rsid w:val="00D82206"/>
    <w:rsid w:val="00D823F0"/>
    <w:rsid w:val="00D82AB5"/>
    <w:rsid w:val="00D851A4"/>
    <w:rsid w:val="00D856D3"/>
    <w:rsid w:val="00D861A6"/>
    <w:rsid w:val="00D87CAA"/>
    <w:rsid w:val="00D90100"/>
    <w:rsid w:val="00D9058B"/>
    <w:rsid w:val="00D90D7A"/>
    <w:rsid w:val="00D90E90"/>
    <w:rsid w:val="00D9179A"/>
    <w:rsid w:val="00D9232F"/>
    <w:rsid w:val="00D923B2"/>
    <w:rsid w:val="00D938F8"/>
    <w:rsid w:val="00D93BF5"/>
    <w:rsid w:val="00D943C0"/>
    <w:rsid w:val="00D94D81"/>
    <w:rsid w:val="00D95944"/>
    <w:rsid w:val="00D97141"/>
    <w:rsid w:val="00D977D1"/>
    <w:rsid w:val="00D97A90"/>
    <w:rsid w:val="00D97EF9"/>
    <w:rsid w:val="00DA0D07"/>
    <w:rsid w:val="00DA144C"/>
    <w:rsid w:val="00DA1871"/>
    <w:rsid w:val="00DA27E9"/>
    <w:rsid w:val="00DA29DE"/>
    <w:rsid w:val="00DA2E36"/>
    <w:rsid w:val="00DA446C"/>
    <w:rsid w:val="00DA4A8B"/>
    <w:rsid w:val="00DA4C01"/>
    <w:rsid w:val="00DA4C0B"/>
    <w:rsid w:val="00DA59AF"/>
    <w:rsid w:val="00DA62B1"/>
    <w:rsid w:val="00DA70D8"/>
    <w:rsid w:val="00DB040C"/>
    <w:rsid w:val="00DB0990"/>
    <w:rsid w:val="00DB100E"/>
    <w:rsid w:val="00DB16EA"/>
    <w:rsid w:val="00DB2C00"/>
    <w:rsid w:val="00DB4074"/>
    <w:rsid w:val="00DB4563"/>
    <w:rsid w:val="00DB4598"/>
    <w:rsid w:val="00DB4DD9"/>
    <w:rsid w:val="00DB64BC"/>
    <w:rsid w:val="00DB65B3"/>
    <w:rsid w:val="00DB6889"/>
    <w:rsid w:val="00DB6C4A"/>
    <w:rsid w:val="00DC069B"/>
    <w:rsid w:val="00DC0855"/>
    <w:rsid w:val="00DC0F4C"/>
    <w:rsid w:val="00DC1E01"/>
    <w:rsid w:val="00DC23AB"/>
    <w:rsid w:val="00DC25DF"/>
    <w:rsid w:val="00DC36D8"/>
    <w:rsid w:val="00DC4452"/>
    <w:rsid w:val="00DC4562"/>
    <w:rsid w:val="00DC4BFC"/>
    <w:rsid w:val="00DC5303"/>
    <w:rsid w:val="00DC5818"/>
    <w:rsid w:val="00DC5BD9"/>
    <w:rsid w:val="00DC6155"/>
    <w:rsid w:val="00DC6C27"/>
    <w:rsid w:val="00DC7951"/>
    <w:rsid w:val="00DD007E"/>
    <w:rsid w:val="00DD008E"/>
    <w:rsid w:val="00DD0F13"/>
    <w:rsid w:val="00DD1138"/>
    <w:rsid w:val="00DD19B2"/>
    <w:rsid w:val="00DD1ECB"/>
    <w:rsid w:val="00DD29EB"/>
    <w:rsid w:val="00DD361D"/>
    <w:rsid w:val="00DD639C"/>
    <w:rsid w:val="00DD63F0"/>
    <w:rsid w:val="00DD6CCC"/>
    <w:rsid w:val="00DD6F95"/>
    <w:rsid w:val="00DD7657"/>
    <w:rsid w:val="00DE1119"/>
    <w:rsid w:val="00DE1A9E"/>
    <w:rsid w:val="00DE336C"/>
    <w:rsid w:val="00DE3A68"/>
    <w:rsid w:val="00DE47BB"/>
    <w:rsid w:val="00DE4AA4"/>
    <w:rsid w:val="00DE75BC"/>
    <w:rsid w:val="00DF11CD"/>
    <w:rsid w:val="00DF18ED"/>
    <w:rsid w:val="00DF35AF"/>
    <w:rsid w:val="00DF4735"/>
    <w:rsid w:val="00DF48ED"/>
    <w:rsid w:val="00DF541B"/>
    <w:rsid w:val="00DF54A7"/>
    <w:rsid w:val="00DF5BF0"/>
    <w:rsid w:val="00DF5F8B"/>
    <w:rsid w:val="00DF6DDE"/>
    <w:rsid w:val="00DF7E43"/>
    <w:rsid w:val="00DF7E6D"/>
    <w:rsid w:val="00E014A1"/>
    <w:rsid w:val="00E02C4D"/>
    <w:rsid w:val="00E03235"/>
    <w:rsid w:val="00E05364"/>
    <w:rsid w:val="00E059E8"/>
    <w:rsid w:val="00E07164"/>
    <w:rsid w:val="00E07221"/>
    <w:rsid w:val="00E112D5"/>
    <w:rsid w:val="00E115FB"/>
    <w:rsid w:val="00E116E4"/>
    <w:rsid w:val="00E119BB"/>
    <w:rsid w:val="00E11C6D"/>
    <w:rsid w:val="00E1227D"/>
    <w:rsid w:val="00E126EB"/>
    <w:rsid w:val="00E12F29"/>
    <w:rsid w:val="00E13FD6"/>
    <w:rsid w:val="00E144AB"/>
    <w:rsid w:val="00E14A4B"/>
    <w:rsid w:val="00E15E98"/>
    <w:rsid w:val="00E2117E"/>
    <w:rsid w:val="00E225D6"/>
    <w:rsid w:val="00E25645"/>
    <w:rsid w:val="00E25D5C"/>
    <w:rsid w:val="00E26C78"/>
    <w:rsid w:val="00E279E5"/>
    <w:rsid w:val="00E27CBB"/>
    <w:rsid w:val="00E30ECD"/>
    <w:rsid w:val="00E312E4"/>
    <w:rsid w:val="00E316D1"/>
    <w:rsid w:val="00E31B97"/>
    <w:rsid w:val="00E34783"/>
    <w:rsid w:val="00E349BC"/>
    <w:rsid w:val="00E34D28"/>
    <w:rsid w:val="00E35326"/>
    <w:rsid w:val="00E35B68"/>
    <w:rsid w:val="00E36543"/>
    <w:rsid w:val="00E365FF"/>
    <w:rsid w:val="00E36718"/>
    <w:rsid w:val="00E36725"/>
    <w:rsid w:val="00E36F5C"/>
    <w:rsid w:val="00E37A3D"/>
    <w:rsid w:val="00E37FE1"/>
    <w:rsid w:val="00E420DD"/>
    <w:rsid w:val="00E423C9"/>
    <w:rsid w:val="00E43D9D"/>
    <w:rsid w:val="00E454BC"/>
    <w:rsid w:val="00E4590A"/>
    <w:rsid w:val="00E45F08"/>
    <w:rsid w:val="00E45F0B"/>
    <w:rsid w:val="00E46300"/>
    <w:rsid w:val="00E46716"/>
    <w:rsid w:val="00E46B48"/>
    <w:rsid w:val="00E50953"/>
    <w:rsid w:val="00E51EC0"/>
    <w:rsid w:val="00E526E6"/>
    <w:rsid w:val="00E52847"/>
    <w:rsid w:val="00E52E96"/>
    <w:rsid w:val="00E5320B"/>
    <w:rsid w:val="00E53837"/>
    <w:rsid w:val="00E53852"/>
    <w:rsid w:val="00E53F22"/>
    <w:rsid w:val="00E54B82"/>
    <w:rsid w:val="00E54E9B"/>
    <w:rsid w:val="00E55696"/>
    <w:rsid w:val="00E609AA"/>
    <w:rsid w:val="00E61B70"/>
    <w:rsid w:val="00E6224E"/>
    <w:rsid w:val="00E627AC"/>
    <w:rsid w:val="00E62AF6"/>
    <w:rsid w:val="00E63BFA"/>
    <w:rsid w:val="00E63CC6"/>
    <w:rsid w:val="00E63E46"/>
    <w:rsid w:val="00E6575B"/>
    <w:rsid w:val="00E65BEC"/>
    <w:rsid w:val="00E65FD6"/>
    <w:rsid w:val="00E660CD"/>
    <w:rsid w:val="00E664D0"/>
    <w:rsid w:val="00E7061B"/>
    <w:rsid w:val="00E70810"/>
    <w:rsid w:val="00E70D60"/>
    <w:rsid w:val="00E72BED"/>
    <w:rsid w:val="00E72FD2"/>
    <w:rsid w:val="00E742E1"/>
    <w:rsid w:val="00E74724"/>
    <w:rsid w:val="00E74BFF"/>
    <w:rsid w:val="00E759D1"/>
    <w:rsid w:val="00E75F5D"/>
    <w:rsid w:val="00E76AA3"/>
    <w:rsid w:val="00E80971"/>
    <w:rsid w:val="00E81A63"/>
    <w:rsid w:val="00E82243"/>
    <w:rsid w:val="00E8240B"/>
    <w:rsid w:val="00E82A70"/>
    <w:rsid w:val="00E83BA2"/>
    <w:rsid w:val="00E84EA3"/>
    <w:rsid w:val="00E85290"/>
    <w:rsid w:val="00E8745F"/>
    <w:rsid w:val="00E878A1"/>
    <w:rsid w:val="00E87BF9"/>
    <w:rsid w:val="00E9101F"/>
    <w:rsid w:val="00E91817"/>
    <w:rsid w:val="00E91B81"/>
    <w:rsid w:val="00E91C46"/>
    <w:rsid w:val="00E922D5"/>
    <w:rsid w:val="00E92388"/>
    <w:rsid w:val="00E9286A"/>
    <w:rsid w:val="00E92D27"/>
    <w:rsid w:val="00E93A99"/>
    <w:rsid w:val="00E93FCF"/>
    <w:rsid w:val="00E941FD"/>
    <w:rsid w:val="00E94922"/>
    <w:rsid w:val="00E94BF9"/>
    <w:rsid w:val="00E95114"/>
    <w:rsid w:val="00E95286"/>
    <w:rsid w:val="00E974A4"/>
    <w:rsid w:val="00EA00A3"/>
    <w:rsid w:val="00EA123C"/>
    <w:rsid w:val="00EA1A87"/>
    <w:rsid w:val="00EA1CC0"/>
    <w:rsid w:val="00EA2D5D"/>
    <w:rsid w:val="00EA5660"/>
    <w:rsid w:val="00EA569D"/>
    <w:rsid w:val="00EA6BC0"/>
    <w:rsid w:val="00EA6BD5"/>
    <w:rsid w:val="00EA6E4F"/>
    <w:rsid w:val="00EA7017"/>
    <w:rsid w:val="00EB100E"/>
    <w:rsid w:val="00EB1A77"/>
    <w:rsid w:val="00EB2F2A"/>
    <w:rsid w:val="00EB345F"/>
    <w:rsid w:val="00EB5B78"/>
    <w:rsid w:val="00EB61BB"/>
    <w:rsid w:val="00EB66EA"/>
    <w:rsid w:val="00EB6CA6"/>
    <w:rsid w:val="00EB6D9C"/>
    <w:rsid w:val="00EB76DF"/>
    <w:rsid w:val="00EB7BA7"/>
    <w:rsid w:val="00EC003F"/>
    <w:rsid w:val="00EC1EB6"/>
    <w:rsid w:val="00EC1EE4"/>
    <w:rsid w:val="00EC2106"/>
    <w:rsid w:val="00EC52CE"/>
    <w:rsid w:val="00EC54C2"/>
    <w:rsid w:val="00EC572F"/>
    <w:rsid w:val="00EC5950"/>
    <w:rsid w:val="00EC633A"/>
    <w:rsid w:val="00EC67DA"/>
    <w:rsid w:val="00EC698F"/>
    <w:rsid w:val="00EC70E8"/>
    <w:rsid w:val="00ED04C2"/>
    <w:rsid w:val="00ED0870"/>
    <w:rsid w:val="00ED1D20"/>
    <w:rsid w:val="00ED1E3A"/>
    <w:rsid w:val="00ED20C0"/>
    <w:rsid w:val="00ED20CA"/>
    <w:rsid w:val="00ED3C8F"/>
    <w:rsid w:val="00ED45FD"/>
    <w:rsid w:val="00ED4B10"/>
    <w:rsid w:val="00ED5B37"/>
    <w:rsid w:val="00ED68E3"/>
    <w:rsid w:val="00ED68E9"/>
    <w:rsid w:val="00ED7141"/>
    <w:rsid w:val="00EE17F8"/>
    <w:rsid w:val="00EE263C"/>
    <w:rsid w:val="00EE2738"/>
    <w:rsid w:val="00EE47EC"/>
    <w:rsid w:val="00EE4DD1"/>
    <w:rsid w:val="00EE55AF"/>
    <w:rsid w:val="00EE56A5"/>
    <w:rsid w:val="00EE58D8"/>
    <w:rsid w:val="00EE6125"/>
    <w:rsid w:val="00EE6320"/>
    <w:rsid w:val="00EE6A67"/>
    <w:rsid w:val="00EE7063"/>
    <w:rsid w:val="00EE75E1"/>
    <w:rsid w:val="00EE772E"/>
    <w:rsid w:val="00EE7D82"/>
    <w:rsid w:val="00EE7E44"/>
    <w:rsid w:val="00EF12CE"/>
    <w:rsid w:val="00EF16CD"/>
    <w:rsid w:val="00EF2D22"/>
    <w:rsid w:val="00EF3BF0"/>
    <w:rsid w:val="00EF3C6D"/>
    <w:rsid w:val="00EF4E13"/>
    <w:rsid w:val="00EF5235"/>
    <w:rsid w:val="00EF574C"/>
    <w:rsid w:val="00EF6DC2"/>
    <w:rsid w:val="00EF74F3"/>
    <w:rsid w:val="00EF78C7"/>
    <w:rsid w:val="00EF7E0F"/>
    <w:rsid w:val="00F00C9A"/>
    <w:rsid w:val="00F0131E"/>
    <w:rsid w:val="00F02F08"/>
    <w:rsid w:val="00F0336F"/>
    <w:rsid w:val="00F03E58"/>
    <w:rsid w:val="00F04B36"/>
    <w:rsid w:val="00F04E6D"/>
    <w:rsid w:val="00F057B3"/>
    <w:rsid w:val="00F05DA1"/>
    <w:rsid w:val="00F05FC6"/>
    <w:rsid w:val="00F063FB"/>
    <w:rsid w:val="00F065E3"/>
    <w:rsid w:val="00F0786C"/>
    <w:rsid w:val="00F1020A"/>
    <w:rsid w:val="00F11340"/>
    <w:rsid w:val="00F113B9"/>
    <w:rsid w:val="00F113F6"/>
    <w:rsid w:val="00F11A99"/>
    <w:rsid w:val="00F11C4B"/>
    <w:rsid w:val="00F1257B"/>
    <w:rsid w:val="00F127B1"/>
    <w:rsid w:val="00F12EE2"/>
    <w:rsid w:val="00F1366F"/>
    <w:rsid w:val="00F1384F"/>
    <w:rsid w:val="00F142B0"/>
    <w:rsid w:val="00F147D9"/>
    <w:rsid w:val="00F14AEC"/>
    <w:rsid w:val="00F15586"/>
    <w:rsid w:val="00F15C90"/>
    <w:rsid w:val="00F166D7"/>
    <w:rsid w:val="00F1742A"/>
    <w:rsid w:val="00F17476"/>
    <w:rsid w:val="00F21B42"/>
    <w:rsid w:val="00F241E1"/>
    <w:rsid w:val="00F246C6"/>
    <w:rsid w:val="00F253A6"/>
    <w:rsid w:val="00F26620"/>
    <w:rsid w:val="00F26856"/>
    <w:rsid w:val="00F27320"/>
    <w:rsid w:val="00F276BB"/>
    <w:rsid w:val="00F2785A"/>
    <w:rsid w:val="00F30039"/>
    <w:rsid w:val="00F30CC4"/>
    <w:rsid w:val="00F30D6F"/>
    <w:rsid w:val="00F31C75"/>
    <w:rsid w:val="00F32936"/>
    <w:rsid w:val="00F33141"/>
    <w:rsid w:val="00F33239"/>
    <w:rsid w:val="00F33479"/>
    <w:rsid w:val="00F33B9E"/>
    <w:rsid w:val="00F340F7"/>
    <w:rsid w:val="00F34559"/>
    <w:rsid w:val="00F34F95"/>
    <w:rsid w:val="00F35B03"/>
    <w:rsid w:val="00F36A09"/>
    <w:rsid w:val="00F36D4D"/>
    <w:rsid w:val="00F37F44"/>
    <w:rsid w:val="00F413AA"/>
    <w:rsid w:val="00F41D7F"/>
    <w:rsid w:val="00F43EB6"/>
    <w:rsid w:val="00F454AA"/>
    <w:rsid w:val="00F4560E"/>
    <w:rsid w:val="00F4655E"/>
    <w:rsid w:val="00F47136"/>
    <w:rsid w:val="00F50E3F"/>
    <w:rsid w:val="00F513EB"/>
    <w:rsid w:val="00F52571"/>
    <w:rsid w:val="00F53612"/>
    <w:rsid w:val="00F5481D"/>
    <w:rsid w:val="00F55221"/>
    <w:rsid w:val="00F556EB"/>
    <w:rsid w:val="00F559FF"/>
    <w:rsid w:val="00F56838"/>
    <w:rsid w:val="00F572EB"/>
    <w:rsid w:val="00F575C1"/>
    <w:rsid w:val="00F579C2"/>
    <w:rsid w:val="00F57EB0"/>
    <w:rsid w:val="00F62A6C"/>
    <w:rsid w:val="00F63744"/>
    <w:rsid w:val="00F64188"/>
    <w:rsid w:val="00F66270"/>
    <w:rsid w:val="00F6660E"/>
    <w:rsid w:val="00F66C99"/>
    <w:rsid w:val="00F67548"/>
    <w:rsid w:val="00F677C8"/>
    <w:rsid w:val="00F67D11"/>
    <w:rsid w:val="00F70341"/>
    <w:rsid w:val="00F70C38"/>
    <w:rsid w:val="00F70DE5"/>
    <w:rsid w:val="00F70EC6"/>
    <w:rsid w:val="00F719C1"/>
    <w:rsid w:val="00F727DB"/>
    <w:rsid w:val="00F72E92"/>
    <w:rsid w:val="00F72EFE"/>
    <w:rsid w:val="00F72FF6"/>
    <w:rsid w:val="00F73208"/>
    <w:rsid w:val="00F7340B"/>
    <w:rsid w:val="00F74DA4"/>
    <w:rsid w:val="00F75EF4"/>
    <w:rsid w:val="00F75EFA"/>
    <w:rsid w:val="00F77F1C"/>
    <w:rsid w:val="00F81260"/>
    <w:rsid w:val="00F81C4E"/>
    <w:rsid w:val="00F831A9"/>
    <w:rsid w:val="00F8340B"/>
    <w:rsid w:val="00F83E4D"/>
    <w:rsid w:val="00F84DF0"/>
    <w:rsid w:val="00F84FBF"/>
    <w:rsid w:val="00F84FFF"/>
    <w:rsid w:val="00F8528F"/>
    <w:rsid w:val="00F864A5"/>
    <w:rsid w:val="00F86B42"/>
    <w:rsid w:val="00F86B70"/>
    <w:rsid w:val="00F875E9"/>
    <w:rsid w:val="00F90C11"/>
    <w:rsid w:val="00F90D96"/>
    <w:rsid w:val="00F91F7B"/>
    <w:rsid w:val="00F92756"/>
    <w:rsid w:val="00F93CE2"/>
    <w:rsid w:val="00F95506"/>
    <w:rsid w:val="00F9699E"/>
    <w:rsid w:val="00F97643"/>
    <w:rsid w:val="00F9768C"/>
    <w:rsid w:val="00F97768"/>
    <w:rsid w:val="00F97A36"/>
    <w:rsid w:val="00FA033F"/>
    <w:rsid w:val="00FA0AE6"/>
    <w:rsid w:val="00FA0DF1"/>
    <w:rsid w:val="00FA255C"/>
    <w:rsid w:val="00FA29E2"/>
    <w:rsid w:val="00FA44F3"/>
    <w:rsid w:val="00FA465F"/>
    <w:rsid w:val="00FA5161"/>
    <w:rsid w:val="00FA53AD"/>
    <w:rsid w:val="00FA5E10"/>
    <w:rsid w:val="00FA5E50"/>
    <w:rsid w:val="00FA6448"/>
    <w:rsid w:val="00FA6E89"/>
    <w:rsid w:val="00FA75C6"/>
    <w:rsid w:val="00FB04D6"/>
    <w:rsid w:val="00FB1870"/>
    <w:rsid w:val="00FB1895"/>
    <w:rsid w:val="00FB192A"/>
    <w:rsid w:val="00FB1FBF"/>
    <w:rsid w:val="00FB381A"/>
    <w:rsid w:val="00FB3E57"/>
    <w:rsid w:val="00FB42E3"/>
    <w:rsid w:val="00FB4FCA"/>
    <w:rsid w:val="00FB555F"/>
    <w:rsid w:val="00FB5615"/>
    <w:rsid w:val="00FB5983"/>
    <w:rsid w:val="00FB5FA0"/>
    <w:rsid w:val="00FB6353"/>
    <w:rsid w:val="00FB67C3"/>
    <w:rsid w:val="00FB76F3"/>
    <w:rsid w:val="00FB7AAC"/>
    <w:rsid w:val="00FB7B27"/>
    <w:rsid w:val="00FB7E77"/>
    <w:rsid w:val="00FB7E8D"/>
    <w:rsid w:val="00FC07F1"/>
    <w:rsid w:val="00FC10D1"/>
    <w:rsid w:val="00FC17FD"/>
    <w:rsid w:val="00FC1D40"/>
    <w:rsid w:val="00FC1DD2"/>
    <w:rsid w:val="00FC21F7"/>
    <w:rsid w:val="00FC253A"/>
    <w:rsid w:val="00FC2823"/>
    <w:rsid w:val="00FC3073"/>
    <w:rsid w:val="00FC40B7"/>
    <w:rsid w:val="00FC4FE0"/>
    <w:rsid w:val="00FC5EC2"/>
    <w:rsid w:val="00FC5FF2"/>
    <w:rsid w:val="00FD1DC4"/>
    <w:rsid w:val="00FD25AE"/>
    <w:rsid w:val="00FD4526"/>
    <w:rsid w:val="00FD5A41"/>
    <w:rsid w:val="00FD7506"/>
    <w:rsid w:val="00FD78A2"/>
    <w:rsid w:val="00FD7A0B"/>
    <w:rsid w:val="00FE0B38"/>
    <w:rsid w:val="00FE1803"/>
    <w:rsid w:val="00FE269A"/>
    <w:rsid w:val="00FE2E07"/>
    <w:rsid w:val="00FE2F50"/>
    <w:rsid w:val="00FE3016"/>
    <w:rsid w:val="00FE3366"/>
    <w:rsid w:val="00FE36D7"/>
    <w:rsid w:val="00FE4000"/>
    <w:rsid w:val="00FE4DE4"/>
    <w:rsid w:val="00FE5020"/>
    <w:rsid w:val="00FE5B8A"/>
    <w:rsid w:val="00FE6357"/>
    <w:rsid w:val="00FE6FEC"/>
    <w:rsid w:val="00FE7489"/>
    <w:rsid w:val="00FE7572"/>
    <w:rsid w:val="00FE7661"/>
    <w:rsid w:val="00FF0629"/>
    <w:rsid w:val="00FF0784"/>
    <w:rsid w:val="00FF08CD"/>
    <w:rsid w:val="00FF0FEE"/>
    <w:rsid w:val="00FF10CF"/>
    <w:rsid w:val="00FF236B"/>
    <w:rsid w:val="00FF2436"/>
    <w:rsid w:val="00FF3054"/>
    <w:rsid w:val="00FF3BC6"/>
    <w:rsid w:val="00FF3C8D"/>
    <w:rsid w:val="00FF3CA4"/>
    <w:rsid w:val="00FF53B4"/>
    <w:rsid w:val="00FF55E7"/>
    <w:rsid w:val="00FF6EB0"/>
    <w:rsid w:val="00FF722D"/>
    <w:rsid w:val="00FF7AA9"/>
    <w:rsid w:val="00FF7DF8"/>
    <w:rsid w:val="010E7CB2"/>
    <w:rsid w:val="01173927"/>
    <w:rsid w:val="01186EE0"/>
    <w:rsid w:val="01477F85"/>
    <w:rsid w:val="014B45D5"/>
    <w:rsid w:val="014D2132"/>
    <w:rsid w:val="0156588F"/>
    <w:rsid w:val="018D302D"/>
    <w:rsid w:val="01921F5F"/>
    <w:rsid w:val="01C90203"/>
    <w:rsid w:val="01D72237"/>
    <w:rsid w:val="01DC4AE3"/>
    <w:rsid w:val="01E55C4D"/>
    <w:rsid w:val="01E9190B"/>
    <w:rsid w:val="01F53F09"/>
    <w:rsid w:val="01F8047B"/>
    <w:rsid w:val="02093578"/>
    <w:rsid w:val="020F3DE1"/>
    <w:rsid w:val="021426BF"/>
    <w:rsid w:val="021A59E8"/>
    <w:rsid w:val="021C1F77"/>
    <w:rsid w:val="02272253"/>
    <w:rsid w:val="02301F51"/>
    <w:rsid w:val="02751611"/>
    <w:rsid w:val="02760D46"/>
    <w:rsid w:val="027C505A"/>
    <w:rsid w:val="02805E07"/>
    <w:rsid w:val="028637E4"/>
    <w:rsid w:val="02AE7247"/>
    <w:rsid w:val="02C32DE7"/>
    <w:rsid w:val="02D66B12"/>
    <w:rsid w:val="02D826BF"/>
    <w:rsid w:val="02F72039"/>
    <w:rsid w:val="0314369E"/>
    <w:rsid w:val="033F37F5"/>
    <w:rsid w:val="034A3A2A"/>
    <w:rsid w:val="037914B9"/>
    <w:rsid w:val="037C0C14"/>
    <w:rsid w:val="03CE255B"/>
    <w:rsid w:val="03E72E29"/>
    <w:rsid w:val="03F7382B"/>
    <w:rsid w:val="04096F16"/>
    <w:rsid w:val="04706187"/>
    <w:rsid w:val="0475602F"/>
    <w:rsid w:val="049B2A33"/>
    <w:rsid w:val="04A54D69"/>
    <w:rsid w:val="04CC7837"/>
    <w:rsid w:val="04EC00DD"/>
    <w:rsid w:val="051720BB"/>
    <w:rsid w:val="051D4F39"/>
    <w:rsid w:val="052F496B"/>
    <w:rsid w:val="05327CC2"/>
    <w:rsid w:val="05417406"/>
    <w:rsid w:val="054951CF"/>
    <w:rsid w:val="055814C7"/>
    <w:rsid w:val="056D2B70"/>
    <w:rsid w:val="058225C8"/>
    <w:rsid w:val="05A45934"/>
    <w:rsid w:val="05AB7BCE"/>
    <w:rsid w:val="05B52452"/>
    <w:rsid w:val="05BF4CC7"/>
    <w:rsid w:val="05EE6BEB"/>
    <w:rsid w:val="064B5F70"/>
    <w:rsid w:val="065211D8"/>
    <w:rsid w:val="065F40F7"/>
    <w:rsid w:val="067E55C6"/>
    <w:rsid w:val="0694561B"/>
    <w:rsid w:val="06955BC4"/>
    <w:rsid w:val="06B63468"/>
    <w:rsid w:val="06C741D2"/>
    <w:rsid w:val="06D67037"/>
    <w:rsid w:val="06DB5753"/>
    <w:rsid w:val="06DD10CB"/>
    <w:rsid w:val="06DE7B2C"/>
    <w:rsid w:val="06E07714"/>
    <w:rsid w:val="070209EF"/>
    <w:rsid w:val="07046848"/>
    <w:rsid w:val="070B22D7"/>
    <w:rsid w:val="0723358C"/>
    <w:rsid w:val="07351192"/>
    <w:rsid w:val="0739340A"/>
    <w:rsid w:val="0744074D"/>
    <w:rsid w:val="074E2693"/>
    <w:rsid w:val="076707F4"/>
    <w:rsid w:val="076F159E"/>
    <w:rsid w:val="07A70E73"/>
    <w:rsid w:val="07AC6446"/>
    <w:rsid w:val="07CD6362"/>
    <w:rsid w:val="07CE70CD"/>
    <w:rsid w:val="07D0440A"/>
    <w:rsid w:val="07DB3AA8"/>
    <w:rsid w:val="08077EBD"/>
    <w:rsid w:val="081849CF"/>
    <w:rsid w:val="08382B48"/>
    <w:rsid w:val="08516094"/>
    <w:rsid w:val="086F67D0"/>
    <w:rsid w:val="0870444A"/>
    <w:rsid w:val="08715EFB"/>
    <w:rsid w:val="08892A55"/>
    <w:rsid w:val="08B74F9A"/>
    <w:rsid w:val="08B77F3D"/>
    <w:rsid w:val="08C14C12"/>
    <w:rsid w:val="08F44059"/>
    <w:rsid w:val="08FA05C3"/>
    <w:rsid w:val="08FB1A2C"/>
    <w:rsid w:val="090A5CF7"/>
    <w:rsid w:val="09187FB1"/>
    <w:rsid w:val="091A18C6"/>
    <w:rsid w:val="093D7A96"/>
    <w:rsid w:val="095447E6"/>
    <w:rsid w:val="096C49AA"/>
    <w:rsid w:val="09734E5C"/>
    <w:rsid w:val="097749FE"/>
    <w:rsid w:val="0987438F"/>
    <w:rsid w:val="09886F32"/>
    <w:rsid w:val="09A709F2"/>
    <w:rsid w:val="09AA4F21"/>
    <w:rsid w:val="09AF0F01"/>
    <w:rsid w:val="09C57079"/>
    <w:rsid w:val="09C95807"/>
    <w:rsid w:val="09CE663A"/>
    <w:rsid w:val="09F80D9E"/>
    <w:rsid w:val="0A4B3D2A"/>
    <w:rsid w:val="0A7E7E19"/>
    <w:rsid w:val="0AB640BC"/>
    <w:rsid w:val="0ABA0A91"/>
    <w:rsid w:val="0AE63C1F"/>
    <w:rsid w:val="0AF86075"/>
    <w:rsid w:val="0B030A3D"/>
    <w:rsid w:val="0B052E61"/>
    <w:rsid w:val="0B4F49B0"/>
    <w:rsid w:val="0B51004B"/>
    <w:rsid w:val="0B600381"/>
    <w:rsid w:val="0B7428D3"/>
    <w:rsid w:val="0B8231B8"/>
    <w:rsid w:val="0B894C47"/>
    <w:rsid w:val="0B8E13A1"/>
    <w:rsid w:val="0B9A360A"/>
    <w:rsid w:val="0BAE27C8"/>
    <w:rsid w:val="0BD20447"/>
    <w:rsid w:val="0BE6621E"/>
    <w:rsid w:val="0BF24F0C"/>
    <w:rsid w:val="0C114F65"/>
    <w:rsid w:val="0C21219A"/>
    <w:rsid w:val="0C23315A"/>
    <w:rsid w:val="0C3151EC"/>
    <w:rsid w:val="0C683CB0"/>
    <w:rsid w:val="0C7F56B2"/>
    <w:rsid w:val="0C931084"/>
    <w:rsid w:val="0C934518"/>
    <w:rsid w:val="0C9A400C"/>
    <w:rsid w:val="0CA63853"/>
    <w:rsid w:val="0CF84802"/>
    <w:rsid w:val="0D1D5DF0"/>
    <w:rsid w:val="0D2272F5"/>
    <w:rsid w:val="0D444143"/>
    <w:rsid w:val="0D464E7E"/>
    <w:rsid w:val="0D5078C6"/>
    <w:rsid w:val="0D6E1886"/>
    <w:rsid w:val="0D762892"/>
    <w:rsid w:val="0DAB584D"/>
    <w:rsid w:val="0DAF7F33"/>
    <w:rsid w:val="0DB2269B"/>
    <w:rsid w:val="0DDF3CE9"/>
    <w:rsid w:val="0DF96285"/>
    <w:rsid w:val="0E17476C"/>
    <w:rsid w:val="0E23030D"/>
    <w:rsid w:val="0E3C023F"/>
    <w:rsid w:val="0E491140"/>
    <w:rsid w:val="0E6511E2"/>
    <w:rsid w:val="0E7C0E21"/>
    <w:rsid w:val="0E855529"/>
    <w:rsid w:val="0EA12414"/>
    <w:rsid w:val="0EA66735"/>
    <w:rsid w:val="0ECA5BBA"/>
    <w:rsid w:val="0EED643B"/>
    <w:rsid w:val="0EF057C0"/>
    <w:rsid w:val="0EFE3542"/>
    <w:rsid w:val="0F1133CD"/>
    <w:rsid w:val="0F117A2D"/>
    <w:rsid w:val="0F18395F"/>
    <w:rsid w:val="0F1B7513"/>
    <w:rsid w:val="0F1D7781"/>
    <w:rsid w:val="0F2E4BCA"/>
    <w:rsid w:val="0F4776F0"/>
    <w:rsid w:val="0F4D12EF"/>
    <w:rsid w:val="0F7A64FB"/>
    <w:rsid w:val="0F817039"/>
    <w:rsid w:val="0F9E497F"/>
    <w:rsid w:val="0FC97E13"/>
    <w:rsid w:val="0FCC313A"/>
    <w:rsid w:val="0FDA72B4"/>
    <w:rsid w:val="0FF2662E"/>
    <w:rsid w:val="10195214"/>
    <w:rsid w:val="10241C0C"/>
    <w:rsid w:val="10390FF2"/>
    <w:rsid w:val="104B5AEC"/>
    <w:rsid w:val="10546F42"/>
    <w:rsid w:val="105F1628"/>
    <w:rsid w:val="1067759F"/>
    <w:rsid w:val="10802423"/>
    <w:rsid w:val="108D5304"/>
    <w:rsid w:val="10991C7D"/>
    <w:rsid w:val="109E2043"/>
    <w:rsid w:val="10A32B8F"/>
    <w:rsid w:val="10B91C56"/>
    <w:rsid w:val="10F02F86"/>
    <w:rsid w:val="10FB039C"/>
    <w:rsid w:val="10FC7CF6"/>
    <w:rsid w:val="111067A3"/>
    <w:rsid w:val="114B07BA"/>
    <w:rsid w:val="116A2DBB"/>
    <w:rsid w:val="116D1C54"/>
    <w:rsid w:val="119F7380"/>
    <w:rsid w:val="11A86CC1"/>
    <w:rsid w:val="11AF041F"/>
    <w:rsid w:val="11B2109B"/>
    <w:rsid w:val="11CD4E80"/>
    <w:rsid w:val="11CE4D21"/>
    <w:rsid w:val="11D56425"/>
    <w:rsid w:val="11EA4A85"/>
    <w:rsid w:val="11FE0C09"/>
    <w:rsid w:val="120466BB"/>
    <w:rsid w:val="12080576"/>
    <w:rsid w:val="12100E9B"/>
    <w:rsid w:val="123466C3"/>
    <w:rsid w:val="124B20F7"/>
    <w:rsid w:val="125321F6"/>
    <w:rsid w:val="125E1777"/>
    <w:rsid w:val="126E4F14"/>
    <w:rsid w:val="12944ED1"/>
    <w:rsid w:val="12E8106A"/>
    <w:rsid w:val="130C4F9C"/>
    <w:rsid w:val="131A452B"/>
    <w:rsid w:val="133B73D9"/>
    <w:rsid w:val="13423B36"/>
    <w:rsid w:val="13473FBB"/>
    <w:rsid w:val="13685C41"/>
    <w:rsid w:val="136C227C"/>
    <w:rsid w:val="137407FF"/>
    <w:rsid w:val="13846003"/>
    <w:rsid w:val="13A3623B"/>
    <w:rsid w:val="13F72882"/>
    <w:rsid w:val="14056398"/>
    <w:rsid w:val="142F5B9C"/>
    <w:rsid w:val="143819A7"/>
    <w:rsid w:val="143A6968"/>
    <w:rsid w:val="14873BCA"/>
    <w:rsid w:val="14AB1FAB"/>
    <w:rsid w:val="14B0732E"/>
    <w:rsid w:val="14C845DC"/>
    <w:rsid w:val="14C9737C"/>
    <w:rsid w:val="14CE3610"/>
    <w:rsid w:val="14D161A6"/>
    <w:rsid w:val="14E55DF4"/>
    <w:rsid w:val="14E9084B"/>
    <w:rsid w:val="14F44D4D"/>
    <w:rsid w:val="15066FBB"/>
    <w:rsid w:val="150E3A45"/>
    <w:rsid w:val="151461CD"/>
    <w:rsid w:val="152A5FC4"/>
    <w:rsid w:val="15393395"/>
    <w:rsid w:val="154E4D06"/>
    <w:rsid w:val="155D0E9C"/>
    <w:rsid w:val="155D6A48"/>
    <w:rsid w:val="1563302E"/>
    <w:rsid w:val="156B552F"/>
    <w:rsid w:val="156F3EDE"/>
    <w:rsid w:val="157035C4"/>
    <w:rsid w:val="15792FAD"/>
    <w:rsid w:val="1579348D"/>
    <w:rsid w:val="158C101A"/>
    <w:rsid w:val="158E5AA6"/>
    <w:rsid w:val="15CC1D3C"/>
    <w:rsid w:val="15CD4A10"/>
    <w:rsid w:val="15DD3C65"/>
    <w:rsid w:val="15E0341B"/>
    <w:rsid w:val="15EB1078"/>
    <w:rsid w:val="15F46154"/>
    <w:rsid w:val="15F836DD"/>
    <w:rsid w:val="161260ED"/>
    <w:rsid w:val="162503BF"/>
    <w:rsid w:val="163A66AA"/>
    <w:rsid w:val="16404DF4"/>
    <w:rsid w:val="16815E63"/>
    <w:rsid w:val="16821154"/>
    <w:rsid w:val="168F4901"/>
    <w:rsid w:val="169975A6"/>
    <w:rsid w:val="16A4616E"/>
    <w:rsid w:val="16AD3658"/>
    <w:rsid w:val="16B67C4C"/>
    <w:rsid w:val="16E169DB"/>
    <w:rsid w:val="16F057EB"/>
    <w:rsid w:val="16F33E93"/>
    <w:rsid w:val="16FF6179"/>
    <w:rsid w:val="170157C6"/>
    <w:rsid w:val="17016BF4"/>
    <w:rsid w:val="1708409D"/>
    <w:rsid w:val="17440168"/>
    <w:rsid w:val="17455BB5"/>
    <w:rsid w:val="175E7731"/>
    <w:rsid w:val="17A07731"/>
    <w:rsid w:val="17A223FA"/>
    <w:rsid w:val="17A70AF8"/>
    <w:rsid w:val="17DA5D59"/>
    <w:rsid w:val="17DC7EC5"/>
    <w:rsid w:val="17EB6DD2"/>
    <w:rsid w:val="17FE2898"/>
    <w:rsid w:val="18033966"/>
    <w:rsid w:val="18041300"/>
    <w:rsid w:val="1817419B"/>
    <w:rsid w:val="18216547"/>
    <w:rsid w:val="184D063E"/>
    <w:rsid w:val="184F1B8C"/>
    <w:rsid w:val="185A77DF"/>
    <w:rsid w:val="186965AD"/>
    <w:rsid w:val="188031AC"/>
    <w:rsid w:val="18890CFB"/>
    <w:rsid w:val="188A7FF7"/>
    <w:rsid w:val="18A0028F"/>
    <w:rsid w:val="18B92470"/>
    <w:rsid w:val="18D47664"/>
    <w:rsid w:val="193C73B9"/>
    <w:rsid w:val="19401DB6"/>
    <w:rsid w:val="19457DA5"/>
    <w:rsid w:val="1949286F"/>
    <w:rsid w:val="194C2D8B"/>
    <w:rsid w:val="195239EA"/>
    <w:rsid w:val="195951A5"/>
    <w:rsid w:val="195A6F6D"/>
    <w:rsid w:val="195D3DD4"/>
    <w:rsid w:val="19644EBC"/>
    <w:rsid w:val="19774DB4"/>
    <w:rsid w:val="19A13A93"/>
    <w:rsid w:val="19CD7374"/>
    <w:rsid w:val="19DD5B47"/>
    <w:rsid w:val="19E9734A"/>
    <w:rsid w:val="19EA72DB"/>
    <w:rsid w:val="19F836DF"/>
    <w:rsid w:val="1A0314E0"/>
    <w:rsid w:val="1A1B5534"/>
    <w:rsid w:val="1A2E6F4E"/>
    <w:rsid w:val="1A4B47AB"/>
    <w:rsid w:val="1A6E1981"/>
    <w:rsid w:val="1AB379A7"/>
    <w:rsid w:val="1AB9355E"/>
    <w:rsid w:val="1AD323FF"/>
    <w:rsid w:val="1B341997"/>
    <w:rsid w:val="1B3A2B72"/>
    <w:rsid w:val="1B897946"/>
    <w:rsid w:val="1B944A71"/>
    <w:rsid w:val="1B960DF5"/>
    <w:rsid w:val="1B9C6B2E"/>
    <w:rsid w:val="1BB95CF8"/>
    <w:rsid w:val="1BDF2F7A"/>
    <w:rsid w:val="1BE34A28"/>
    <w:rsid w:val="1C1E45E6"/>
    <w:rsid w:val="1C3E73DF"/>
    <w:rsid w:val="1C474796"/>
    <w:rsid w:val="1C4F5804"/>
    <w:rsid w:val="1C5153D0"/>
    <w:rsid w:val="1C8079C2"/>
    <w:rsid w:val="1C957F9A"/>
    <w:rsid w:val="1CBF2F8A"/>
    <w:rsid w:val="1CC310FD"/>
    <w:rsid w:val="1CC43527"/>
    <w:rsid w:val="1CC663CA"/>
    <w:rsid w:val="1CDD54F1"/>
    <w:rsid w:val="1CDF4179"/>
    <w:rsid w:val="1CEA6179"/>
    <w:rsid w:val="1D145784"/>
    <w:rsid w:val="1D2E24D4"/>
    <w:rsid w:val="1D353582"/>
    <w:rsid w:val="1D602559"/>
    <w:rsid w:val="1D743D82"/>
    <w:rsid w:val="1D7F1339"/>
    <w:rsid w:val="1D8C27BF"/>
    <w:rsid w:val="1D8F232C"/>
    <w:rsid w:val="1DB14575"/>
    <w:rsid w:val="1DB5122A"/>
    <w:rsid w:val="1E063EB7"/>
    <w:rsid w:val="1E207622"/>
    <w:rsid w:val="1E532C5C"/>
    <w:rsid w:val="1E614A6B"/>
    <w:rsid w:val="1E836C9D"/>
    <w:rsid w:val="1EA56765"/>
    <w:rsid w:val="1EB26E78"/>
    <w:rsid w:val="1ECE4764"/>
    <w:rsid w:val="1EF37650"/>
    <w:rsid w:val="1F000357"/>
    <w:rsid w:val="1F2E2DA4"/>
    <w:rsid w:val="1F3C0740"/>
    <w:rsid w:val="1F7C6931"/>
    <w:rsid w:val="1F8014F5"/>
    <w:rsid w:val="1FB83F4E"/>
    <w:rsid w:val="1FBC483C"/>
    <w:rsid w:val="1FD07889"/>
    <w:rsid w:val="1FD81358"/>
    <w:rsid w:val="1FE55E38"/>
    <w:rsid w:val="20074E3C"/>
    <w:rsid w:val="200A763A"/>
    <w:rsid w:val="20174528"/>
    <w:rsid w:val="20200BDC"/>
    <w:rsid w:val="20635342"/>
    <w:rsid w:val="20636735"/>
    <w:rsid w:val="207C25EB"/>
    <w:rsid w:val="208B3C08"/>
    <w:rsid w:val="2099142C"/>
    <w:rsid w:val="20C9481A"/>
    <w:rsid w:val="20CF7058"/>
    <w:rsid w:val="20DD3AAF"/>
    <w:rsid w:val="20DF1035"/>
    <w:rsid w:val="20F21028"/>
    <w:rsid w:val="20FD68D7"/>
    <w:rsid w:val="2112271A"/>
    <w:rsid w:val="212622E4"/>
    <w:rsid w:val="21744EE0"/>
    <w:rsid w:val="218D6188"/>
    <w:rsid w:val="21A97AAF"/>
    <w:rsid w:val="21B80CFD"/>
    <w:rsid w:val="21C428B0"/>
    <w:rsid w:val="21C446C6"/>
    <w:rsid w:val="222F6145"/>
    <w:rsid w:val="22475C25"/>
    <w:rsid w:val="22735D16"/>
    <w:rsid w:val="22753EEE"/>
    <w:rsid w:val="229B0E62"/>
    <w:rsid w:val="22A24256"/>
    <w:rsid w:val="22CA6523"/>
    <w:rsid w:val="22E040C2"/>
    <w:rsid w:val="22FE0556"/>
    <w:rsid w:val="231801F8"/>
    <w:rsid w:val="231C311E"/>
    <w:rsid w:val="232F5220"/>
    <w:rsid w:val="232F7513"/>
    <w:rsid w:val="23417E59"/>
    <w:rsid w:val="23517945"/>
    <w:rsid w:val="23783186"/>
    <w:rsid w:val="23BD6A15"/>
    <w:rsid w:val="23E55603"/>
    <w:rsid w:val="23EB6FC7"/>
    <w:rsid w:val="23F82C82"/>
    <w:rsid w:val="240C6A2D"/>
    <w:rsid w:val="241E54EA"/>
    <w:rsid w:val="24283B01"/>
    <w:rsid w:val="242D5BF9"/>
    <w:rsid w:val="246C2C70"/>
    <w:rsid w:val="24772F48"/>
    <w:rsid w:val="248767EA"/>
    <w:rsid w:val="249466CE"/>
    <w:rsid w:val="249474A4"/>
    <w:rsid w:val="24BC67F2"/>
    <w:rsid w:val="24C94503"/>
    <w:rsid w:val="24CD0E0F"/>
    <w:rsid w:val="24D0540D"/>
    <w:rsid w:val="25000992"/>
    <w:rsid w:val="251C75C4"/>
    <w:rsid w:val="251E04A8"/>
    <w:rsid w:val="25556271"/>
    <w:rsid w:val="255D4D9B"/>
    <w:rsid w:val="25611A74"/>
    <w:rsid w:val="258867C7"/>
    <w:rsid w:val="25941D1E"/>
    <w:rsid w:val="259C406E"/>
    <w:rsid w:val="25B47F31"/>
    <w:rsid w:val="25CC66CC"/>
    <w:rsid w:val="25E448CC"/>
    <w:rsid w:val="25F053EE"/>
    <w:rsid w:val="25FD7499"/>
    <w:rsid w:val="264A761E"/>
    <w:rsid w:val="265013B5"/>
    <w:rsid w:val="26512776"/>
    <w:rsid w:val="26583AC3"/>
    <w:rsid w:val="268E4FB3"/>
    <w:rsid w:val="26977E9A"/>
    <w:rsid w:val="269E3FF4"/>
    <w:rsid w:val="26D7515E"/>
    <w:rsid w:val="26DE10C2"/>
    <w:rsid w:val="26F15E9F"/>
    <w:rsid w:val="26F70A96"/>
    <w:rsid w:val="27047627"/>
    <w:rsid w:val="277046AF"/>
    <w:rsid w:val="27726817"/>
    <w:rsid w:val="27D65468"/>
    <w:rsid w:val="27DB38BB"/>
    <w:rsid w:val="27E57894"/>
    <w:rsid w:val="27EB0757"/>
    <w:rsid w:val="27F136CE"/>
    <w:rsid w:val="27F319F2"/>
    <w:rsid w:val="28024267"/>
    <w:rsid w:val="28083B63"/>
    <w:rsid w:val="281838BD"/>
    <w:rsid w:val="28187F28"/>
    <w:rsid w:val="281B6E5E"/>
    <w:rsid w:val="282C0494"/>
    <w:rsid w:val="282C2143"/>
    <w:rsid w:val="28807C8D"/>
    <w:rsid w:val="28930580"/>
    <w:rsid w:val="28957F12"/>
    <w:rsid w:val="28AA7B1A"/>
    <w:rsid w:val="28BE0C25"/>
    <w:rsid w:val="28DF6464"/>
    <w:rsid w:val="28E4299E"/>
    <w:rsid w:val="28F42E33"/>
    <w:rsid w:val="290C71C7"/>
    <w:rsid w:val="29205506"/>
    <w:rsid w:val="2921353E"/>
    <w:rsid w:val="29261666"/>
    <w:rsid w:val="29261ECF"/>
    <w:rsid w:val="29317006"/>
    <w:rsid w:val="29454248"/>
    <w:rsid w:val="29655F24"/>
    <w:rsid w:val="296C5CDA"/>
    <w:rsid w:val="297C00A8"/>
    <w:rsid w:val="297D7EA3"/>
    <w:rsid w:val="29951112"/>
    <w:rsid w:val="29BC4067"/>
    <w:rsid w:val="29CD6C23"/>
    <w:rsid w:val="29DC01DE"/>
    <w:rsid w:val="29E17F4B"/>
    <w:rsid w:val="2A097732"/>
    <w:rsid w:val="2A53423F"/>
    <w:rsid w:val="2A664C45"/>
    <w:rsid w:val="2A774B80"/>
    <w:rsid w:val="2A811F2E"/>
    <w:rsid w:val="2AA24B0B"/>
    <w:rsid w:val="2AAB34CA"/>
    <w:rsid w:val="2ABA6E0F"/>
    <w:rsid w:val="2AD41D03"/>
    <w:rsid w:val="2AE27CED"/>
    <w:rsid w:val="2AF40420"/>
    <w:rsid w:val="2AF54483"/>
    <w:rsid w:val="2B0B1CFA"/>
    <w:rsid w:val="2B2C681D"/>
    <w:rsid w:val="2B2F2356"/>
    <w:rsid w:val="2B431F07"/>
    <w:rsid w:val="2B5B1CE4"/>
    <w:rsid w:val="2B966978"/>
    <w:rsid w:val="2BC74847"/>
    <w:rsid w:val="2BCF5135"/>
    <w:rsid w:val="2BD05B25"/>
    <w:rsid w:val="2BD65786"/>
    <w:rsid w:val="2BE8387F"/>
    <w:rsid w:val="2BFD3963"/>
    <w:rsid w:val="2C0D5940"/>
    <w:rsid w:val="2C422C87"/>
    <w:rsid w:val="2C56575E"/>
    <w:rsid w:val="2C5F515C"/>
    <w:rsid w:val="2C9C0D82"/>
    <w:rsid w:val="2CA37294"/>
    <w:rsid w:val="2CA854DE"/>
    <w:rsid w:val="2CBD0365"/>
    <w:rsid w:val="2D033399"/>
    <w:rsid w:val="2D034F7E"/>
    <w:rsid w:val="2D16715F"/>
    <w:rsid w:val="2D4655D2"/>
    <w:rsid w:val="2D5D0DC0"/>
    <w:rsid w:val="2DA921DC"/>
    <w:rsid w:val="2DB35529"/>
    <w:rsid w:val="2DB8153A"/>
    <w:rsid w:val="2DBA2870"/>
    <w:rsid w:val="2DC42B45"/>
    <w:rsid w:val="2DC80671"/>
    <w:rsid w:val="2DD620E4"/>
    <w:rsid w:val="2DEE0929"/>
    <w:rsid w:val="2DF11CB5"/>
    <w:rsid w:val="2DF65F93"/>
    <w:rsid w:val="2DF81A42"/>
    <w:rsid w:val="2E2C0D91"/>
    <w:rsid w:val="2E3805A0"/>
    <w:rsid w:val="2E4317D7"/>
    <w:rsid w:val="2E4F051D"/>
    <w:rsid w:val="2E530E02"/>
    <w:rsid w:val="2EA2414A"/>
    <w:rsid w:val="2EA53D99"/>
    <w:rsid w:val="2EA9352A"/>
    <w:rsid w:val="2EAC56FD"/>
    <w:rsid w:val="2EC93159"/>
    <w:rsid w:val="2EED758A"/>
    <w:rsid w:val="2EEF4B31"/>
    <w:rsid w:val="2EF713D4"/>
    <w:rsid w:val="2F1C3354"/>
    <w:rsid w:val="2F1E7B00"/>
    <w:rsid w:val="2F220327"/>
    <w:rsid w:val="2F5A418B"/>
    <w:rsid w:val="2F7E7CCF"/>
    <w:rsid w:val="2F9D5BBC"/>
    <w:rsid w:val="2FC349E5"/>
    <w:rsid w:val="2FCE0333"/>
    <w:rsid w:val="2FEB22CB"/>
    <w:rsid w:val="30470D9D"/>
    <w:rsid w:val="306F6758"/>
    <w:rsid w:val="30716A0B"/>
    <w:rsid w:val="30753CDF"/>
    <w:rsid w:val="30795BA8"/>
    <w:rsid w:val="30A74B30"/>
    <w:rsid w:val="30AC70E6"/>
    <w:rsid w:val="30AE4C50"/>
    <w:rsid w:val="30B16395"/>
    <w:rsid w:val="30B353F9"/>
    <w:rsid w:val="30D435A6"/>
    <w:rsid w:val="30EA2FE9"/>
    <w:rsid w:val="30F00079"/>
    <w:rsid w:val="31004A6D"/>
    <w:rsid w:val="3128394C"/>
    <w:rsid w:val="313351D7"/>
    <w:rsid w:val="315036B7"/>
    <w:rsid w:val="315F2933"/>
    <w:rsid w:val="31935275"/>
    <w:rsid w:val="31B757A2"/>
    <w:rsid w:val="31B92CDE"/>
    <w:rsid w:val="31C52D3B"/>
    <w:rsid w:val="31E91804"/>
    <w:rsid w:val="31F6255B"/>
    <w:rsid w:val="320A6034"/>
    <w:rsid w:val="321B459A"/>
    <w:rsid w:val="321E42AE"/>
    <w:rsid w:val="323257BF"/>
    <w:rsid w:val="323D52E1"/>
    <w:rsid w:val="324B388C"/>
    <w:rsid w:val="325D59D1"/>
    <w:rsid w:val="32607DFB"/>
    <w:rsid w:val="32665757"/>
    <w:rsid w:val="326E5F28"/>
    <w:rsid w:val="32747A8D"/>
    <w:rsid w:val="32826E17"/>
    <w:rsid w:val="32AC3FF9"/>
    <w:rsid w:val="32B33A76"/>
    <w:rsid w:val="32BA6D4A"/>
    <w:rsid w:val="32C55D97"/>
    <w:rsid w:val="32DA3F1D"/>
    <w:rsid w:val="32FA53AB"/>
    <w:rsid w:val="335D2AFB"/>
    <w:rsid w:val="335F12E5"/>
    <w:rsid w:val="3388262E"/>
    <w:rsid w:val="339D3708"/>
    <w:rsid w:val="33A7564A"/>
    <w:rsid w:val="33A94094"/>
    <w:rsid w:val="33E43269"/>
    <w:rsid w:val="33E76239"/>
    <w:rsid w:val="33EC4DF5"/>
    <w:rsid w:val="340A622D"/>
    <w:rsid w:val="34144608"/>
    <w:rsid w:val="341A4AEB"/>
    <w:rsid w:val="34232E1D"/>
    <w:rsid w:val="342433D9"/>
    <w:rsid w:val="3445795D"/>
    <w:rsid w:val="345325A5"/>
    <w:rsid w:val="345E4145"/>
    <w:rsid w:val="347A75F4"/>
    <w:rsid w:val="348E0BA6"/>
    <w:rsid w:val="34973AF1"/>
    <w:rsid w:val="34986E92"/>
    <w:rsid w:val="349B76F1"/>
    <w:rsid w:val="34A06585"/>
    <w:rsid w:val="34B5377C"/>
    <w:rsid w:val="34BC4298"/>
    <w:rsid w:val="34CA7894"/>
    <w:rsid w:val="34D43639"/>
    <w:rsid w:val="3504314B"/>
    <w:rsid w:val="352648DB"/>
    <w:rsid w:val="352936D1"/>
    <w:rsid w:val="35381660"/>
    <w:rsid w:val="353D2A57"/>
    <w:rsid w:val="3552051B"/>
    <w:rsid w:val="3554339E"/>
    <w:rsid w:val="357E2495"/>
    <w:rsid w:val="35805D3B"/>
    <w:rsid w:val="358C724F"/>
    <w:rsid w:val="35A328B2"/>
    <w:rsid w:val="35CE500E"/>
    <w:rsid w:val="361E20DA"/>
    <w:rsid w:val="362000C4"/>
    <w:rsid w:val="3631779A"/>
    <w:rsid w:val="36353F56"/>
    <w:rsid w:val="3637214A"/>
    <w:rsid w:val="36376950"/>
    <w:rsid w:val="367A6670"/>
    <w:rsid w:val="367A686C"/>
    <w:rsid w:val="36C64619"/>
    <w:rsid w:val="36CA76BF"/>
    <w:rsid w:val="36F30B27"/>
    <w:rsid w:val="37467DE2"/>
    <w:rsid w:val="374E19C3"/>
    <w:rsid w:val="378527A1"/>
    <w:rsid w:val="37AD2DA9"/>
    <w:rsid w:val="37B00866"/>
    <w:rsid w:val="37CD425B"/>
    <w:rsid w:val="37E750D7"/>
    <w:rsid w:val="37F628E1"/>
    <w:rsid w:val="380C4AA4"/>
    <w:rsid w:val="383E255F"/>
    <w:rsid w:val="38846D01"/>
    <w:rsid w:val="389E142E"/>
    <w:rsid w:val="38A016C0"/>
    <w:rsid w:val="38BD7473"/>
    <w:rsid w:val="38F609CA"/>
    <w:rsid w:val="392250A1"/>
    <w:rsid w:val="392C7CD4"/>
    <w:rsid w:val="3944688D"/>
    <w:rsid w:val="394C3CD2"/>
    <w:rsid w:val="395C4950"/>
    <w:rsid w:val="3960528C"/>
    <w:rsid w:val="39690760"/>
    <w:rsid w:val="396A21ED"/>
    <w:rsid w:val="399705DD"/>
    <w:rsid w:val="399B53BE"/>
    <w:rsid w:val="39B66DF1"/>
    <w:rsid w:val="39BF16E6"/>
    <w:rsid w:val="39EF1620"/>
    <w:rsid w:val="3A15554F"/>
    <w:rsid w:val="3A1B635D"/>
    <w:rsid w:val="3A1E5D1B"/>
    <w:rsid w:val="3A365680"/>
    <w:rsid w:val="3A563977"/>
    <w:rsid w:val="3A5B7AA4"/>
    <w:rsid w:val="3A68431E"/>
    <w:rsid w:val="3A70347B"/>
    <w:rsid w:val="3A8147C7"/>
    <w:rsid w:val="3A861824"/>
    <w:rsid w:val="3AAD6489"/>
    <w:rsid w:val="3ABD3068"/>
    <w:rsid w:val="3AE82B90"/>
    <w:rsid w:val="3AEE7136"/>
    <w:rsid w:val="3AF42EF6"/>
    <w:rsid w:val="3AFB639E"/>
    <w:rsid w:val="3AFC6CCC"/>
    <w:rsid w:val="3B2B413E"/>
    <w:rsid w:val="3B531BE1"/>
    <w:rsid w:val="3B6D0EE6"/>
    <w:rsid w:val="3B9A64A4"/>
    <w:rsid w:val="3BA347B7"/>
    <w:rsid w:val="3BB51812"/>
    <w:rsid w:val="3C201689"/>
    <w:rsid w:val="3C402A18"/>
    <w:rsid w:val="3C52238F"/>
    <w:rsid w:val="3C6018AB"/>
    <w:rsid w:val="3C75257F"/>
    <w:rsid w:val="3C965F9E"/>
    <w:rsid w:val="3C981496"/>
    <w:rsid w:val="3CA02824"/>
    <w:rsid w:val="3CFA439B"/>
    <w:rsid w:val="3CFE3755"/>
    <w:rsid w:val="3D167BB6"/>
    <w:rsid w:val="3D1C0E89"/>
    <w:rsid w:val="3D2E0747"/>
    <w:rsid w:val="3D2E223A"/>
    <w:rsid w:val="3D3D73E1"/>
    <w:rsid w:val="3DA66406"/>
    <w:rsid w:val="3DD71448"/>
    <w:rsid w:val="3DDC5A8B"/>
    <w:rsid w:val="3DE95229"/>
    <w:rsid w:val="3DFC7AA4"/>
    <w:rsid w:val="3E1B036E"/>
    <w:rsid w:val="3E2C2124"/>
    <w:rsid w:val="3E3B681F"/>
    <w:rsid w:val="3E3E28E9"/>
    <w:rsid w:val="3E6B4F1A"/>
    <w:rsid w:val="3E9E5859"/>
    <w:rsid w:val="3ECF1D27"/>
    <w:rsid w:val="3EF82114"/>
    <w:rsid w:val="3F1519F4"/>
    <w:rsid w:val="3F1C36FF"/>
    <w:rsid w:val="3F352ADB"/>
    <w:rsid w:val="3F44726E"/>
    <w:rsid w:val="3F4C285D"/>
    <w:rsid w:val="3F690015"/>
    <w:rsid w:val="3F84066B"/>
    <w:rsid w:val="3F860308"/>
    <w:rsid w:val="3F9866DB"/>
    <w:rsid w:val="3F9A2E3E"/>
    <w:rsid w:val="3FA63519"/>
    <w:rsid w:val="3FA86278"/>
    <w:rsid w:val="40021A42"/>
    <w:rsid w:val="402F7A88"/>
    <w:rsid w:val="40315A29"/>
    <w:rsid w:val="40377E58"/>
    <w:rsid w:val="40550963"/>
    <w:rsid w:val="40644183"/>
    <w:rsid w:val="406445DB"/>
    <w:rsid w:val="40701001"/>
    <w:rsid w:val="408879B2"/>
    <w:rsid w:val="40BD12EA"/>
    <w:rsid w:val="40DB428B"/>
    <w:rsid w:val="40DF2342"/>
    <w:rsid w:val="40F2646B"/>
    <w:rsid w:val="41035D94"/>
    <w:rsid w:val="41075A40"/>
    <w:rsid w:val="411A0EFB"/>
    <w:rsid w:val="41384602"/>
    <w:rsid w:val="41944DE5"/>
    <w:rsid w:val="41B91F3F"/>
    <w:rsid w:val="41C21B76"/>
    <w:rsid w:val="41C86C71"/>
    <w:rsid w:val="41CA274C"/>
    <w:rsid w:val="420D6DA3"/>
    <w:rsid w:val="42106FC8"/>
    <w:rsid w:val="422C0C15"/>
    <w:rsid w:val="42344C40"/>
    <w:rsid w:val="4234569A"/>
    <w:rsid w:val="42393377"/>
    <w:rsid w:val="4262431A"/>
    <w:rsid w:val="42631EEE"/>
    <w:rsid w:val="4266481C"/>
    <w:rsid w:val="427F5A61"/>
    <w:rsid w:val="42837D3D"/>
    <w:rsid w:val="42902169"/>
    <w:rsid w:val="429A1D3F"/>
    <w:rsid w:val="42A57497"/>
    <w:rsid w:val="42BA6128"/>
    <w:rsid w:val="42C84156"/>
    <w:rsid w:val="42DB32CB"/>
    <w:rsid w:val="42E538EB"/>
    <w:rsid w:val="42F47D42"/>
    <w:rsid w:val="430D6F1D"/>
    <w:rsid w:val="432F1D30"/>
    <w:rsid w:val="43341DF8"/>
    <w:rsid w:val="43345A2D"/>
    <w:rsid w:val="43433238"/>
    <w:rsid w:val="43647FEB"/>
    <w:rsid w:val="436A5AAC"/>
    <w:rsid w:val="43706C32"/>
    <w:rsid w:val="438638EA"/>
    <w:rsid w:val="43AC54E8"/>
    <w:rsid w:val="43C66E3F"/>
    <w:rsid w:val="43DA2AEC"/>
    <w:rsid w:val="43F87741"/>
    <w:rsid w:val="44006D3C"/>
    <w:rsid w:val="443A244E"/>
    <w:rsid w:val="444F40C9"/>
    <w:rsid w:val="445E48FF"/>
    <w:rsid w:val="44690A18"/>
    <w:rsid w:val="448B3DA1"/>
    <w:rsid w:val="44BC7C88"/>
    <w:rsid w:val="44C004E3"/>
    <w:rsid w:val="44D74134"/>
    <w:rsid w:val="44DA6EEC"/>
    <w:rsid w:val="44DF5963"/>
    <w:rsid w:val="44EF3C41"/>
    <w:rsid w:val="44F97548"/>
    <w:rsid w:val="450C7A60"/>
    <w:rsid w:val="45112AFC"/>
    <w:rsid w:val="451623D7"/>
    <w:rsid w:val="4517104F"/>
    <w:rsid w:val="452B1854"/>
    <w:rsid w:val="45494530"/>
    <w:rsid w:val="454B5497"/>
    <w:rsid w:val="454F4958"/>
    <w:rsid w:val="45810D87"/>
    <w:rsid w:val="45B626CD"/>
    <w:rsid w:val="45C24569"/>
    <w:rsid w:val="45D318D7"/>
    <w:rsid w:val="45D82F82"/>
    <w:rsid w:val="45F66D38"/>
    <w:rsid w:val="46020C4E"/>
    <w:rsid w:val="461F0C54"/>
    <w:rsid w:val="46257E7F"/>
    <w:rsid w:val="463450C9"/>
    <w:rsid w:val="463D7E94"/>
    <w:rsid w:val="46572F93"/>
    <w:rsid w:val="465F6B0C"/>
    <w:rsid w:val="46613B00"/>
    <w:rsid w:val="46621E55"/>
    <w:rsid w:val="466935DD"/>
    <w:rsid w:val="46C76F1C"/>
    <w:rsid w:val="46CC6439"/>
    <w:rsid w:val="46FB0F89"/>
    <w:rsid w:val="47080039"/>
    <w:rsid w:val="470E3B7D"/>
    <w:rsid w:val="473363A2"/>
    <w:rsid w:val="475F357A"/>
    <w:rsid w:val="477169F8"/>
    <w:rsid w:val="47B772E4"/>
    <w:rsid w:val="47BE0CBD"/>
    <w:rsid w:val="47C62FFD"/>
    <w:rsid w:val="47CA25DF"/>
    <w:rsid w:val="47CB5F58"/>
    <w:rsid w:val="47CD1C1D"/>
    <w:rsid w:val="47E03C9E"/>
    <w:rsid w:val="482A140F"/>
    <w:rsid w:val="483316B1"/>
    <w:rsid w:val="484A503A"/>
    <w:rsid w:val="48521138"/>
    <w:rsid w:val="48564359"/>
    <w:rsid w:val="4872588D"/>
    <w:rsid w:val="487C2293"/>
    <w:rsid w:val="488325F3"/>
    <w:rsid w:val="488B530A"/>
    <w:rsid w:val="489638BB"/>
    <w:rsid w:val="48CB1703"/>
    <w:rsid w:val="48DA3EAF"/>
    <w:rsid w:val="49044A7F"/>
    <w:rsid w:val="492179F5"/>
    <w:rsid w:val="49286E92"/>
    <w:rsid w:val="494E7FD8"/>
    <w:rsid w:val="49716643"/>
    <w:rsid w:val="49766550"/>
    <w:rsid w:val="497E2A29"/>
    <w:rsid w:val="497F7BAD"/>
    <w:rsid w:val="498717A8"/>
    <w:rsid w:val="499B43BD"/>
    <w:rsid w:val="49B96AF3"/>
    <w:rsid w:val="49CC161F"/>
    <w:rsid w:val="49D00A13"/>
    <w:rsid w:val="49E43146"/>
    <w:rsid w:val="4A4219B9"/>
    <w:rsid w:val="4A4845BE"/>
    <w:rsid w:val="4A62240F"/>
    <w:rsid w:val="4A8F4169"/>
    <w:rsid w:val="4AA47769"/>
    <w:rsid w:val="4AB64210"/>
    <w:rsid w:val="4ABA474C"/>
    <w:rsid w:val="4AC84178"/>
    <w:rsid w:val="4AD345D5"/>
    <w:rsid w:val="4ADD02E2"/>
    <w:rsid w:val="4AFE14DF"/>
    <w:rsid w:val="4B026C8D"/>
    <w:rsid w:val="4B0432CC"/>
    <w:rsid w:val="4B235E92"/>
    <w:rsid w:val="4B507BC1"/>
    <w:rsid w:val="4B5C3E55"/>
    <w:rsid w:val="4B6710C4"/>
    <w:rsid w:val="4B7914D9"/>
    <w:rsid w:val="4B866045"/>
    <w:rsid w:val="4B88100C"/>
    <w:rsid w:val="4B9D76CB"/>
    <w:rsid w:val="4BAB23F4"/>
    <w:rsid w:val="4BDF36CE"/>
    <w:rsid w:val="4BE16260"/>
    <w:rsid w:val="4C2168CA"/>
    <w:rsid w:val="4C3F7C46"/>
    <w:rsid w:val="4C4349E0"/>
    <w:rsid w:val="4C5E250A"/>
    <w:rsid w:val="4C683D53"/>
    <w:rsid w:val="4C6A4AB4"/>
    <w:rsid w:val="4C6C3A4A"/>
    <w:rsid w:val="4C814337"/>
    <w:rsid w:val="4C8506A7"/>
    <w:rsid w:val="4C931948"/>
    <w:rsid w:val="4C9C61C0"/>
    <w:rsid w:val="4CA85602"/>
    <w:rsid w:val="4CCB6666"/>
    <w:rsid w:val="4CD10947"/>
    <w:rsid w:val="4CDD13A8"/>
    <w:rsid w:val="4CF943D0"/>
    <w:rsid w:val="4D1A1DBF"/>
    <w:rsid w:val="4D1D1D64"/>
    <w:rsid w:val="4D2144F9"/>
    <w:rsid w:val="4D23361C"/>
    <w:rsid w:val="4D244CA5"/>
    <w:rsid w:val="4D24523B"/>
    <w:rsid w:val="4D2D4D38"/>
    <w:rsid w:val="4D414CC3"/>
    <w:rsid w:val="4D42358F"/>
    <w:rsid w:val="4D7017A6"/>
    <w:rsid w:val="4D8D4FB4"/>
    <w:rsid w:val="4D9321EC"/>
    <w:rsid w:val="4DA16B78"/>
    <w:rsid w:val="4DAC0016"/>
    <w:rsid w:val="4DDC1513"/>
    <w:rsid w:val="4DDF4629"/>
    <w:rsid w:val="4DFA5947"/>
    <w:rsid w:val="4DFE5857"/>
    <w:rsid w:val="4E154B83"/>
    <w:rsid w:val="4E1D7DC0"/>
    <w:rsid w:val="4E236055"/>
    <w:rsid w:val="4E2615AD"/>
    <w:rsid w:val="4E2B491A"/>
    <w:rsid w:val="4E331CC6"/>
    <w:rsid w:val="4E3645A0"/>
    <w:rsid w:val="4E404D73"/>
    <w:rsid w:val="4E466839"/>
    <w:rsid w:val="4E7E436F"/>
    <w:rsid w:val="4EAC6036"/>
    <w:rsid w:val="4EC33EFC"/>
    <w:rsid w:val="4ED803D3"/>
    <w:rsid w:val="4ED90645"/>
    <w:rsid w:val="4EE2261D"/>
    <w:rsid w:val="4EEA2661"/>
    <w:rsid w:val="4EF27636"/>
    <w:rsid w:val="4F1C1B4D"/>
    <w:rsid w:val="4F2E2C24"/>
    <w:rsid w:val="4F37022E"/>
    <w:rsid w:val="4F42675A"/>
    <w:rsid w:val="4F507381"/>
    <w:rsid w:val="4F991CFF"/>
    <w:rsid w:val="4F9D0A7D"/>
    <w:rsid w:val="4F9F4719"/>
    <w:rsid w:val="4FA97FE3"/>
    <w:rsid w:val="4FBA3288"/>
    <w:rsid w:val="4FCA2863"/>
    <w:rsid w:val="4FE9786A"/>
    <w:rsid w:val="4FFF206D"/>
    <w:rsid w:val="501C672F"/>
    <w:rsid w:val="50573E6C"/>
    <w:rsid w:val="505839FD"/>
    <w:rsid w:val="50592732"/>
    <w:rsid w:val="5061307E"/>
    <w:rsid w:val="506B39FE"/>
    <w:rsid w:val="50783694"/>
    <w:rsid w:val="507B2C8C"/>
    <w:rsid w:val="50805D38"/>
    <w:rsid w:val="50BA6430"/>
    <w:rsid w:val="50BE15C5"/>
    <w:rsid w:val="50C3323E"/>
    <w:rsid w:val="50D90778"/>
    <w:rsid w:val="50DA0F6C"/>
    <w:rsid w:val="517D3E99"/>
    <w:rsid w:val="518522B1"/>
    <w:rsid w:val="518B6931"/>
    <w:rsid w:val="51C120D5"/>
    <w:rsid w:val="51D05271"/>
    <w:rsid w:val="51DB273F"/>
    <w:rsid w:val="52022B17"/>
    <w:rsid w:val="520A7E30"/>
    <w:rsid w:val="52310DC5"/>
    <w:rsid w:val="52364174"/>
    <w:rsid w:val="52484A9B"/>
    <w:rsid w:val="527028B2"/>
    <w:rsid w:val="527D1110"/>
    <w:rsid w:val="528E4392"/>
    <w:rsid w:val="52AB323F"/>
    <w:rsid w:val="52BD3915"/>
    <w:rsid w:val="52D06B02"/>
    <w:rsid w:val="531306D8"/>
    <w:rsid w:val="53367511"/>
    <w:rsid w:val="53464441"/>
    <w:rsid w:val="534D1986"/>
    <w:rsid w:val="53597D1B"/>
    <w:rsid w:val="53973510"/>
    <w:rsid w:val="539B5E34"/>
    <w:rsid w:val="53B24842"/>
    <w:rsid w:val="53BB1DD7"/>
    <w:rsid w:val="53DD7E3F"/>
    <w:rsid w:val="53F925F1"/>
    <w:rsid w:val="54266425"/>
    <w:rsid w:val="54312B15"/>
    <w:rsid w:val="5446068A"/>
    <w:rsid w:val="545735FA"/>
    <w:rsid w:val="54635AF9"/>
    <w:rsid w:val="548F24BC"/>
    <w:rsid w:val="549162FE"/>
    <w:rsid w:val="549E6284"/>
    <w:rsid w:val="54A27C0D"/>
    <w:rsid w:val="54A55AFB"/>
    <w:rsid w:val="54C53220"/>
    <w:rsid w:val="54CA43D5"/>
    <w:rsid w:val="54E7435C"/>
    <w:rsid w:val="54E7703D"/>
    <w:rsid w:val="54E80EE5"/>
    <w:rsid w:val="54EA79FF"/>
    <w:rsid w:val="54EF74B0"/>
    <w:rsid w:val="54F54664"/>
    <w:rsid w:val="55265FF3"/>
    <w:rsid w:val="55435DE3"/>
    <w:rsid w:val="55437929"/>
    <w:rsid w:val="555570A1"/>
    <w:rsid w:val="5556733C"/>
    <w:rsid w:val="557B1696"/>
    <w:rsid w:val="558075F9"/>
    <w:rsid w:val="55921F43"/>
    <w:rsid w:val="559B4C3A"/>
    <w:rsid w:val="55A35938"/>
    <w:rsid w:val="55AF0463"/>
    <w:rsid w:val="55BE5C74"/>
    <w:rsid w:val="55C03F42"/>
    <w:rsid w:val="55CE0E15"/>
    <w:rsid w:val="55ED483F"/>
    <w:rsid w:val="55F47F4F"/>
    <w:rsid w:val="560A3FB4"/>
    <w:rsid w:val="560C156A"/>
    <w:rsid w:val="560F5454"/>
    <w:rsid w:val="561C35E2"/>
    <w:rsid w:val="56343494"/>
    <w:rsid w:val="56356136"/>
    <w:rsid w:val="56415460"/>
    <w:rsid w:val="56607747"/>
    <w:rsid w:val="56782E19"/>
    <w:rsid w:val="567C7072"/>
    <w:rsid w:val="56A85686"/>
    <w:rsid w:val="56C24872"/>
    <w:rsid w:val="56C3478C"/>
    <w:rsid w:val="56DC2048"/>
    <w:rsid w:val="57050578"/>
    <w:rsid w:val="57077237"/>
    <w:rsid w:val="570E70D9"/>
    <w:rsid w:val="57104D91"/>
    <w:rsid w:val="5772090B"/>
    <w:rsid w:val="5790790E"/>
    <w:rsid w:val="57A97904"/>
    <w:rsid w:val="57C64619"/>
    <w:rsid w:val="57EA48EB"/>
    <w:rsid w:val="58024464"/>
    <w:rsid w:val="580B2226"/>
    <w:rsid w:val="583E1CFC"/>
    <w:rsid w:val="583F05DA"/>
    <w:rsid w:val="584A6150"/>
    <w:rsid w:val="587D1DB6"/>
    <w:rsid w:val="58895001"/>
    <w:rsid w:val="589173D0"/>
    <w:rsid w:val="58BB7180"/>
    <w:rsid w:val="58BC3198"/>
    <w:rsid w:val="58BE72FA"/>
    <w:rsid w:val="58D95549"/>
    <w:rsid w:val="58DE3D9A"/>
    <w:rsid w:val="58E95C16"/>
    <w:rsid w:val="58F0162C"/>
    <w:rsid w:val="590926AD"/>
    <w:rsid w:val="59092CDF"/>
    <w:rsid w:val="59233DB4"/>
    <w:rsid w:val="59264A1C"/>
    <w:rsid w:val="59314B47"/>
    <w:rsid w:val="59553C58"/>
    <w:rsid w:val="59B55625"/>
    <w:rsid w:val="59C30824"/>
    <w:rsid w:val="59C93228"/>
    <w:rsid w:val="59ED245D"/>
    <w:rsid w:val="59FD0ACF"/>
    <w:rsid w:val="5A252179"/>
    <w:rsid w:val="5A624EA5"/>
    <w:rsid w:val="5A705D84"/>
    <w:rsid w:val="5A796A8A"/>
    <w:rsid w:val="5AB8765E"/>
    <w:rsid w:val="5AFC0EE9"/>
    <w:rsid w:val="5B573C86"/>
    <w:rsid w:val="5B5B5A0E"/>
    <w:rsid w:val="5B874C3D"/>
    <w:rsid w:val="5B931065"/>
    <w:rsid w:val="5BA71816"/>
    <w:rsid w:val="5BD709B8"/>
    <w:rsid w:val="5BDB129A"/>
    <w:rsid w:val="5BF45384"/>
    <w:rsid w:val="5BFB4DB2"/>
    <w:rsid w:val="5BFB5106"/>
    <w:rsid w:val="5C0D1ED6"/>
    <w:rsid w:val="5C2019AE"/>
    <w:rsid w:val="5C226EEC"/>
    <w:rsid w:val="5C3508B3"/>
    <w:rsid w:val="5C366427"/>
    <w:rsid w:val="5C590F3D"/>
    <w:rsid w:val="5C5A4F19"/>
    <w:rsid w:val="5C7439CB"/>
    <w:rsid w:val="5CA23E62"/>
    <w:rsid w:val="5CBD61F3"/>
    <w:rsid w:val="5CCF5D95"/>
    <w:rsid w:val="5CE6106E"/>
    <w:rsid w:val="5CF22D5F"/>
    <w:rsid w:val="5D061524"/>
    <w:rsid w:val="5D1A1060"/>
    <w:rsid w:val="5D406854"/>
    <w:rsid w:val="5D863310"/>
    <w:rsid w:val="5DA40D78"/>
    <w:rsid w:val="5DA44BCB"/>
    <w:rsid w:val="5DB10432"/>
    <w:rsid w:val="5E0A675B"/>
    <w:rsid w:val="5E0E2811"/>
    <w:rsid w:val="5E12376F"/>
    <w:rsid w:val="5E1F57D8"/>
    <w:rsid w:val="5E881741"/>
    <w:rsid w:val="5E892222"/>
    <w:rsid w:val="5E9B6594"/>
    <w:rsid w:val="5EA1282C"/>
    <w:rsid w:val="5EB13F4D"/>
    <w:rsid w:val="5EDA1D14"/>
    <w:rsid w:val="5F016293"/>
    <w:rsid w:val="5F440AD9"/>
    <w:rsid w:val="5F445614"/>
    <w:rsid w:val="5F52546D"/>
    <w:rsid w:val="5F7A570B"/>
    <w:rsid w:val="5F937AAC"/>
    <w:rsid w:val="5FB607E4"/>
    <w:rsid w:val="5FCA636B"/>
    <w:rsid w:val="5FD7263B"/>
    <w:rsid w:val="5FED5496"/>
    <w:rsid w:val="5FF20CBC"/>
    <w:rsid w:val="60016561"/>
    <w:rsid w:val="602A53F4"/>
    <w:rsid w:val="605863B0"/>
    <w:rsid w:val="606B3806"/>
    <w:rsid w:val="609336CC"/>
    <w:rsid w:val="60966B28"/>
    <w:rsid w:val="60980262"/>
    <w:rsid w:val="60CA0D74"/>
    <w:rsid w:val="60E10964"/>
    <w:rsid w:val="60F32E93"/>
    <w:rsid w:val="61103B12"/>
    <w:rsid w:val="611A6CE9"/>
    <w:rsid w:val="61297B5F"/>
    <w:rsid w:val="612A3D79"/>
    <w:rsid w:val="615C31D7"/>
    <w:rsid w:val="61647766"/>
    <w:rsid w:val="617D2AC2"/>
    <w:rsid w:val="61812750"/>
    <w:rsid w:val="61897D95"/>
    <w:rsid w:val="61AD35B0"/>
    <w:rsid w:val="61AF7606"/>
    <w:rsid w:val="61BC4E2F"/>
    <w:rsid w:val="61C944D8"/>
    <w:rsid w:val="61D04FF6"/>
    <w:rsid w:val="61E16AEC"/>
    <w:rsid w:val="61E96E42"/>
    <w:rsid w:val="620D4E08"/>
    <w:rsid w:val="62112239"/>
    <w:rsid w:val="6220633A"/>
    <w:rsid w:val="6225530A"/>
    <w:rsid w:val="62630FBE"/>
    <w:rsid w:val="626806A7"/>
    <w:rsid w:val="626C0011"/>
    <w:rsid w:val="62935B02"/>
    <w:rsid w:val="629574EE"/>
    <w:rsid w:val="629942EF"/>
    <w:rsid w:val="629A601E"/>
    <w:rsid w:val="62B1536D"/>
    <w:rsid w:val="62E671B7"/>
    <w:rsid w:val="62FF0748"/>
    <w:rsid w:val="63144DFE"/>
    <w:rsid w:val="63242AF1"/>
    <w:rsid w:val="633732A4"/>
    <w:rsid w:val="633C4E4D"/>
    <w:rsid w:val="63716C9D"/>
    <w:rsid w:val="63761A71"/>
    <w:rsid w:val="637A3E3F"/>
    <w:rsid w:val="63A56446"/>
    <w:rsid w:val="63B3775F"/>
    <w:rsid w:val="63CD6875"/>
    <w:rsid w:val="63D019CC"/>
    <w:rsid w:val="63E36A8C"/>
    <w:rsid w:val="641E4FB9"/>
    <w:rsid w:val="64200528"/>
    <w:rsid w:val="6447432B"/>
    <w:rsid w:val="647472D2"/>
    <w:rsid w:val="6486663F"/>
    <w:rsid w:val="64A138D6"/>
    <w:rsid w:val="64B63310"/>
    <w:rsid w:val="64CE2496"/>
    <w:rsid w:val="64EF00AD"/>
    <w:rsid w:val="65120E32"/>
    <w:rsid w:val="65375D56"/>
    <w:rsid w:val="653B6D99"/>
    <w:rsid w:val="654B273A"/>
    <w:rsid w:val="655A1CAA"/>
    <w:rsid w:val="656146A1"/>
    <w:rsid w:val="65617294"/>
    <w:rsid w:val="656649AA"/>
    <w:rsid w:val="658145D8"/>
    <w:rsid w:val="65840442"/>
    <w:rsid w:val="65941213"/>
    <w:rsid w:val="65B95727"/>
    <w:rsid w:val="65CD7A68"/>
    <w:rsid w:val="65DA705D"/>
    <w:rsid w:val="65F154CA"/>
    <w:rsid w:val="65F32BBC"/>
    <w:rsid w:val="65F441C1"/>
    <w:rsid w:val="662611B7"/>
    <w:rsid w:val="6629350B"/>
    <w:rsid w:val="669B5B92"/>
    <w:rsid w:val="66F30A4E"/>
    <w:rsid w:val="67172103"/>
    <w:rsid w:val="67305CC5"/>
    <w:rsid w:val="67435036"/>
    <w:rsid w:val="67701726"/>
    <w:rsid w:val="679C4EFE"/>
    <w:rsid w:val="67BE23A9"/>
    <w:rsid w:val="67EB2BA8"/>
    <w:rsid w:val="67EB5941"/>
    <w:rsid w:val="67F0545D"/>
    <w:rsid w:val="67FB5E60"/>
    <w:rsid w:val="67FD5AB4"/>
    <w:rsid w:val="680C239F"/>
    <w:rsid w:val="680D1AED"/>
    <w:rsid w:val="680F44F9"/>
    <w:rsid w:val="680F5254"/>
    <w:rsid w:val="68140BF0"/>
    <w:rsid w:val="68150ED0"/>
    <w:rsid w:val="682420AA"/>
    <w:rsid w:val="68654036"/>
    <w:rsid w:val="68883F34"/>
    <w:rsid w:val="68BD062F"/>
    <w:rsid w:val="68C458BF"/>
    <w:rsid w:val="68C830DA"/>
    <w:rsid w:val="68D74770"/>
    <w:rsid w:val="69002CF7"/>
    <w:rsid w:val="69297317"/>
    <w:rsid w:val="693D1E66"/>
    <w:rsid w:val="693F480D"/>
    <w:rsid w:val="6943676E"/>
    <w:rsid w:val="695D5732"/>
    <w:rsid w:val="69600C93"/>
    <w:rsid w:val="696F3843"/>
    <w:rsid w:val="697B1744"/>
    <w:rsid w:val="698C28F9"/>
    <w:rsid w:val="69976D4F"/>
    <w:rsid w:val="69A50CA7"/>
    <w:rsid w:val="69D20E81"/>
    <w:rsid w:val="69DB2784"/>
    <w:rsid w:val="69E37D26"/>
    <w:rsid w:val="69F77C10"/>
    <w:rsid w:val="6A045919"/>
    <w:rsid w:val="6A0A05F3"/>
    <w:rsid w:val="6A464FD2"/>
    <w:rsid w:val="6A512D8C"/>
    <w:rsid w:val="6A6B01B9"/>
    <w:rsid w:val="6A8409E8"/>
    <w:rsid w:val="6A9005F9"/>
    <w:rsid w:val="6AB5096C"/>
    <w:rsid w:val="6AD200D1"/>
    <w:rsid w:val="6AD3702F"/>
    <w:rsid w:val="6AF87181"/>
    <w:rsid w:val="6B14068D"/>
    <w:rsid w:val="6B1E0FFF"/>
    <w:rsid w:val="6B2E4F14"/>
    <w:rsid w:val="6B5817C4"/>
    <w:rsid w:val="6B5E4E79"/>
    <w:rsid w:val="6B7D09FC"/>
    <w:rsid w:val="6BA370AE"/>
    <w:rsid w:val="6BA56447"/>
    <w:rsid w:val="6BC24007"/>
    <w:rsid w:val="6BD23D11"/>
    <w:rsid w:val="6BD277FB"/>
    <w:rsid w:val="6BE36652"/>
    <w:rsid w:val="6BF1579E"/>
    <w:rsid w:val="6C057130"/>
    <w:rsid w:val="6C0662FE"/>
    <w:rsid w:val="6C0930C7"/>
    <w:rsid w:val="6C2969C9"/>
    <w:rsid w:val="6C6C66A2"/>
    <w:rsid w:val="6C707EE4"/>
    <w:rsid w:val="6C7C4C31"/>
    <w:rsid w:val="6C826089"/>
    <w:rsid w:val="6C83175F"/>
    <w:rsid w:val="6CD442FC"/>
    <w:rsid w:val="6D056496"/>
    <w:rsid w:val="6D3768D8"/>
    <w:rsid w:val="6D960132"/>
    <w:rsid w:val="6DA34258"/>
    <w:rsid w:val="6DB352AA"/>
    <w:rsid w:val="6DDE5E91"/>
    <w:rsid w:val="6DEB09E1"/>
    <w:rsid w:val="6E072ABC"/>
    <w:rsid w:val="6E0925F1"/>
    <w:rsid w:val="6E2D3BC4"/>
    <w:rsid w:val="6E443281"/>
    <w:rsid w:val="6E4B3004"/>
    <w:rsid w:val="6E5207CA"/>
    <w:rsid w:val="6E685ED0"/>
    <w:rsid w:val="6EA7655B"/>
    <w:rsid w:val="6EA92BE0"/>
    <w:rsid w:val="6EC959E5"/>
    <w:rsid w:val="6ECA58EE"/>
    <w:rsid w:val="6EDA255C"/>
    <w:rsid w:val="6EE82FCE"/>
    <w:rsid w:val="6F372F02"/>
    <w:rsid w:val="6F463DC7"/>
    <w:rsid w:val="6F4D013C"/>
    <w:rsid w:val="6F503470"/>
    <w:rsid w:val="6F790289"/>
    <w:rsid w:val="6F83561B"/>
    <w:rsid w:val="6F921AB0"/>
    <w:rsid w:val="6FB22A3B"/>
    <w:rsid w:val="6FBB1843"/>
    <w:rsid w:val="6FC36338"/>
    <w:rsid w:val="6FCA7EFA"/>
    <w:rsid w:val="6FDD3EC6"/>
    <w:rsid w:val="6FEC3083"/>
    <w:rsid w:val="701C40F2"/>
    <w:rsid w:val="702831AB"/>
    <w:rsid w:val="703B6464"/>
    <w:rsid w:val="70476E18"/>
    <w:rsid w:val="7051441F"/>
    <w:rsid w:val="70740767"/>
    <w:rsid w:val="70B53C8E"/>
    <w:rsid w:val="70BA4535"/>
    <w:rsid w:val="70FD3F0A"/>
    <w:rsid w:val="7104189F"/>
    <w:rsid w:val="710564F2"/>
    <w:rsid w:val="71193BA2"/>
    <w:rsid w:val="711D3757"/>
    <w:rsid w:val="71212BA6"/>
    <w:rsid w:val="713162D2"/>
    <w:rsid w:val="713C0E4F"/>
    <w:rsid w:val="71577867"/>
    <w:rsid w:val="719B0AA4"/>
    <w:rsid w:val="71B04A1B"/>
    <w:rsid w:val="71C65FBA"/>
    <w:rsid w:val="71CA675B"/>
    <w:rsid w:val="72243A5A"/>
    <w:rsid w:val="72425978"/>
    <w:rsid w:val="72454425"/>
    <w:rsid w:val="72552A4B"/>
    <w:rsid w:val="72564409"/>
    <w:rsid w:val="727772AB"/>
    <w:rsid w:val="72AB53B2"/>
    <w:rsid w:val="72D178E3"/>
    <w:rsid w:val="72D42724"/>
    <w:rsid w:val="72D65949"/>
    <w:rsid w:val="72E261E8"/>
    <w:rsid w:val="73067716"/>
    <w:rsid w:val="73071780"/>
    <w:rsid w:val="732E2674"/>
    <w:rsid w:val="733B7D01"/>
    <w:rsid w:val="73521769"/>
    <w:rsid w:val="735F4A30"/>
    <w:rsid w:val="7370702A"/>
    <w:rsid w:val="739163A8"/>
    <w:rsid w:val="739B163A"/>
    <w:rsid w:val="73BD0874"/>
    <w:rsid w:val="73BE0B67"/>
    <w:rsid w:val="73CD046F"/>
    <w:rsid w:val="73D433ED"/>
    <w:rsid w:val="740940DD"/>
    <w:rsid w:val="740D54FF"/>
    <w:rsid w:val="74474635"/>
    <w:rsid w:val="745A4764"/>
    <w:rsid w:val="748C7E18"/>
    <w:rsid w:val="74971702"/>
    <w:rsid w:val="74A00D82"/>
    <w:rsid w:val="74A52CD3"/>
    <w:rsid w:val="74AD0BA4"/>
    <w:rsid w:val="74B93B22"/>
    <w:rsid w:val="74CC6DA7"/>
    <w:rsid w:val="74E60AB3"/>
    <w:rsid w:val="750F469C"/>
    <w:rsid w:val="751F2A18"/>
    <w:rsid w:val="7532339A"/>
    <w:rsid w:val="7537524A"/>
    <w:rsid w:val="75440FEC"/>
    <w:rsid w:val="754C5DD2"/>
    <w:rsid w:val="75566365"/>
    <w:rsid w:val="75647643"/>
    <w:rsid w:val="756E09AD"/>
    <w:rsid w:val="75870D33"/>
    <w:rsid w:val="75AA5888"/>
    <w:rsid w:val="75D473F5"/>
    <w:rsid w:val="760C5A64"/>
    <w:rsid w:val="76365C16"/>
    <w:rsid w:val="7639783E"/>
    <w:rsid w:val="76562C6C"/>
    <w:rsid w:val="766A0DB9"/>
    <w:rsid w:val="76754E6F"/>
    <w:rsid w:val="767A3D64"/>
    <w:rsid w:val="7687217A"/>
    <w:rsid w:val="768E621B"/>
    <w:rsid w:val="7693776C"/>
    <w:rsid w:val="769A2D63"/>
    <w:rsid w:val="76C2570A"/>
    <w:rsid w:val="76F94187"/>
    <w:rsid w:val="770C2F06"/>
    <w:rsid w:val="7715423E"/>
    <w:rsid w:val="771D37C3"/>
    <w:rsid w:val="77295CA0"/>
    <w:rsid w:val="77415176"/>
    <w:rsid w:val="779F43E1"/>
    <w:rsid w:val="77DB22C9"/>
    <w:rsid w:val="77E923B3"/>
    <w:rsid w:val="77F942C5"/>
    <w:rsid w:val="77F9644C"/>
    <w:rsid w:val="780815C8"/>
    <w:rsid w:val="781A71FC"/>
    <w:rsid w:val="782A637D"/>
    <w:rsid w:val="782E72A7"/>
    <w:rsid w:val="78363566"/>
    <w:rsid w:val="78831ECC"/>
    <w:rsid w:val="78AB0D92"/>
    <w:rsid w:val="78B102AA"/>
    <w:rsid w:val="78D3087D"/>
    <w:rsid w:val="7915705F"/>
    <w:rsid w:val="791A1E7D"/>
    <w:rsid w:val="791D0971"/>
    <w:rsid w:val="792F4A47"/>
    <w:rsid w:val="7939081A"/>
    <w:rsid w:val="795828C0"/>
    <w:rsid w:val="797053D6"/>
    <w:rsid w:val="797C2D0D"/>
    <w:rsid w:val="798C5352"/>
    <w:rsid w:val="79A35025"/>
    <w:rsid w:val="79CC5123"/>
    <w:rsid w:val="79DD5B61"/>
    <w:rsid w:val="79E0798C"/>
    <w:rsid w:val="79EA17F1"/>
    <w:rsid w:val="79F52ADC"/>
    <w:rsid w:val="7A0F7B2F"/>
    <w:rsid w:val="7A3B4F4E"/>
    <w:rsid w:val="7A6408DF"/>
    <w:rsid w:val="7A762661"/>
    <w:rsid w:val="7A8D709F"/>
    <w:rsid w:val="7A940BDD"/>
    <w:rsid w:val="7A9F113F"/>
    <w:rsid w:val="7AB05ADF"/>
    <w:rsid w:val="7AD76776"/>
    <w:rsid w:val="7ADE20DC"/>
    <w:rsid w:val="7AE378C6"/>
    <w:rsid w:val="7AF006A8"/>
    <w:rsid w:val="7AF03B50"/>
    <w:rsid w:val="7AFD37F7"/>
    <w:rsid w:val="7B084353"/>
    <w:rsid w:val="7B1912BD"/>
    <w:rsid w:val="7B290ADA"/>
    <w:rsid w:val="7B6D4C6D"/>
    <w:rsid w:val="7B6D634E"/>
    <w:rsid w:val="7B714172"/>
    <w:rsid w:val="7B955E29"/>
    <w:rsid w:val="7BC43BFB"/>
    <w:rsid w:val="7C023804"/>
    <w:rsid w:val="7C12724E"/>
    <w:rsid w:val="7C510EE4"/>
    <w:rsid w:val="7C785926"/>
    <w:rsid w:val="7C8D0541"/>
    <w:rsid w:val="7CD70187"/>
    <w:rsid w:val="7CE53E9B"/>
    <w:rsid w:val="7D280B24"/>
    <w:rsid w:val="7D346F88"/>
    <w:rsid w:val="7D413DEE"/>
    <w:rsid w:val="7D445E39"/>
    <w:rsid w:val="7D502C81"/>
    <w:rsid w:val="7D541BE6"/>
    <w:rsid w:val="7D6E7411"/>
    <w:rsid w:val="7D73594E"/>
    <w:rsid w:val="7D7E73AE"/>
    <w:rsid w:val="7D9227B9"/>
    <w:rsid w:val="7DCE2CE5"/>
    <w:rsid w:val="7DCE6EE1"/>
    <w:rsid w:val="7DD26580"/>
    <w:rsid w:val="7DE700C9"/>
    <w:rsid w:val="7DF211E0"/>
    <w:rsid w:val="7E1421AB"/>
    <w:rsid w:val="7E1A7ED7"/>
    <w:rsid w:val="7E3C3B89"/>
    <w:rsid w:val="7E5B2EC1"/>
    <w:rsid w:val="7E7F3E7A"/>
    <w:rsid w:val="7E857E1F"/>
    <w:rsid w:val="7EBB3B91"/>
    <w:rsid w:val="7ECE293E"/>
    <w:rsid w:val="7ED95791"/>
    <w:rsid w:val="7EE2727F"/>
    <w:rsid w:val="7EF7703C"/>
    <w:rsid w:val="7EF91271"/>
    <w:rsid w:val="7F133EEB"/>
    <w:rsid w:val="7F1E38BA"/>
    <w:rsid w:val="7F250C27"/>
    <w:rsid w:val="7F2C7C49"/>
    <w:rsid w:val="7F3212D5"/>
    <w:rsid w:val="7F400CE8"/>
    <w:rsid w:val="7F565DDC"/>
    <w:rsid w:val="7F5D7354"/>
    <w:rsid w:val="7F6E359E"/>
    <w:rsid w:val="7F85248D"/>
    <w:rsid w:val="7FA64143"/>
    <w:rsid w:val="7FB4219C"/>
    <w:rsid w:val="7FCE713F"/>
    <w:rsid w:val="7FE46255"/>
    <w:rsid w:val="7FF634AD"/>
    <w:rsid w:val="7FF6515C"/>
    <w:rsid w:val="7FFD1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5"/>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06"/>
    <w:qFormat/>
    <w:uiPriority w:val="0"/>
    <w:pPr>
      <w:keepNext/>
      <w:keepLines/>
      <w:spacing w:before="340" w:after="330" w:line="578" w:lineRule="auto"/>
      <w:outlineLvl w:val="0"/>
    </w:pPr>
    <w:rPr>
      <w:rFonts w:ascii="Times New Roman" w:hAnsi="Times New Roman"/>
      <w:b/>
      <w:bCs/>
      <w:kern w:val="44"/>
      <w:sz w:val="28"/>
      <w:szCs w:val="44"/>
    </w:rPr>
  </w:style>
  <w:style w:type="paragraph" w:styleId="4">
    <w:name w:val="heading 2"/>
    <w:basedOn w:val="1"/>
    <w:next w:val="1"/>
    <w:link w:val="108"/>
    <w:qFormat/>
    <w:uiPriority w:val="0"/>
    <w:pPr>
      <w:keepNext/>
      <w:keepLines/>
      <w:spacing w:before="260" w:after="260" w:line="415" w:lineRule="auto"/>
      <w:ind w:firstLine="200" w:firstLineChars="200"/>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5" w:lineRule="auto"/>
      <w:ind w:firstLine="200" w:firstLineChars="200"/>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6"/>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97"/>
    <w:qFormat/>
    <w:uiPriority w:val="99"/>
    <w:pPr>
      <w:jc w:val="left"/>
    </w:pPr>
  </w:style>
  <w:style w:type="paragraph" w:styleId="8">
    <w:name w:val="Body Text 3"/>
    <w:basedOn w:val="1"/>
    <w:qFormat/>
    <w:uiPriority w:val="0"/>
    <w:rPr>
      <w:rFonts w:eastAsia="仿宋_GB2312"/>
    </w:rPr>
  </w:style>
  <w:style w:type="paragraph" w:styleId="9">
    <w:name w:val="Body Text"/>
    <w:basedOn w:val="1"/>
    <w:link w:val="96"/>
    <w:qFormat/>
    <w:uiPriority w:val="0"/>
    <w:pPr>
      <w:spacing w:after="120"/>
    </w:pPr>
  </w:style>
  <w:style w:type="paragraph" w:styleId="10">
    <w:name w:val="Body Text Indent"/>
    <w:basedOn w:val="1"/>
    <w:link w:val="44"/>
    <w:qFormat/>
    <w:uiPriority w:val="0"/>
    <w:pPr>
      <w:ind w:left="-3" w:firstLine="423"/>
    </w:pPr>
    <w:rPr>
      <w:rFonts w:ascii="楷体_GB2312" w:eastAsia="楷体_GB2312"/>
    </w:rPr>
  </w:style>
  <w:style w:type="paragraph" w:styleId="11">
    <w:name w:val="Plain Text"/>
    <w:basedOn w:val="1"/>
    <w:link w:val="39"/>
    <w:qFormat/>
    <w:uiPriority w:val="0"/>
    <w:rPr>
      <w:rFonts w:ascii="宋体" w:hAnsi="Courier New"/>
      <w:kern w:val="28"/>
      <w:szCs w:val="20"/>
    </w:rPr>
  </w:style>
  <w:style w:type="paragraph" w:styleId="12">
    <w:name w:val="Date"/>
    <w:basedOn w:val="1"/>
    <w:next w:val="1"/>
    <w:link w:val="67"/>
    <w:qFormat/>
    <w:uiPriority w:val="0"/>
    <w:pPr>
      <w:ind w:left="100" w:leftChars="2500"/>
    </w:pPr>
  </w:style>
  <w:style w:type="paragraph" w:styleId="13">
    <w:name w:val="Body Text Indent 2"/>
    <w:basedOn w:val="1"/>
    <w:link w:val="98"/>
    <w:qFormat/>
    <w:uiPriority w:val="0"/>
    <w:pPr>
      <w:ind w:firstLine="420" w:firstLineChars="200"/>
    </w:pPr>
    <w:rPr>
      <w:rFonts w:ascii="楷体_GB2312" w:eastAsia="楷体_GB2312"/>
    </w:rPr>
  </w:style>
  <w:style w:type="paragraph" w:styleId="14">
    <w:name w:val="Balloon Text"/>
    <w:basedOn w:val="1"/>
    <w:semiHidden/>
    <w:qFormat/>
    <w:uiPriority w:val="0"/>
    <w:rPr>
      <w:sz w:val="18"/>
      <w:szCs w:val="18"/>
    </w:rPr>
  </w:style>
  <w:style w:type="paragraph" w:styleId="15">
    <w:name w:val="footer"/>
    <w:basedOn w:val="1"/>
    <w:link w:val="53"/>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adjustRightInd w:val="0"/>
      <w:snapToGrid w:val="0"/>
      <w:spacing w:line="240" w:lineRule="atLeast"/>
      <w:jc w:val="center"/>
    </w:pPr>
    <w:rPr>
      <w:b/>
      <w:bCs/>
      <w:sz w:val="20"/>
      <w:szCs w:val="20"/>
    </w:rPr>
  </w:style>
  <w:style w:type="paragraph" w:styleId="18">
    <w:name w:val="List"/>
    <w:basedOn w:val="1"/>
    <w:qFormat/>
    <w:uiPriority w:val="0"/>
    <w:rPr>
      <w:rFonts w:ascii="Arial" w:eastAsia="楷体_GB2312"/>
      <w:spacing w:val="-6"/>
      <w:kern w:val="0"/>
      <w:szCs w:val="20"/>
    </w:rPr>
  </w:style>
  <w:style w:type="paragraph" w:styleId="19">
    <w:name w:val="Body Text Indent 3"/>
    <w:basedOn w:val="1"/>
    <w:qFormat/>
    <w:uiPriority w:val="0"/>
    <w:pPr>
      <w:snapToGrid w:val="0"/>
      <w:spacing w:line="312" w:lineRule="auto"/>
      <w:ind w:firstLine="555"/>
    </w:pPr>
    <w:rPr>
      <w:rFonts w:eastAsia="仿宋_GB2312"/>
      <w:color w:val="FF0000"/>
      <w:sz w:val="28"/>
      <w:szCs w:val="20"/>
    </w:rPr>
  </w:style>
  <w:style w:type="paragraph" w:styleId="20">
    <w:name w:val="toc 9"/>
    <w:basedOn w:val="1"/>
    <w:next w:val="1"/>
    <w:semiHidden/>
    <w:qFormat/>
    <w:uiPriority w:val="0"/>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rPr>
  </w:style>
  <w:style w:type="paragraph" w:styleId="22">
    <w:name w:val="Title"/>
    <w:basedOn w:val="1"/>
    <w:next w:val="1"/>
    <w:link w:val="42"/>
    <w:qFormat/>
    <w:uiPriority w:val="0"/>
    <w:pPr>
      <w:spacing w:before="240" w:after="60"/>
      <w:jc w:val="center"/>
      <w:outlineLvl w:val="0"/>
    </w:pPr>
    <w:rPr>
      <w:rFonts w:ascii="Cambria" w:hAnsi="Cambria"/>
      <w:b/>
      <w:bCs/>
      <w:sz w:val="32"/>
      <w:szCs w:val="32"/>
    </w:rPr>
  </w:style>
  <w:style w:type="paragraph" w:styleId="23">
    <w:name w:val="annotation subject"/>
    <w:basedOn w:val="7"/>
    <w:next w:val="7"/>
    <w:semiHidden/>
    <w:qFormat/>
    <w:uiPriority w:val="0"/>
    <w:rPr>
      <w:b/>
      <w:bCs/>
    </w:rPr>
  </w:style>
  <w:style w:type="paragraph" w:styleId="24">
    <w:name w:val="Body Text First Indent"/>
    <w:basedOn w:val="9"/>
    <w:next w:val="1"/>
    <w:qFormat/>
    <w:uiPriority w:val="0"/>
    <w:pPr>
      <w:ind w:firstLine="420" w:firstLineChars="100"/>
    </w:pPr>
  </w:style>
  <w:style w:type="paragraph" w:styleId="25">
    <w:name w:val="Body Text First Indent 2"/>
    <w:basedOn w:val="10"/>
    <w:qFormat/>
    <w:uiPriority w:val="0"/>
    <w:pPr>
      <w:spacing w:after="120"/>
      <w:ind w:left="420" w:leftChars="200" w:firstLine="420" w:firstLineChars="200"/>
    </w:pPr>
    <w:rPr>
      <w:rFonts w:ascii="Times New Roman" w:eastAsia="宋体"/>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Emphasis"/>
    <w:basedOn w:val="28"/>
    <w:qFormat/>
    <w:uiPriority w:val="20"/>
    <w:rPr>
      <w:color w:val="CC0000"/>
    </w:rPr>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paragraph" w:customStyle="1" w:styleId="34">
    <w:name w:val="表格"/>
    <w:basedOn w:val="1"/>
    <w:link w:val="38"/>
    <w:qFormat/>
    <w:uiPriority w:val="0"/>
    <w:pPr>
      <w:adjustRightInd w:val="0"/>
      <w:snapToGrid w:val="0"/>
      <w:jc w:val="center"/>
      <w:textAlignment w:val="baseline"/>
    </w:pPr>
    <w:rPr>
      <w:rFonts w:ascii="宋体" w:eastAsia="仿宋_GB2312"/>
      <w:snapToGrid w:val="0"/>
      <w:spacing w:val="4"/>
      <w:kern w:val="0"/>
      <w:szCs w:val="20"/>
    </w:rPr>
  </w:style>
  <w:style w:type="paragraph" w:customStyle="1" w:styleId="35">
    <w:name w:val="NormalIndent"/>
    <w:basedOn w:val="1"/>
    <w:next w:val="1"/>
    <w:qFormat/>
    <w:uiPriority w:val="0"/>
    <w:pPr>
      <w:spacing w:line="360" w:lineRule="auto"/>
      <w:ind w:firstLine="420" w:firstLineChars="200"/>
      <w:jc w:val="both"/>
      <w:textAlignment w:val="baseline"/>
    </w:pPr>
  </w:style>
  <w:style w:type="character" w:customStyle="1" w:styleId="36">
    <w:name w:val="正文缩进 Char"/>
    <w:link w:val="2"/>
    <w:qFormat/>
    <w:locked/>
    <w:uiPriority w:val="0"/>
    <w:rPr>
      <w:rFonts w:eastAsia="宋体"/>
      <w:kern w:val="2"/>
      <w:sz w:val="21"/>
      <w:szCs w:val="24"/>
      <w:lang w:val="en-US" w:eastAsia="zh-CN" w:bidi="ar-SA"/>
    </w:rPr>
  </w:style>
  <w:style w:type="character" w:customStyle="1" w:styleId="37">
    <w:name w:val="back121"/>
    <w:qFormat/>
    <w:uiPriority w:val="0"/>
    <w:rPr>
      <w:rFonts w:hint="default" w:ascii="Arial" w:hAnsi="Arial" w:cs="Arial"/>
      <w:color w:val="000000"/>
      <w:sz w:val="21"/>
      <w:szCs w:val="21"/>
    </w:rPr>
  </w:style>
  <w:style w:type="character" w:customStyle="1" w:styleId="38">
    <w:name w:val="表格 Char Char"/>
    <w:link w:val="34"/>
    <w:qFormat/>
    <w:uiPriority w:val="0"/>
    <w:rPr>
      <w:rFonts w:ascii="宋体" w:eastAsia="仿宋_GB2312"/>
      <w:snapToGrid/>
      <w:spacing w:val="4"/>
      <w:sz w:val="24"/>
    </w:rPr>
  </w:style>
  <w:style w:type="character" w:customStyle="1" w:styleId="39">
    <w:name w:val="纯文本 Char"/>
    <w:link w:val="11"/>
    <w:qFormat/>
    <w:uiPriority w:val="0"/>
    <w:rPr>
      <w:rFonts w:ascii="宋体" w:hAnsi="Courier New" w:eastAsia="宋体"/>
      <w:kern w:val="28"/>
      <w:sz w:val="21"/>
      <w:lang w:val="en-US" w:eastAsia="zh-CN" w:bidi="ar-SA"/>
    </w:rPr>
  </w:style>
  <w:style w:type="character" w:customStyle="1" w:styleId="40">
    <w:name w:val="标题 2+ 行距: 固定值 24 磅 Char Char"/>
    <w:link w:val="41"/>
    <w:qFormat/>
    <w:locked/>
    <w:uiPriority w:val="0"/>
    <w:rPr>
      <w:rFonts w:ascii="Arial" w:hAnsi="Arial" w:eastAsia="黑体" w:cs="Arial"/>
      <w:b/>
      <w:bCs/>
      <w:kern w:val="2"/>
      <w:sz w:val="32"/>
      <w:szCs w:val="32"/>
      <w:lang w:val="en-US" w:eastAsia="zh-CN" w:bidi="ar-SA"/>
    </w:rPr>
  </w:style>
  <w:style w:type="paragraph" w:customStyle="1" w:styleId="41">
    <w:name w:val="标题 2+ 行距: 固定值 24 磅 Char"/>
    <w:basedOn w:val="4"/>
    <w:link w:val="40"/>
    <w:qFormat/>
    <w:uiPriority w:val="0"/>
    <w:pPr>
      <w:spacing w:line="480" w:lineRule="exact"/>
      <w:ind w:firstLine="0" w:firstLineChars="0"/>
    </w:pPr>
    <w:rPr>
      <w:rFonts w:cs="Arial"/>
    </w:rPr>
  </w:style>
  <w:style w:type="character" w:customStyle="1" w:styleId="42">
    <w:name w:val="标题 Char"/>
    <w:link w:val="22"/>
    <w:qFormat/>
    <w:uiPriority w:val="0"/>
    <w:rPr>
      <w:rFonts w:ascii="Cambria" w:hAnsi="Cambria" w:cs="Times New Roman"/>
      <w:b/>
      <w:bCs/>
      <w:kern w:val="2"/>
      <w:sz w:val="32"/>
      <w:szCs w:val="32"/>
    </w:rPr>
  </w:style>
  <w:style w:type="character" w:customStyle="1" w:styleId="43">
    <w:name w:val="标题 3 Char"/>
    <w:link w:val="5"/>
    <w:qFormat/>
    <w:locked/>
    <w:uiPriority w:val="0"/>
    <w:rPr>
      <w:rFonts w:eastAsia="宋体"/>
      <w:b/>
      <w:bCs/>
      <w:kern w:val="2"/>
      <w:sz w:val="32"/>
      <w:szCs w:val="32"/>
      <w:lang w:val="en-US" w:eastAsia="zh-CN" w:bidi="ar-SA"/>
    </w:rPr>
  </w:style>
  <w:style w:type="character" w:customStyle="1" w:styleId="44">
    <w:name w:val="正文文本缩进 Char"/>
    <w:link w:val="10"/>
    <w:qFormat/>
    <w:uiPriority w:val="0"/>
    <w:rPr>
      <w:rFonts w:ascii="楷体_GB2312" w:eastAsia="楷体_GB2312"/>
      <w:kern w:val="2"/>
      <w:sz w:val="21"/>
      <w:szCs w:val="24"/>
    </w:rPr>
  </w:style>
  <w:style w:type="character" w:customStyle="1" w:styleId="45">
    <w:name w:val="样式 标题4 + (中文) 宋体 Char"/>
    <w:link w:val="46"/>
    <w:qFormat/>
    <w:uiPriority w:val="0"/>
    <w:rPr>
      <w:rFonts w:eastAsia="宋体"/>
      <w:b/>
      <w:kern w:val="2"/>
      <w:sz w:val="30"/>
      <w:lang w:val="en-US" w:eastAsia="zh-CN" w:bidi="ar-SA"/>
    </w:rPr>
  </w:style>
  <w:style w:type="paragraph" w:customStyle="1" w:styleId="46">
    <w:name w:val="样式 标题4 + (中文) 宋体"/>
    <w:basedOn w:val="1"/>
    <w:next w:val="9"/>
    <w:link w:val="45"/>
    <w:qFormat/>
    <w:uiPriority w:val="0"/>
    <w:pPr>
      <w:keepNext/>
      <w:keepLines/>
      <w:spacing w:line="480" w:lineRule="exact"/>
      <w:outlineLvl w:val="3"/>
    </w:pPr>
    <w:rPr>
      <w:b/>
      <w:sz w:val="30"/>
      <w:szCs w:val="20"/>
    </w:rPr>
  </w:style>
  <w:style w:type="character" w:customStyle="1" w:styleId="47">
    <w:name w:val="MSG_EN_FONT_STYLE_NAME_TEMPLATE_ROLE_NUMBER MSG_EN_FONT_STYLE_NAME_BY_ROLE_TEXT 44_"/>
    <w:link w:val="48"/>
    <w:qFormat/>
    <w:uiPriority w:val="99"/>
    <w:rPr>
      <w:rFonts w:ascii="宋体" w:hAnsi="宋体" w:cs="宋体"/>
      <w:shd w:val="clear" w:color="auto" w:fill="FFFFFF"/>
    </w:rPr>
  </w:style>
  <w:style w:type="paragraph" w:customStyle="1" w:styleId="48">
    <w:name w:val="MSG_EN_FONT_STYLE_NAME_TEMPLATE_ROLE_NUMBER MSG_EN_FONT_STYLE_NAME_BY_ROLE_TEXT 44"/>
    <w:basedOn w:val="1"/>
    <w:link w:val="47"/>
    <w:qFormat/>
    <w:uiPriority w:val="99"/>
    <w:pPr>
      <w:shd w:val="clear" w:color="auto" w:fill="FFFFFF"/>
      <w:spacing w:line="240" w:lineRule="atLeast"/>
      <w:jc w:val="center"/>
    </w:pPr>
    <w:rPr>
      <w:rFonts w:ascii="宋体" w:hAnsi="宋体" w:cs="宋体"/>
      <w:kern w:val="0"/>
      <w:sz w:val="20"/>
      <w:szCs w:val="20"/>
    </w:rPr>
  </w:style>
  <w:style w:type="character" w:customStyle="1" w:styleId="49">
    <w:name w:val="正文缩进 Char1"/>
    <w:qFormat/>
    <w:locked/>
    <w:uiPriority w:val="0"/>
    <w:rPr>
      <w:rFonts w:ascii="Times New Roman" w:hAnsi="Times New Roman" w:eastAsia="宋体" w:cs="Times New Roman"/>
      <w:szCs w:val="24"/>
    </w:rPr>
  </w:style>
  <w:style w:type="character" w:customStyle="1" w:styleId="50">
    <w:name w:val="表格文字 Char"/>
    <w:link w:val="51"/>
    <w:qFormat/>
    <w:uiPriority w:val="0"/>
    <w:rPr>
      <w:rFonts w:ascii="仿宋_GB2312" w:hAnsi="Arial Black" w:eastAsia="仿宋_GB2312"/>
      <w:kern w:val="44"/>
      <w:sz w:val="24"/>
      <w:lang w:val="en-US" w:eastAsia="zh-CN" w:bidi="ar-SA"/>
    </w:rPr>
  </w:style>
  <w:style w:type="paragraph" w:customStyle="1" w:styleId="51">
    <w:name w:val="表格文字"/>
    <w:basedOn w:val="1"/>
    <w:link w:val="50"/>
    <w:qFormat/>
    <w:uiPriority w:val="0"/>
    <w:pPr>
      <w:jc w:val="center"/>
    </w:pPr>
    <w:rPr>
      <w:rFonts w:ascii="仿宋_GB2312" w:hAnsi="Arial Black" w:eastAsia="仿宋_GB2312"/>
      <w:kern w:val="44"/>
      <w:szCs w:val="20"/>
    </w:rPr>
  </w:style>
  <w:style w:type="character" w:customStyle="1" w:styleId="52">
    <w:name w:val="Plain Text Char1 Char1"/>
    <w:qFormat/>
    <w:uiPriority w:val="0"/>
    <w:rPr>
      <w:rFonts w:ascii="宋体" w:hAnsi="Courier New" w:eastAsia="宋体"/>
      <w:kern w:val="2"/>
      <w:sz w:val="21"/>
      <w:lang w:val="en-US" w:eastAsia="zh-CN" w:bidi="ar-SA"/>
    </w:rPr>
  </w:style>
  <w:style w:type="character" w:customStyle="1" w:styleId="53">
    <w:name w:val="页脚 Char"/>
    <w:link w:val="15"/>
    <w:qFormat/>
    <w:uiPriority w:val="99"/>
    <w:rPr>
      <w:kern w:val="2"/>
      <w:sz w:val="18"/>
      <w:szCs w:val="18"/>
    </w:rPr>
  </w:style>
  <w:style w:type="character" w:customStyle="1" w:styleId="54">
    <w:name w:val="报告正文 Char1"/>
    <w:link w:val="55"/>
    <w:qFormat/>
    <w:uiPriority w:val="0"/>
    <w:rPr>
      <w:rFonts w:ascii="宋体"/>
      <w:kern w:val="2"/>
      <w:sz w:val="28"/>
    </w:rPr>
  </w:style>
  <w:style w:type="paragraph" w:customStyle="1" w:styleId="55">
    <w:name w:val="报告正文"/>
    <w:basedOn w:val="1"/>
    <w:link w:val="54"/>
    <w:qFormat/>
    <w:uiPriority w:val="0"/>
    <w:pPr>
      <w:adjustRightInd w:val="0"/>
      <w:snapToGrid w:val="0"/>
      <w:spacing w:line="300" w:lineRule="auto"/>
    </w:pPr>
    <w:rPr>
      <w:rFonts w:ascii="宋体"/>
      <w:sz w:val="28"/>
      <w:szCs w:val="20"/>
    </w:rPr>
  </w:style>
  <w:style w:type="character" w:customStyle="1" w:styleId="56">
    <w:name w:val="表格及图件标题 Char"/>
    <w:link w:val="57"/>
    <w:qFormat/>
    <w:uiPriority w:val="0"/>
    <w:rPr>
      <w:b/>
    </w:rPr>
  </w:style>
  <w:style w:type="paragraph" w:customStyle="1" w:styleId="57">
    <w:name w:val="表格及图件标题"/>
    <w:basedOn w:val="1"/>
    <w:next w:val="34"/>
    <w:link w:val="56"/>
    <w:qFormat/>
    <w:uiPriority w:val="0"/>
    <w:pPr>
      <w:jc w:val="center"/>
    </w:pPr>
    <w:rPr>
      <w:b/>
      <w:kern w:val="0"/>
      <w:sz w:val="20"/>
      <w:szCs w:val="20"/>
    </w:rPr>
  </w:style>
  <w:style w:type="character" w:customStyle="1" w:styleId="58">
    <w:name w:val="表格内文字 Char"/>
    <w:link w:val="59"/>
    <w:qFormat/>
    <w:uiPriority w:val="0"/>
    <w:rPr>
      <w:rFonts w:eastAsia="仿宋_GB2312"/>
      <w:spacing w:val="4"/>
      <w:kern w:val="18"/>
      <w:sz w:val="24"/>
      <w:szCs w:val="24"/>
    </w:rPr>
  </w:style>
  <w:style w:type="paragraph" w:customStyle="1" w:styleId="59">
    <w:name w:val="表格内文字"/>
    <w:basedOn w:val="1"/>
    <w:link w:val="58"/>
    <w:qFormat/>
    <w:uiPriority w:val="0"/>
    <w:pPr>
      <w:tabs>
        <w:tab w:val="left" w:pos="0"/>
      </w:tabs>
      <w:adjustRightInd w:val="0"/>
      <w:snapToGrid w:val="0"/>
      <w:jc w:val="center"/>
    </w:pPr>
    <w:rPr>
      <w:rFonts w:eastAsia="仿宋_GB2312"/>
      <w:spacing w:val="4"/>
      <w:kern w:val="18"/>
    </w:rPr>
  </w:style>
  <w:style w:type="character" w:customStyle="1" w:styleId="60">
    <w:name w:val="表格内容 Char"/>
    <w:link w:val="61"/>
    <w:qFormat/>
    <w:uiPriority w:val="0"/>
    <w:rPr>
      <w:kern w:val="2"/>
      <w:sz w:val="21"/>
      <w:szCs w:val="22"/>
    </w:rPr>
  </w:style>
  <w:style w:type="paragraph" w:customStyle="1" w:styleId="61">
    <w:name w:val="表格内容"/>
    <w:basedOn w:val="1"/>
    <w:link w:val="60"/>
    <w:qFormat/>
    <w:uiPriority w:val="0"/>
    <w:pPr>
      <w:adjustRightInd w:val="0"/>
      <w:snapToGrid w:val="0"/>
      <w:jc w:val="center"/>
    </w:pPr>
    <w:rPr>
      <w:szCs w:val="22"/>
    </w:rPr>
  </w:style>
  <w:style w:type="character" w:customStyle="1" w:styleId="62">
    <w:name w:val="报告书表格 Char"/>
    <w:link w:val="63"/>
    <w:qFormat/>
    <w:uiPriority w:val="0"/>
    <w:rPr>
      <w:rFonts w:eastAsia="仿宋_GB2312"/>
      <w:sz w:val="24"/>
    </w:rPr>
  </w:style>
  <w:style w:type="paragraph" w:customStyle="1" w:styleId="63">
    <w:name w:val="报告书表格"/>
    <w:basedOn w:val="1"/>
    <w:link w:val="62"/>
    <w:qFormat/>
    <w:uiPriority w:val="0"/>
    <w:pPr>
      <w:adjustRightInd w:val="0"/>
      <w:spacing w:line="400" w:lineRule="exact"/>
      <w:jc w:val="center"/>
      <w:textAlignment w:val="baseline"/>
    </w:pPr>
    <w:rPr>
      <w:rFonts w:eastAsia="仿宋_GB2312"/>
      <w:kern w:val="0"/>
      <w:szCs w:val="20"/>
    </w:rPr>
  </w:style>
  <w:style w:type="character" w:customStyle="1" w:styleId="64">
    <w:name w:val="标题 1 Char"/>
    <w:link w:val="3"/>
    <w:qFormat/>
    <w:uiPriority w:val="0"/>
    <w:rPr>
      <w:b/>
      <w:bCs/>
      <w:kern w:val="44"/>
      <w:sz w:val="44"/>
      <w:szCs w:val="44"/>
    </w:rPr>
  </w:style>
  <w:style w:type="character" w:customStyle="1" w:styleId="65">
    <w:name w:val="环评正文 Char1"/>
    <w:link w:val="66"/>
    <w:qFormat/>
    <w:uiPriority w:val="0"/>
    <w:rPr>
      <w:rFonts w:ascii="仿宋_GB2312" w:eastAsia="仿宋_GB2312"/>
      <w:kern w:val="2"/>
      <w:sz w:val="28"/>
    </w:rPr>
  </w:style>
  <w:style w:type="paragraph" w:customStyle="1" w:styleId="66">
    <w:name w:val="环评正文"/>
    <w:basedOn w:val="12"/>
    <w:link w:val="65"/>
    <w:qFormat/>
    <w:uiPriority w:val="0"/>
    <w:pPr>
      <w:spacing w:line="500" w:lineRule="exact"/>
      <w:ind w:left="0" w:leftChars="0" w:firstLine="560" w:firstLineChars="200"/>
    </w:pPr>
    <w:rPr>
      <w:rFonts w:ascii="仿宋_GB2312" w:eastAsia="仿宋_GB2312"/>
      <w:sz w:val="28"/>
      <w:szCs w:val="20"/>
    </w:rPr>
  </w:style>
  <w:style w:type="character" w:customStyle="1" w:styleId="67">
    <w:name w:val="日期 Char"/>
    <w:link w:val="12"/>
    <w:qFormat/>
    <w:uiPriority w:val="0"/>
    <w:rPr>
      <w:kern w:val="2"/>
      <w:sz w:val="21"/>
      <w:szCs w:val="24"/>
    </w:rPr>
  </w:style>
  <w:style w:type="character" w:customStyle="1" w:styleId="68">
    <w:name w:val="表格 Char"/>
    <w:qFormat/>
    <w:uiPriority w:val="0"/>
    <w:rPr>
      <w:kern w:val="2"/>
      <w:sz w:val="24"/>
      <w:szCs w:val="24"/>
    </w:rPr>
  </w:style>
  <w:style w:type="character" w:customStyle="1" w:styleId="69">
    <w:name w:val="图表标题 Char"/>
    <w:link w:val="70"/>
    <w:qFormat/>
    <w:uiPriority w:val="0"/>
    <w:rPr>
      <w:rFonts w:eastAsia="仿宋"/>
      <w:b/>
      <w:kern w:val="2"/>
      <w:sz w:val="24"/>
    </w:rPr>
  </w:style>
  <w:style w:type="paragraph" w:customStyle="1" w:styleId="70">
    <w:name w:val="图表标题"/>
    <w:basedOn w:val="1"/>
    <w:next w:val="34"/>
    <w:link w:val="69"/>
    <w:qFormat/>
    <w:uiPriority w:val="0"/>
    <w:pPr>
      <w:spacing w:line="500" w:lineRule="exact"/>
      <w:jc w:val="center"/>
    </w:pPr>
    <w:rPr>
      <w:rFonts w:eastAsia="仿宋"/>
      <w:b/>
      <w:szCs w:val="20"/>
    </w:rPr>
  </w:style>
  <w:style w:type="character" w:customStyle="1" w:styleId="71">
    <w:name w:val="正文缩进 Char3"/>
    <w:qFormat/>
    <w:uiPriority w:val="0"/>
    <w:rPr>
      <w:rFonts w:ascii="仿宋_GB2312" w:eastAsia="仿宋_GB2312"/>
      <w:kern w:val="2"/>
      <w:sz w:val="28"/>
      <w:szCs w:val="24"/>
      <w:lang w:val="en-US" w:eastAsia="zh-CN" w:bidi="ar-SA"/>
    </w:rPr>
  </w:style>
  <w:style w:type="character" w:customStyle="1" w:styleId="72">
    <w:name w:val="表格文字 Char1"/>
    <w:qFormat/>
    <w:uiPriority w:val="0"/>
    <w:rPr>
      <w:rFonts w:ascii="仿宋_GB2312" w:hAnsi="Arial Black" w:eastAsia="仿宋_GB2312"/>
      <w:kern w:val="44"/>
      <w:sz w:val="24"/>
      <w:szCs w:val="24"/>
      <w:lang w:val="en-US" w:eastAsia="zh-CN" w:bidi="ar-SA"/>
    </w:rPr>
  </w:style>
  <w:style w:type="paragraph" w:customStyle="1" w:styleId="73">
    <w:name w:val="Body Text 22"/>
    <w:basedOn w:val="1"/>
    <w:qFormat/>
    <w:uiPriority w:val="0"/>
    <w:pPr>
      <w:adjustRightInd w:val="0"/>
      <w:spacing w:line="440" w:lineRule="atLeast"/>
      <w:ind w:firstLine="480"/>
      <w:textAlignment w:val="baseline"/>
    </w:pPr>
    <w:rPr>
      <w:rFonts w:eastAsia="仿宋_GB2312"/>
      <w:szCs w:val="20"/>
    </w:rPr>
  </w:style>
  <w:style w:type="paragraph" w:customStyle="1" w:styleId="74">
    <w:name w:val="默认段落字体 Para Char Char Char Char"/>
    <w:basedOn w:val="1"/>
    <w:qFormat/>
    <w:uiPriority w:val="0"/>
    <w:rPr>
      <w:rFonts w:ascii="Arial" w:eastAsia="楷体_GB2312"/>
      <w:spacing w:val="-6"/>
      <w:kern w:val="0"/>
      <w:szCs w:val="22"/>
    </w:rPr>
  </w:style>
  <w:style w:type="paragraph" w:customStyle="1" w:styleId="75">
    <w:name w:val="Char Char Char Char Char Char Char Char Char Char Char1 Char Char Char Char Char Char Char Char Char Char Char Char Char Char Char Char"/>
    <w:basedOn w:val="1"/>
    <w:qFormat/>
    <w:uiPriority w:val="0"/>
  </w:style>
  <w:style w:type="paragraph" w:customStyle="1" w:styleId="76">
    <w:name w:val="表格正文"/>
    <w:basedOn w:val="1"/>
    <w:next w:val="1"/>
    <w:qFormat/>
    <w:uiPriority w:val="0"/>
    <w:pPr>
      <w:adjustRightInd w:val="0"/>
      <w:snapToGrid w:val="0"/>
      <w:jc w:val="center"/>
      <w:textAlignment w:val="baseline"/>
    </w:pPr>
    <w:rPr>
      <w:rFonts w:ascii="宋体"/>
      <w:snapToGrid w:val="0"/>
      <w:spacing w:val="4"/>
      <w:w w:val="90"/>
      <w:kern w:val="0"/>
      <w:szCs w:val="20"/>
    </w:rPr>
  </w:style>
  <w:style w:type="paragraph" w:customStyle="1" w:styleId="77">
    <w:name w:val="Table Paragraph"/>
    <w:basedOn w:val="1"/>
    <w:qFormat/>
    <w:uiPriority w:val="0"/>
    <w:rPr>
      <w:rFonts w:ascii="Arial" w:eastAsia="楷体_GB2312"/>
      <w:spacing w:val="-6"/>
      <w:kern w:val="0"/>
      <w:sz w:val="28"/>
      <w:szCs w:val="22"/>
    </w:rPr>
  </w:style>
  <w:style w:type="paragraph" w:customStyle="1" w:styleId="78">
    <w:name w:val="Char"/>
    <w:basedOn w:val="1"/>
    <w:qFormat/>
    <w:uiPriority w:val="0"/>
  </w:style>
  <w:style w:type="paragraph" w:customStyle="1" w:styleId="79">
    <w:name w:val="hhcwt正文"/>
    <w:basedOn w:val="1"/>
    <w:qFormat/>
    <w:uiPriority w:val="0"/>
    <w:pPr>
      <w:ind w:firstLine="480" w:firstLineChars="200"/>
    </w:pPr>
    <w:rPr>
      <w:rFonts w:cs="宋体"/>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表标题"/>
    <w:next w:val="1"/>
    <w:qFormat/>
    <w:uiPriority w:val="0"/>
    <w:pPr>
      <w:spacing w:before="60"/>
      <w:jc w:val="center"/>
    </w:pPr>
    <w:rPr>
      <w:rFonts w:ascii="Times New Roman" w:hAnsi="Times New Roman" w:eastAsia="宋体" w:cs="Times New Roman"/>
      <w:b/>
      <w:kern w:val="2"/>
      <w:sz w:val="24"/>
      <w:szCs w:val="24"/>
      <w:lang w:val="en-US" w:eastAsia="zh-CN" w:bidi="ar-SA"/>
    </w:rPr>
  </w:style>
  <w:style w:type="paragraph" w:customStyle="1" w:styleId="82">
    <w:name w:val="标题4"/>
    <w:basedOn w:val="5"/>
    <w:qFormat/>
    <w:uiPriority w:val="0"/>
    <w:pPr>
      <w:spacing w:line="416" w:lineRule="auto"/>
    </w:pPr>
    <w:rPr>
      <w:rFonts w:eastAsia="Times New Roman"/>
      <w:sz w:val="30"/>
    </w:rPr>
  </w:style>
  <w:style w:type="paragraph" w:customStyle="1" w:styleId="83">
    <w:name w:val="表格样式1"/>
    <w:basedOn w:val="1"/>
    <w:qFormat/>
    <w:uiPriority w:val="0"/>
    <w:pPr>
      <w:spacing w:line="360" w:lineRule="exact"/>
      <w:jc w:val="center"/>
    </w:pPr>
    <w:rPr>
      <w:rFonts w:eastAsia="仿宋_GB2312"/>
      <w:color w:val="000080"/>
    </w:rPr>
  </w:style>
  <w:style w:type="paragraph" w:customStyle="1" w:styleId="84">
    <w:name w:val="小四宋居中1.0"/>
    <w:basedOn w:val="1"/>
    <w:next w:val="1"/>
    <w:qFormat/>
    <w:uiPriority w:val="0"/>
    <w:pPr>
      <w:jc w:val="center"/>
    </w:pPr>
    <w:rPr>
      <w:rFonts w:ascii="仿宋_GB2312" w:eastAsia="仿宋_GB2312"/>
      <w:spacing w:val="-6"/>
      <w:kern w:val="0"/>
      <w:szCs w:val="20"/>
    </w:rPr>
  </w:style>
  <w:style w:type="paragraph" w:customStyle="1" w:styleId="85">
    <w:name w:val="reader-word-layer"/>
    <w:basedOn w:val="1"/>
    <w:qFormat/>
    <w:uiPriority w:val="0"/>
    <w:pPr>
      <w:widowControl/>
      <w:spacing w:before="100" w:beforeAutospacing="1" w:after="100" w:afterAutospacing="1"/>
      <w:jc w:val="left"/>
    </w:pPr>
    <w:rPr>
      <w:rFonts w:ascii="宋体" w:hAnsi="宋体" w:cs="宋体"/>
      <w:kern w:val="0"/>
    </w:rPr>
  </w:style>
  <w:style w:type="paragraph" w:customStyle="1" w:styleId="86">
    <w:name w:val="默认段落字体 Para Char Char Char Char Char Char Char Char Char Char Char Char Char"/>
    <w:basedOn w:val="1"/>
    <w:qFormat/>
    <w:uiPriority w:val="0"/>
    <w:rPr>
      <w:szCs w:val="20"/>
    </w:rPr>
  </w:style>
  <w:style w:type="paragraph" w:customStyle="1" w:styleId="87">
    <w:name w:val="字元"/>
    <w:basedOn w:val="1"/>
    <w:qFormat/>
    <w:uiPriority w:val="0"/>
  </w:style>
  <w:style w:type="paragraph" w:customStyle="1" w:styleId="88">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楷体_GB2312"/>
      <w:color w:val="000000"/>
      <w:spacing w:val="-6"/>
      <w:kern w:val="0"/>
      <w:sz w:val="28"/>
      <w:szCs w:val="21"/>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1">
    <w:name w:val="Char Char Char Char Char Char"/>
    <w:basedOn w:val="1"/>
    <w:qFormat/>
    <w:uiPriority w:val="0"/>
  </w:style>
  <w:style w:type="paragraph" w:customStyle="1" w:styleId="92">
    <w:name w:val="样式1"/>
    <w:basedOn w:val="1"/>
    <w:qFormat/>
    <w:uiPriority w:val="0"/>
    <w:pPr>
      <w:snapToGrid w:val="0"/>
      <w:ind w:firstLine="523" w:firstLineChars="218"/>
    </w:pPr>
    <w:rPr>
      <w:rFonts w:ascii="Calibri" w:hAnsi="Calibri"/>
    </w:rPr>
  </w:style>
  <w:style w:type="paragraph" w:customStyle="1" w:styleId="93">
    <w:name w:val="正文1"/>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94">
    <w:name w:val="图表文字"/>
    <w:basedOn w:val="1"/>
    <w:qFormat/>
    <w:uiPriority w:val="0"/>
    <w:pPr>
      <w:jc w:val="center"/>
    </w:pPr>
    <w:rPr>
      <w:rFonts w:ascii="仿宋_GB2312" w:eastAsia="仿宋_GB2312"/>
    </w:rPr>
  </w:style>
  <w:style w:type="paragraph" w:customStyle="1" w:styleId="95">
    <w:name w:val="表格居中"/>
    <w:qFormat/>
    <w:uiPriority w:val="0"/>
    <w:pPr>
      <w:jc w:val="center"/>
    </w:pPr>
    <w:rPr>
      <w:rFonts w:ascii="Times New Roman" w:hAnsi="Times New Roman" w:eastAsia="宋体" w:cs="Times New Roman"/>
      <w:kern w:val="2"/>
      <w:sz w:val="24"/>
      <w:szCs w:val="24"/>
      <w:lang w:val="en-US" w:eastAsia="zh-CN" w:bidi="ar-SA"/>
    </w:rPr>
  </w:style>
  <w:style w:type="character" w:customStyle="1" w:styleId="96">
    <w:name w:val="正文文本 Char"/>
    <w:link w:val="9"/>
    <w:qFormat/>
    <w:uiPriority w:val="0"/>
    <w:rPr>
      <w:kern w:val="2"/>
      <w:sz w:val="21"/>
      <w:szCs w:val="24"/>
    </w:rPr>
  </w:style>
  <w:style w:type="character" w:customStyle="1" w:styleId="97">
    <w:name w:val="批注文字 Char"/>
    <w:link w:val="7"/>
    <w:qFormat/>
    <w:uiPriority w:val="99"/>
    <w:rPr>
      <w:kern w:val="2"/>
      <w:sz w:val="21"/>
      <w:szCs w:val="24"/>
    </w:rPr>
  </w:style>
  <w:style w:type="character" w:customStyle="1" w:styleId="98">
    <w:name w:val="正文文本缩进 2 Char"/>
    <w:link w:val="13"/>
    <w:qFormat/>
    <w:uiPriority w:val="0"/>
    <w:rPr>
      <w:rFonts w:ascii="楷体_GB2312" w:eastAsia="楷体_GB2312"/>
      <w:kern w:val="2"/>
      <w:sz w:val="21"/>
      <w:szCs w:val="24"/>
    </w:rPr>
  </w:style>
  <w:style w:type="paragraph" w:customStyle="1" w:styleId="99">
    <w:name w:val="小标题"/>
    <w:qFormat/>
    <w:uiPriority w:val="0"/>
    <w:pPr>
      <w:spacing w:before="60" w:line="360" w:lineRule="auto"/>
    </w:pPr>
    <w:rPr>
      <w:rFonts w:ascii="Times New Roman" w:hAnsi="Times New Roman" w:eastAsia="宋体" w:cs="Times New Roman"/>
      <w:b/>
      <w:kern w:val="2"/>
      <w:sz w:val="24"/>
      <w:szCs w:val="24"/>
      <w:lang w:val="en-US" w:eastAsia="zh-CN" w:bidi="ar-SA"/>
    </w:rPr>
  </w:style>
  <w:style w:type="table" w:customStyle="1" w:styleId="100">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01">
    <w:name w:val="apple-converted-space"/>
    <w:basedOn w:val="28"/>
    <w:qFormat/>
    <w:uiPriority w:val="0"/>
  </w:style>
  <w:style w:type="character" w:customStyle="1" w:styleId="102">
    <w:name w:val="fontstyle01"/>
    <w:qFormat/>
    <w:uiPriority w:val="0"/>
    <w:rPr>
      <w:rFonts w:hint="default" w:ascii="F2" w:hAnsi="F2"/>
      <w:color w:val="000000"/>
      <w:sz w:val="24"/>
      <w:szCs w:val="24"/>
    </w:rPr>
  </w:style>
  <w:style w:type="paragraph" w:customStyle="1" w:styleId="103">
    <w:name w:val="样式 样式 样式 自动设置 + 五号 段前: 0.5 行 行距: 单倍行距 + 段前: 0.5 行"/>
    <w:basedOn w:val="1"/>
    <w:qFormat/>
    <w:uiPriority w:val="0"/>
    <w:pPr>
      <w:widowControl/>
      <w:autoSpaceDE w:val="0"/>
      <w:autoSpaceDN w:val="0"/>
      <w:adjustRightInd w:val="0"/>
      <w:snapToGrid w:val="0"/>
      <w:jc w:val="left"/>
    </w:pPr>
    <w:rPr>
      <w:rFonts w:ascii="宋体" w:hAnsi="宋体" w:cs="宋体"/>
      <w:kern w:val="0"/>
    </w:rPr>
  </w:style>
  <w:style w:type="paragraph" w:customStyle="1" w:styleId="104">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105">
    <w:name w:val="NormalCharacter"/>
    <w:link w:val="1"/>
    <w:semiHidden/>
    <w:qFormat/>
    <w:uiPriority w:val="0"/>
    <w:rPr>
      <w:rFonts w:ascii="Times New Roman" w:hAnsi="Times New Roman" w:eastAsia="宋体" w:cs="Times New Roman"/>
      <w:kern w:val="2"/>
      <w:sz w:val="24"/>
      <w:szCs w:val="24"/>
      <w:lang w:val="en-US" w:eastAsia="zh-CN" w:bidi="ar-SA"/>
    </w:rPr>
  </w:style>
  <w:style w:type="character" w:customStyle="1" w:styleId="106">
    <w:name w:val="标题 1 字符"/>
    <w:link w:val="3"/>
    <w:qFormat/>
    <w:uiPriority w:val="0"/>
    <w:rPr>
      <w:rFonts w:hint="eastAsia" w:ascii="Times New Roman" w:hAnsi="Times New Roman" w:eastAsia="宋体"/>
      <w:b/>
      <w:kern w:val="44"/>
      <w:sz w:val="28"/>
      <w:szCs w:val="4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8">
    <w:name w:val="标题 2 Char"/>
    <w:link w:val="4"/>
    <w:qFormat/>
    <w:uiPriority w:val="0"/>
    <w:rPr>
      <w:rFonts w:ascii="Arial" w:hAnsi="Arial" w:eastAsia="黑体"/>
      <w:b/>
      <w:bCs/>
      <w:sz w:val="32"/>
      <w:szCs w:val="32"/>
    </w:rPr>
  </w:style>
  <w:style w:type="paragraph" w:customStyle="1" w:styleId="109">
    <w:name w:val="表格第一行"/>
    <w:basedOn w:val="1"/>
    <w:qFormat/>
    <w:uiPriority w:val="0"/>
    <w:pPr>
      <w:adjustRightInd w:val="0"/>
      <w:snapToGrid w:val="0"/>
      <w:jc w:val="center"/>
    </w:pPr>
    <w:rPr>
      <w:rFonts w:eastAsia="仿宋_GB2312"/>
      <w:b/>
      <w:szCs w:val="21"/>
    </w:rPr>
  </w:style>
  <w:style w:type="paragraph" w:customStyle="1" w:styleId="110">
    <w:name w:val="表格字体"/>
    <w:basedOn w:val="1"/>
    <w:next w:val="1"/>
    <w:qFormat/>
    <w:uiPriority w:val="0"/>
    <w:pPr>
      <w:adjustRightInd w:val="0"/>
      <w:snapToGrid w:val="0"/>
      <w:spacing w:line="240" w:lineRule="auto"/>
      <w:ind w:firstLine="0" w:firstLineChars="0"/>
      <w:jc w:val="center"/>
    </w:pPr>
    <w:rPr>
      <w:rFonts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BD9BD-9243-42FA-A596-F9188F5114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39341</Words>
  <Characters>45655</Characters>
  <Lines>255</Lines>
  <Paragraphs>71</Paragraphs>
  <TotalTime>21</TotalTime>
  <ScaleCrop>false</ScaleCrop>
  <LinksUpToDate>false</LinksUpToDate>
  <CharactersWithSpaces>46553</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2019-07-02T05:36:00Z</dcterms:created>
  <dc:creator>User</dc:creator>
  <cp:lastModifiedBy>ོ我在北回归线</cp:lastModifiedBy>
  <cp:lastPrinted>2020-06-12T02:36:00Z</cp:lastPrinted>
  <dcterms:modified xsi:type="dcterms:W3CDTF">2021-02-07T02:59:22Z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