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outlineLvl w:val="9"/>
      </w:pPr>
    </w:p>
    <w:p>
      <w:pPr>
        <w:jc w:val="center"/>
        <w:outlineLvl w:val="9"/>
        <w:rPr>
          <w:sz w:val="52"/>
        </w:rPr>
      </w:pPr>
      <w:r>
        <w:rPr>
          <w:sz w:val="52"/>
        </w:rPr>
        <w:t>建设项目环境影响报告表</w:t>
      </w:r>
    </w:p>
    <w:p>
      <w:pPr>
        <w:tabs>
          <w:tab w:val="left" w:pos="255"/>
        </w:tabs>
        <w:rPr>
          <w:sz w:val="30"/>
          <w:szCs w:val="30"/>
        </w:rPr>
      </w:pPr>
      <w:r>
        <w:rPr>
          <w:sz w:val="30"/>
          <w:szCs w:val="30"/>
        </w:rPr>
        <w:tab/>
      </w:r>
    </w:p>
    <w:p>
      <w:pPr>
        <w:rPr>
          <w:sz w:val="36"/>
        </w:rPr>
      </w:pPr>
    </w:p>
    <w:p>
      <w:pPr>
        <w:spacing w:line="720" w:lineRule="auto"/>
        <w:jc w:val="center"/>
        <w:rPr>
          <w:sz w:val="36"/>
        </w:rPr>
      </w:pPr>
    </w:p>
    <w:p>
      <w:pPr>
        <w:spacing w:line="720" w:lineRule="auto"/>
        <w:jc w:val="center"/>
        <w:rPr>
          <w:sz w:val="36"/>
        </w:rPr>
      </w:pPr>
    </w:p>
    <w:p>
      <w:pPr>
        <w:ind w:firstLine="964" w:firstLineChars="300"/>
        <w:rPr>
          <w:rFonts w:hint="default"/>
          <w:b/>
          <w:sz w:val="32"/>
          <w:szCs w:val="32"/>
          <w:u w:val="single"/>
          <w:lang w:val="en-US" w:eastAsia="zh-CN"/>
        </w:rPr>
      </w:pPr>
      <w:r>
        <w:rPr>
          <w:b/>
          <w:sz w:val="32"/>
          <w:szCs w:val="32"/>
        </w:rPr>
        <w:t>项目名称：</w:t>
      </w:r>
      <w:r>
        <w:rPr>
          <w:rFonts w:hint="eastAsia"/>
          <w:b/>
          <w:sz w:val="32"/>
          <w:szCs w:val="32"/>
          <w:u w:val="single"/>
          <w:lang w:val="en-US" w:eastAsia="zh-CN"/>
        </w:rPr>
        <w:t xml:space="preserve"> 苏州源顺祥新材料有限公司年增产塑 </w:t>
      </w:r>
    </w:p>
    <w:p>
      <w:pPr>
        <w:ind w:firstLine="2891" w:firstLineChars="900"/>
        <w:rPr>
          <w:rFonts w:hint="default"/>
          <w:b w:val="0"/>
          <w:bCs/>
          <w:sz w:val="32"/>
          <w:szCs w:val="32"/>
          <w:u w:val="single"/>
          <w:lang w:val="en-US" w:eastAsia="zh-CN"/>
        </w:rPr>
      </w:pPr>
      <w:r>
        <w:rPr>
          <w:rFonts w:hint="eastAsia"/>
          <w:b/>
          <w:sz w:val="32"/>
          <w:szCs w:val="32"/>
          <w:u w:val="single"/>
          <w:lang w:val="en-US" w:eastAsia="zh-CN"/>
        </w:rPr>
        <w:t xml:space="preserve">料制品1500吨扩建项目 </w:t>
      </w:r>
    </w:p>
    <w:p>
      <w:pPr>
        <w:ind w:firstLine="964" w:firstLineChars="300"/>
        <w:rPr>
          <w:rFonts w:hint="default" w:eastAsia="宋体"/>
          <w:b/>
          <w:sz w:val="36"/>
          <w:lang w:val="en-US" w:eastAsia="zh-CN"/>
        </w:rPr>
      </w:pPr>
      <w:r>
        <w:rPr>
          <w:b/>
          <w:sz w:val="32"/>
          <w:szCs w:val="32"/>
        </w:rPr>
        <w:t>建设单位（盖章）：</w:t>
      </w:r>
      <w:r>
        <w:rPr>
          <w:rFonts w:hint="eastAsia"/>
          <w:b/>
          <w:sz w:val="32"/>
          <w:szCs w:val="32"/>
          <w:u w:val="single"/>
          <w:lang w:val="en-US" w:eastAsia="zh-CN"/>
        </w:rPr>
        <w:t xml:space="preserve"> 苏州源顺祥新材料有限公司 </w:t>
      </w:r>
    </w:p>
    <w:p>
      <w:pPr>
        <w:jc w:val="center"/>
        <w:rPr>
          <w:sz w:val="36"/>
        </w:rPr>
      </w:pPr>
    </w:p>
    <w:p>
      <w:pPr>
        <w:jc w:val="center"/>
        <w:rPr>
          <w:sz w:val="36"/>
        </w:rPr>
      </w:pPr>
    </w:p>
    <w:p>
      <w:pPr>
        <w:jc w:val="center"/>
        <w:rPr>
          <w:sz w:val="36"/>
        </w:rPr>
      </w:pPr>
    </w:p>
    <w:p>
      <w:pPr>
        <w:rPr>
          <w:sz w:val="36"/>
        </w:rPr>
      </w:pPr>
    </w:p>
    <w:p>
      <w:pPr>
        <w:jc w:val="center"/>
        <w:rPr>
          <w:sz w:val="36"/>
        </w:rPr>
      </w:pPr>
      <w:r>
        <w:rPr>
          <w:sz w:val="36"/>
        </w:rPr>
        <w:t>编制日期：</w:t>
      </w:r>
      <w:r>
        <w:rPr>
          <w:rFonts w:hint="eastAsia"/>
          <w:sz w:val="36"/>
          <w:lang w:val="en-US" w:eastAsia="zh-CN"/>
        </w:rPr>
        <w:t>2020</w:t>
      </w:r>
      <w:r>
        <w:rPr>
          <w:sz w:val="36"/>
        </w:rPr>
        <w:t>年</w:t>
      </w:r>
      <w:r>
        <w:rPr>
          <w:rFonts w:hint="eastAsia"/>
          <w:sz w:val="36"/>
          <w:lang w:val="en-US" w:eastAsia="zh-CN"/>
        </w:rPr>
        <w:t>5</w:t>
      </w:r>
      <w:r>
        <w:rPr>
          <w:sz w:val="36"/>
        </w:rPr>
        <w:t>月</w:t>
      </w:r>
    </w:p>
    <w:p>
      <w:pPr>
        <w:jc w:val="center"/>
        <w:rPr>
          <w:sz w:val="36"/>
          <w:szCs w:val="36"/>
        </w:rPr>
      </w:pPr>
      <w:r>
        <w:rPr>
          <w:sz w:val="36"/>
          <w:szCs w:val="36"/>
        </w:rPr>
        <w:t>江苏省环保厅制</w:t>
      </w:r>
    </w:p>
    <w:p>
      <w:pPr>
        <w:jc w:val="center"/>
        <w:rPr>
          <w:sz w:val="36"/>
          <w:szCs w:val="36"/>
        </w:rPr>
      </w:pPr>
    </w:p>
    <w:p>
      <w:pPr>
        <w:spacing w:line="480" w:lineRule="auto"/>
        <w:ind w:firstLine="161" w:firstLineChars="50"/>
        <w:rPr>
          <w:b/>
          <w:bCs/>
          <w:sz w:val="32"/>
        </w:rPr>
        <w:sectPr>
          <w:headerReference r:id="rId3" w:type="default"/>
          <w:headerReference r:id="rId4" w:type="even"/>
          <w:footerReference r:id="rId5" w:type="even"/>
          <w:pgSz w:w="11907" w:h="16840"/>
          <w:pgMar w:top="1871" w:right="1418" w:bottom="1559" w:left="1418" w:header="964" w:footer="720" w:gutter="0"/>
          <w:cols w:space="720" w:num="1"/>
          <w:titlePg/>
          <w:docGrid w:type="lines" w:linePitch="312" w:charSpace="0"/>
        </w:sectPr>
      </w:pPr>
    </w:p>
    <w:p>
      <w:pPr>
        <w:spacing w:line="480" w:lineRule="auto"/>
        <w:rPr>
          <w:b/>
          <w:bCs/>
          <w:sz w:val="32"/>
        </w:rPr>
      </w:pPr>
    </w:p>
    <w:p>
      <w:pPr>
        <w:jc w:val="center"/>
        <w:rPr>
          <w:rFonts w:eastAsia="黑体"/>
          <w:sz w:val="30"/>
        </w:rPr>
      </w:pPr>
      <w:r>
        <w:rPr>
          <w:rFonts w:eastAsia="黑体"/>
          <w:sz w:val="30"/>
        </w:rPr>
        <w:t>《建设项目环境影响报告表》编制说明</w:t>
      </w:r>
    </w:p>
    <w:p>
      <w:pPr>
        <w:rPr>
          <w:rFonts w:eastAsia="黑体"/>
          <w:sz w:val="30"/>
        </w:rPr>
      </w:pPr>
    </w:p>
    <w:p>
      <w:pPr>
        <w:ind w:firstLine="240" w:firstLineChars="100"/>
      </w:pPr>
      <w:r>
        <w:t>《建设项目环境影响报告表》由具有从事环境影响评价工作资质的单位编制。</w:t>
      </w:r>
    </w:p>
    <w:p>
      <w:pPr>
        <w:numPr>
          <w:ilvl w:val="0"/>
          <w:numId w:val="1"/>
        </w:numPr>
        <w:tabs>
          <w:tab w:val="left" w:pos="630"/>
          <w:tab w:val="left" w:pos="735"/>
          <w:tab w:val="clear" w:pos="885"/>
        </w:tabs>
        <w:ind w:left="527" w:firstLine="0"/>
      </w:pPr>
      <w:r>
        <w:t>项目名称———项目立项批复时的名称，应不超过30个字（两个英文字段作一个汉字）。</w:t>
      </w:r>
    </w:p>
    <w:p>
      <w:pPr>
        <w:numPr>
          <w:ilvl w:val="0"/>
          <w:numId w:val="1"/>
        </w:numPr>
        <w:ind w:left="527" w:firstLine="0"/>
      </w:pPr>
      <w:r>
        <w:t>建设地点———指项目所在地详细地址，公路、铁路应填写起止地点。</w:t>
      </w:r>
    </w:p>
    <w:p>
      <w:pPr>
        <w:numPr>
          <w:ilvl w:val="0"/>
          <w:numId w:val="1"/>
        </w:numPr>
        <w:ind w:left="527" w:firstLine="0"/>
      </w:pPr>
      <w:r>
        <w:t>行业类别———按国标填写。</w:t>
      </w:r>
    </w:p>
    <w:p>
      <w:pPr>
        <w:numPr>
          <w:ilvl w:val="0"/>
          <w:numId w:val="1"/>
        </w:numPr>
        <w:ind w:left="527" w:firstLine="0"/>
      </w:pPr>
      <w:r>
        <w:t>总投资———指项目投资总额。</w:t>
      </w:r>
    </w:p>
    <w:p>
      <w:pPr>
        <w:numPr>
          <w:ilvl w:val="0"/>
          <w:numId w:val="1"/>
        </w:numPr>
        <w:ind w:left="527" w:firstLine="0"/>
      </w:pPr>
      <w:r>
        <w:t>主要环境保护目标———指项目区周围一定范围内集中居民住宅区、学校、医院、保护文物、风景名胜区、水源地和生态敏感点等，应尽可能给出保护目标、性质、规模和距厂界距离等。</w:t>
      </w:r>
    </w:p>
    <w:p>
      <w:pPr>
        <w:numPr>
          <w:ilvl w:val="0"/>
          <w:numId w:val="1"/>
        </w:numPr>
        <w:ind w:left="527" w:firstLine="0"/>
      </w:pPr>
      <w:r>
        <w:t>结论与建议———给出本项目清洁生产、达标排放和总量控制的分析结论，确定污染防治措施的有效性，说明本项目对环境造成的影响，给出建设项目环境可行性的明确结论。同时提出减少环境影响的其它建议。</w:t>
      </w:r>
    </w:p>
    <w:p>
      <w:pPr>
        <w:numPr>
          <w:ilvl w:val="0"/>
          <w:numId w:val="1"/>
        </w:numPr>
        <w:ind w:left="527" w:firstLine="0"/>
      </w:pPr>
      <w:r>
        <w:t>预审意见———由行业主管部门填写答复意见，无主管部门项目，可不填。</w:t>
      </w:r>
    </w:p>
    <w:p>
      <w:pPr>
        <w:numPr>
          <w:ilvl w:val="0"/>
          <w:numId w:val="1"/>
        </w:numPr>
        <w:ind w:left="527" w:firstLine="0"/>
      </w:pPr>
      <w:r>
        <w:t>审批意见———由负责审批该项目的环境保护行政主管部门批复。</w:t>
      </w:r>
    </w:p>
    <w:p>
      <w:pPr>
        <w:rPr>
          <w:b/>
          <w:sz w:val="28"/>
        </w:rPr>
      </w:pPr>
      <w:r>
        <w:rPr>
          <w:b/>
          <w:sz w:val="28"/>
        </w:rPr>
        <w:br w:type="page"/>
      </w:r>
    </w:p>
    <w:p>
      <w:pPr>
        <w:pStyle w:val="17"/>
        <w:tabs>
          <w:tab w:val="right" w:leader="dot" w:pos="8306"/>
        </w:tabs>
      </w:pPr>
    </w:p>
    <w:p>
      <w:pPr>
        <w:pStyle w:val="17"/>
        <w:tabs>
          <w:tab w:val="right" w:leader="dot" w:pos="8306"/>
        </w:tabs>
        <w:rPr>
          <w:rFonts w:hint="eastAsia"/>
          <w:sz w:val="40"/>
          <w:szCs w:val="40"/>
          <w:lang w:val="en-US" w:eastAsia="zh-CN"/>
        </w:rPr>
      </w:pPr>
      <w:r>
        <w:rPr>
          <w:rFonts w:hint="eastAsia"/>
          <w:sz w:val="40"/>
          <w:szCs w:val="40"/>
          <w:lang w:val="en-US" w:eastAsia="zh-CN"/>
        </w:rPr>
        <w:t>目录</w:t>
      </w:r>
    </w:p>
    <w:p>
      <w:pPr>
        <w:rPr>
          <w:rFonts w:hint="eastAsia"/>
          <w:sz w:val="40"/>
          <w:szCs w:val="40"/>
          <w:lang w:val="en-US" w:eastAsia="zh-CN"/>
        </w:rPr>
      </w:pPr>
    </w:p>
    <w:p>
      <w:pPr>
        <w:pStyle w:val="2"/>
        <w:rPr>
          <w:rFonts w:hint="default"/>
          <w:lang w:val="en-US" w:eastAsia="zh-CN"/>
        </w:rPr>
      </w:pPr>
    </w:p>
    <w:p>
      <w:pPr>
        <w:pStyle w:val="17"/>
        <w:tabs>
          <w:tab w:val="right" w:leader="dot" w:pos="8306"/>
        </w:tabs>
        <w:spacing w:line="480" w:lineRule="auto"/>
        <w:rPr>
          <w:sz w:val="24"/>
          <w:szCs w:val="24"/>
        </w:rPr>
      </w:pPr>
      <w:r>
        <w:rPr>
          <w:sz w:val="24"/>
          <w:szCs w:val="24"/>
        </w:rPr>
        <w:fldChar w:fldCharType="begin"/>
      </w:r>
      <w:r>
        <w:rPr>
          <w:sz w:val="24"/>
          <w:szCs w:val="24"/>
        </w:rPr>
        <w:instrText xml:space="preserve">TOC \o "1-3" \h \u </w:instrText>
      </w:r>
      <w:r>
        <w:rPr>
          <w:sz w:val="24"/>
          <w:szCs w:val="24"/>
        </w:rPr>
        <w:fldChar w:fldCharType="separate"/>
      </w:r>
      <w:r>
        <w:rPr>
          <w:sz w:val="24"/>
          <w:szCs w:val="24"/>
        </w:rPr>
        <w:fldChar w:fldCharType="begin"/>
      </w:r>
      <w:r>
        <w:rPr>
          <w:sz w:val="24"/>
          <w:szCs w:val="24"/>
        </w:rPr>
        <w:instrText xml:space="preserve"> HYPERLINK \l _Toc30387 </w:instrText>
      </w:r>
      <w:r>
        <w:rPr>
          <w:sz w:val="24"/>
          <w:szCs w:val="24"/>
        </w:rPr>
        <w:fldChar w:fldCharType="separate"/>
      </w:r>
      <w:r>
        <w:rPr>
          <w:sz w:val="24"/>
          <w:szCs w:val="24"/>
        </w:rPr>
        <w:t>一、建设项目基本情况</w:t>
      </w:r>
      <w:r>
        <w:rPr>
          <w:sz w:val="24"/>
          <w:szCs w:val="24"/>
        </w:rPr>
        <w:tab/>
      </w:r>
      <w:r>
        <w:rPr>
          <w:sz w:val="24"/>
          <w:szCs w:val="24"/>
        </w:rPr>
        <w:fldChar w:fldCharType="begin"/>
      </w:r>
      <w:r>
        <w:rPr>
          <w:sz w:val="24"/>
          <w:szCs w:val="24"/>
        </w:rPr>
        <w:instrText xml:space="preserve"> PAGEREF _Toc30387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7"/>
        <w:tabs>
          <w:tab w:val="right" w:leader="dot" w:pos="8306"/>
        </w:tabs>
        <w:spacing w:line="480" w:lineRule="auto"/>
        <w:rPr>
          <w:sz w:val="24"/>
          <w:szCs w:val="24"/>
        </w:rPr>
      </w:pPr>
      <w:r>
        <w:rPr>
          <w:sz w:val="24"/>
          <w:szCs w:val="24"/>
        </w:rPr>
        <w:fldChar w:fldCharType="begin"/>
      </w:r>
      <w:r>
        <w:rPr>
          <w:sz w:val="24"/>
          <w:szCs w:val="24"/>
        </w:rPr>
        <w:instrText xml:space="preserve"> HYPERLINK \l _Toc24640 </w:instrText>
      </w:r>
      <w:r>
        <w:rPr>
          <w:sz w:val="24"/>
          <w:szCs w:val="24"/>
        </w:rPr>
        <w:fldChar w:fldCharType="separate"/>
      </w:r>
      <w:r>
        <w:rPr>
          <w:rFonts w:hint="default"/>
          <w:sz w:val="24"/>
          <w:szCs w:val="24"/>
        </w:rPr>
        <w:t>二、建设项目所在地自然环境社会环境简况</w:t>
      </w:r>
      <w:r>
        <w:rPr>
          <w:sz w:val="24"/>
          <w:szCs w:val="24"/>
        </w:rPr>
        <w:tab/>
      </w:r>
      <w:r>
        <w:rPr>
          <w:sz w:val="24"/>
          <w:szCs w:val="24"/>
        </w:rPr>
        <w:fldChar w:fldCharType="begin"/>
      </w:r>
      <w:r>
        <w:rPr>
          <w:sz w:val="24"/>
          <w:szCs w:val="24"/>
        </w:rPr>
        <w:instrText xml:space="preserve"> PAGEREF _Toc24640 </w:instrText>
      </w:r>
      <w:r>
        <w:rPr>
          <w:sz w:val="24"/>
          <w:szCs w:val="24"/>
        </w:rPr>
        <w:fldChar w:fldCharType="separate"/>
      </w:r>
      <w:r>
        <w:rPr>
          <w:sz w:val="24"/>
          <w:szCs w:val="24"/>
        </w:rPr>
        <w:t>16</w:t>
      </w:r>
      <w:r>
        <w:rPr>
          <w:sz w:val="24"/>
          <w:szCs w:val="24"/>
        </w:rPr>
        <w:fldChar w:fldCharType="end"/>
      </w:r>
      <w:r>
        <w:rPr>
          <w:sz w:val="24"/>
          <w:szCs w:val="24"/>
        </w:rPr>
        <w:fldChar w:fldCharType="end"/>
      </w:r>
    </w:p>
    <w:p>
      <w:pPr>
        <w:pStyle w:val="17"/>
        <w:tabs>
          <w:tab w:val="right" w:leader="dot" w:pos="8306"/>
        </w:tabs>
        <w:spacing w:line="480" w:lineRule="auto"/>
        <w:rPr>
          <w:sz w:val="24"/>
          <w:szCs w:val="24"/>
        </w:rPr>
      </w:pPr>
      <w:r>
        <w:rPr>
          <w:sz w:val="24"/>
          <w:szCs w:val="24"/>
        </w:rPr>
        <w:fldChar w:fldCharType="begin"/>
      </w:r>
      <w:r>
        <w:rPr>
          <w:sz w:val="24"/>
          <w:szCs w:val="24"/>
        </w:rPr>
        <w:instrText xml:space="preserve"> HYPERLINK \l _Toc26412 </w:instrText>
      </w:r>
      <w:r>
        <w:rPr>
          <w:sz w:val="24"/>
          <w:szCs w:val="24"/>
        </w:rPr>
        <w:fldChar w:fldCharType="separate"/>
      </w:r>
      <w:r>
        <w:rPr>
          <w:rFonts w:ascii="Times New Roman" w:hAnsi="Times New Roman"/>
          <w:sz w:val="24"/>
          <w:szCs w:val="24"/>
        </w:rPr>
        <w:t>三、环境质量状况</w:t>
      </w:r>
      <w:r>
        <w:rPr>
          <w:sz w:val="24"/>
          <w:szCs w:val="24"/>
        </w:rPr>
        <w:tab/>
      </w:r>
      <w:r>
        <w:rPr>
          <w:sz w:val="24"/>
          <w:szCs w:val="24"/>
        </w:rPr>
        <w:fldChar w:fldCharType="begin"/>
      </w:r>
      <w:r>
        <w:rPr>
          <w:sz w:val="24"/>
          <w:szCs w:val="24"/>
        </w:rPr>
        <w:instrText xml:space="preserve"> PAGEREF _Toc26412 </w:instrText>
      </w:r>
      <w:r>
        <w:rPr>
          <w:sz w:val="24"/>
          <w:szCs w:val="24"/>
        </w:rPr>
        <w:fldChar w:fldCharType="separate"/>
      </w:r>
      <w:r>
        <w:rPr>
          <w:sz w:val="24"/>
          <w:szCs w:val="24"/>
        </w:rPr>
        <w:t>27</w:t>
      </w:r>
      <w:r>
        <w:rPr>
          <w:sz w:val="24"/>
          <w:szCs w:val="24"/>
        </w:rPr>
        <w:fldChar w:fldCharType="end"/>
      </w:r>
      <w:r>
        <w:rPr>
          <w:sz w:val="24"/>
          <w:szCs w:val="24"/>
        </w:rPr>
        <w:fldChar w:fldCharType="end"/>
      </w:r>
    </w:p>
    <w:p>
      <w:pPr>
        <w:pStyle w:val="17"/>
        <w:tabs>
          <w:tab w:val="right" w:leader="dot" w:pos="8306"/>
        </w:tabs>
        <w:spacing w:line="480" w:lineRule="auto"/>
        <w:rPr>
          <w:sz w:val="24"/>
          <w:szCs w:val="24"/>
        </w:rPr>
      </w:pPr>
      <w:r>
        <w:rPr>
          <w:sz w:val="24"/>
          <w:szCs w:val="24"/>
        </w:rPr>
        <w:fldChar w:fldCharType="begin"/>
      </w:r>
      <w:r>
        <w:rPr>
          <w:sz w:val="24"/>
          <w:szCs w:val="24"/>
        </w:rPr>
        <w:instrText xml:space="preserve"> HYPERLINK \l _Toc23074 </w:instrText>
      </w:r>
      <w:r>
        <w:rPr>
          <w:sz w:val="24"/>
          <w:szCs w:val="24"/>
        </w:rPr>
        <w:fldChar w:fldCharType="separate"/>
      </w:r>
      <w:r>
        <w:rPr>
          <w:rFonts w:hint="eastAsia"/>
          <w:sz w:val="24"/>
          <w:szCs w:val="40"/>
          <w:lang w:val="en-US" w:eastAsia="zh-CN"/>
        </w:rPr>
        <w:t>四、</w:t>
      </w:r>
      <w:r>
        <w:rPr>
          <w:rFonts w:hint="default"/>
          <w:sz w:val="24"/>
          <w:szCs w:val="40"/>
        </w:rPr>
        <w:t>评价适用标准及总量控制指标</w:t>
      </w:r>
      <w:r>
        <w:rPr>
          <w:sz w:val="24"/>
          <w:szCs w:val="24"/>
        </w:rPr>
        <w:tab/>
      </w:r>
      <w:r>
        <w:rPr>
          <w:sz w:val="24"/>
          <w:szCs w:val="24"/>
        </w:rPr>
        <w:fldChar w:fldCharType="begin"/>
      </w:r>
      <w:r>
        <w:rPr>
          <w:sz w:val="24"/>
          <w:szCs w:val="24"/>
        </w:rPr>
        <w:instrText xml:space="preserve"> PAGEREF _Toc23074 </w:instrText>
      </w:r>
      <w:r>
        <w:rPr>
          <w:sz w:val="24"/>
          <w:szCs w:val="24"/>
        </w:rPr>
        <w:fldChar w:fldCharType="separate"/>
      </w:r>
      <w:r>
        <w:rPr>
          <w:sz w:val="24"/>
          <w:szCs w:val="24"/>
        </w:rPr>
        <w:t>31</w:t>
      </w:r>
      <w:r>
        <w:rPr>
          <w:sz w:val="24"/>
          <w:szCs w:val="24"/>
        </w:rPr>
        <w:fldChar w:fldCharType="end"/>
      </w:r>
      <w:r>
        <w:rPr>
          <w:sz w:val="24"/>
          <w:szCs w:val="24"/>
        </w:rPr>
        <w:fldChar w:fldCharType="end"/>
      </w:r>
    </w:p>
    <w:p>
      <w:pPr>
        <w:pStyle w:val="17"/>
        <w:tabs>
          <w:tab w:val="right" w:leader="dot" w:pos="8306"/>
        </w:tabs>
        <w:spacing w:line="480" w:lineRule="auto"/>
        <w:rPr>
          <w:sz w:val="24"/>
          <w:szCs w:val="24"/>
        </w:rPr>
      </w:pPr>
      <w:r>
        <w:rPr>
          <w:sz w:val="24"/>
          <w:szCs w:val="24"/>
        </w:rPr>
        <w:fldChar w:fldCharType="begin"/>
      </w:r>
      <w:r>
        <w:rPr>
          <w:sz w:val="24"/>
          <w:szCs w:val="24"/>
        </w:rPr>
        <w:instrText xml:space="preserve"> HYPERLINK \l _Toc12991 </w:instrText>
      </w:r>
      <w:r>
        <w:rPr>
          <w:sz w:val="24"/>
          <w:szCs w:val="24"/>
        </w:rPr>
        <w:fldChar w:fldCharType="separate"/>
      </w:r>
      <w:r>
        <w:rPr>
          <w:rFonts w:hint="eastAsia"/>
          <w:sz w:val="24"/>
          <w:szCs w:val="24"/>
          <w:lang w:val="en-US" w:eastAsia="zh-CN"/>
        </w:rPr>
        <w:t>五、</w:t>
      </w:r>
      <w:r>
        <w:rPr>
          <w:rFonts w:hint="default"/>
          <w:sz w:val="24"/>
          <w:szCs w:val="24"/>
        </w:rPr>
        <w:t>建设项目工程分析</w:t>
      </w:r>
      <w:r>
        <w:rPr>
          <w:sz w:val="24"/>
          <w:szCs w:val="24"/>
        </w:rPr>
        <w:tab/>
      </w:r>
      <w:r>
        <w:rPr>
          <w:sz w:val="24"/>
          <w:szCs w:val="24"/>
        </w:rPr>
        <w:fldChar w:fldCharType="begin"/>
      </w:r>
      <w:r>
        <w:rPr>
          <w:sz w:val="24"/>
          <w:szCs w:val="24"/>
        </w:rPr>
        <w:instrText xml:space="preserve"> PAGEREF _Toc12991 </w:instrText>
      </w:r>
      <w:r>
        <w:rPr>
          <w:sz w:val="24"/>
          <w:szCs w:val="24"/>
        </w:rPr>
        <w:fldChar w:fldCharType="separate"/>
      </w:r>
      <w:r>
        <w:rPr>
          <w:sz w:val="24"/>
          <w:szCs w:val="24"/>
        </w:rPr>
        <w:t>35</w:t>
      </w:r>
      <w:r>
        <w:rPr>
          <w:sz w:val="24"/>
          <w:szCs w:val="24"/>
        </w:rPr>
        <w:fldChar w:fldCharType="end"/>
      </w:r>
      <w:r>
        <w:rPr>
          <w:sz w:val="24"/>
          <w:szCs w:val="24"/>
        </w:rPr>
        <w:fldChar w:fldCharType="end"/>
      </w:r>
    </w:p>
    <w:p>
      <w:pPr>
        <w:pStyle w:val="17"/>
        <w:tabs>
          <w:tab w:val="right" w:leader="dot" w:pos="8306"/>
        </w:tabs>
        <w:spacing w:line="480" w:lineRule="auto"/>
        <w:rPr>
          <w:sz w:val="24"/>
          <w:szCs w:val="24"/>
        </w:rPr>
      </w:pPr>
      <w:r>
        <w:rPr>
          <w:sz w:val="24"/>
          <w:szCs w:val="24"/>
        </w:rPr>
        <w:fldChar w:fldCharType="begin"/>
      </w:r>
      <w:r>
        <w:rPr>
          <w:sz w:val="24"/>
          <w:szCs w:val="24"/>
        </w:rPr>
        <w:instrText xml:space="preserve"> HYPERLINK \l _Toc31318 </w:instrText>
      </w:r>
      <w:r>
        <w:rPr>
          <w:sz w:val="24"/>
          <w:szCs w:val="24"/>
        </w:rPr>
        <w:fldChar w:fldCharType="separate"/>
      </w:r>
      <w:r>
        <w:rPr>
          <w:rFonts w:hint="eastAsia"/>
          <w:sz w:val="24"/>
          <w:szCs w:val="24"/>
          <w:lang w:val="en-US" w:eastAsia="zh-CN"/>
        </w:rPr>
        <w:t>六、</w:t>
      </w:r>
      <w:r>
        <w:rPr>
          <w:rFonts w:hint="default"/>
          <w:sz w:val="24"/>
          <w:szCs w:val="24"/>
        </w:rPr>
        <w:t>项目主要污染物产生及预计排放情况</w:t>
      </w:r>
      <w:r>
        <w:rPr>
          <w:sz w:val="24"/>
          <w:szCs w:val="24"/>
        </w:rPr>
        <w:tab/>
      </w:r>
      <w:r>
        <w:rPr>
          <w:sz w:val="24"/>
          <w:szCs w:val="24"/>
        </w:rPr>
        <w:fldChar w:fldCharType="begin"/>
      </w:r>
      <w:r>
        <w:rPr>
          <w:sz w:val="24"/>
          <w:szCs w:val="24"/>
        </w:rPr>
        <w:instrText xml:space="preserve"> PAGEREF _Toc31318 </w:instrText>
      </w:r>
      <w:r>
        <w:rPr>
          <w:sz w:val="24"/>
          <w:szCs w:val="24"/>
        </w:rPr>
        <w:fldChar w:fldCharType="separate"/>
      </w:r>
      <w:r>
        <w:rPr>
          <w:sz w:val="24"/>
          <w:szCs w:val="24"/>
        </w:rPr>
        <w:t>40</w:t>
      </w:r>
      <w:r>
        <w:rPr>
          <w:sz w:val="24"/>
          <w:szCs w:val="24"/>
        </w:rPr>
        <w:fldChar w:fldCharType="end"/>
      </w:r>
      <w:r>
        <w:rPr>
          <w:sz w:val="24"/>
          <w:szCs w:val="24"/>
        </w:rPr>
        <w:fldChar w:fldCharType="end"/>
      </w:r>
    </w:p>
    <w:p>
      <w:pPr>
        <w:pStyle w:val="17"/>
        <w:tabs>
          <w:tab w:val="right" w:leader="dot" w:pos="8306"/>
        </w:tabs>
        <w:spacing w:line="480" w:lineRule="auto"/>
        <w:rPr>
          <w:sz w:val="24"/>
          <w:szCs w:val="24"/>
        </w:rPr>
      </w:pPr>
      <w:r>
        <w:rPr>
          <w:sz w:val="24"/>
          <w:szCs w:val="24"/>
        </w:rPr>
        <w:fldChar w:fldCharType="begin"/>
      </w:r>
      <w:r>
        <w:rPr>
          <w:sz w:val="24"/>
          <w:szCs w:val="24"/>
        </w:rPr>
        <w:instrText xml:space="preserve"> HYPERLINK \l _Toc15737 </w:instrText>
      </w:r>
      <w:r>
        <w:rPr>
          <w:sz w:val="24"/>
          <w:szCs w:val="24"/>
        </w:rPr>
        <w:fldChar w:fldCharType="separate"/>
      </w:r>
      <w:r>
        <w:rPr>
          <w:rFonts w:hint="eastAsia"/>
          <w:sz w:val="24"/>
          <w:szCs w:val="24"/>
          <w:lang w:val="en-US" w:eastAsia="zh-CN"/>
        </w:rPr>
        <w:t>七、</w:t>
      </w:r>
      <w:r>
        <w:rPr>
          <w:rFonts w:hint="default"/>
          <w:sz w:val="24"/>
          <w:szCs w:val="24"/>
        </w:rPr>
        <w:t>环境影响分析</w:t>
      </w:r>
      <w:r>
        <w:rPr>
          <w:sz w:val="24"/>
          <w:szCs w:val="24"/>
        </w:rPr>
        <w:tab/>
      </w:r>
      <w:r>
        <w:rPr>
          <w:sz w:val="24"/>
          <w:szCs w:val="24"/>
        </w:rPr>
        <w:fldChar w:fldCharType="begin"/>
      </w:r>
      <w:r>
        <w:rPr>
          <w:sz w:val="24"/>
          <w:szCs w:val="24"/>
        </w:rPr>
        <w:instrText xml:space="preserve"> PAGEREF _Toc15737 </w:instrText>
      </w:r>
      <w:r>
        <w:rPr>
          <w:sz w:val="24"/>
          <w:szCs w:val="24"/>
        </w:rPr>
        <w:fldChar w:fldCharType="separate"/>
      </w:r>
      <w:r>
        <w:rPr>
          <w:sz w:val="24"/>
          <w:szCs w:val="24"/>
        </w:rPr>
        <w:t>41</w:t>
      </w:r>
      <w:r>
        <w:rPr>
          <w:sz w:val="24"/>
          <w:szCs w:val="24"/>
        </w:rPr>
        <w:fldChar w:fldCharType="end"/>
      </w:r>
      <w:r>
        <w:rPr>
          <w:sz w:val="24"/>
          <w:szCs w:val="24"/>
        </w:rPr>
        <w:fldChar w:fldCharType="end"/>
      </w:r>
    </w:p>
    <w:p>
      <w:pPr>
        <w:pStyle w:val="17"/>
        <w:tabs>
          <w:tab w:val="right" w:leader="dot" w:pos="8306"/>
        </w:tabs>
        <w:spacing w:line="480" w:lineRule="auto"/>
        <w:rPr>
          <w:sz w:val="24"/>
          <w:szCs w:val="24"/>
        </w:rPr>
      </w:pPr>
      <w:r>
        <w:rPr>
          <w:sz w:val="24"/>
          <w:szCs w:val="24"/>
        </w:rPr>
        <w:fldChar w:fldCharType="begin"/>
      </w:r>
      <w:r>
        <w:rPr>
          <w:sz w:val="24"/>
          <w:szCs w:val="24"/>
        </w:rPr>
        <w:instrText xml:space="preserve"> HYPERLINK \l _Toc15309 </w:instrText>
      </w:r>
      <w:r>
        <w:rPr>
          <w:sz w:val="24"/>
          <w:szCs w:val="24"/>
        </w:rPr>
        <w:fldChar w:fldCharType="separate"/>
      </w:r>
      <w:r>
        <w:rPr>
          <w:rFonts w:hint="eastAsia"/>
          <w:bCs/>
          <w:sz w:val="24"/>
          <w:szCs w:val="24"/>
        </w:rPr>
        <w:t xml:space="preserve">八、 </w:t>
      </w:r>
      <w:r>
        <w:rPr>
          <w:bCs/>
          <w:sz w:val="24"/>
          <w:szCs w:val="24"/>
        </w:rPr>
        <w:t>建设项目拟采取的防治措施和预期治理效果</w:t>
      </w:r>
      <w:r>
        <w:rPr>
          <w:sz w:val="24"/>
          <w:szCs w:val="24"/>
        </w:rPr>
        <w:tab/>
      </w:r>
      <w:r>
        <w:rPr>
          <w:sz w:val="24"/>
          <w:szCs w:val="24"/>
        </w:rPr>
        <w:fldChar w:fldCharType="begin"/>
      </w:r>
      <w:r>
        <w:rPr>
          <w:sz w:val="24"/>
          <w:szCs w:val="24"/>
        </w:rPr>
        <w:instrText xml:space="preserve"> PAGEREF _Toc15309 </w:instrText>
      </w:r>
      <w:r>
        <w:rPr>
          <w:sz w:val="24"/>
          <w:szCs w:val="24"/>
        </w:rPr>
        <w:fldChar w:fldCharType="separate"/>
      </w:r>
      <w:r>
        <w:rPr>
          <w:sz w:val="24"/>
          <w:szCs w:val="24"/>
        </w:rPr>
        <w:t>52</w:t>
      </w:r>
      <w:r>
        <w:rPr>
          <w:sz w:val="24"/>
          <w:szCs w:val="24"/>
        </w:rPr>
        <w:fldChar w:fldCharType="end"/>
      </w:r>
      <w:r>
        <w:rPr>
          <w:sz w:val="24"/>
          <w:szCs w:val="24"/>
        </w:rPr>
        <w:fldChar w:fldCharType="end"/>
      </w:r>
    </w:p>
    <w:p>
      <w:pPr>
        <w:pStyle w:val="17"/>
        <w:tabs>
          <w:tab w:val="right" w:leader="dot" w:pos="8306"/>
        </w:tabs>
        <w:spacing w:line="480" w:lineRule="auto"/>
        <w:rPr>
          <w:sz w:val="24"/>
          <w:szCs w:val="24"/>
        </w:rPr>
      </w:pPr>
      <w:r>
        <w:rPr>
          <w:sz w:val="24"/>
          <w:szCs w:val="24"/>
        </w:rPr>
        <w:fldChar w:fldCharType="begin"/>
      </w:r>
      <w:r>
        <w:rPr>
          <w:sz w:val="24"/>
          <w:szCs w:val="24"/>
        </w:rPr>
        <w:instrText xml:space="preserve"> HYPERLINK \l _Toc26955 </w:instrText>
      </w:r>
      <w:r>
        <w:rPr>
          <w:sz w:val="24"/>
          <w:szCs w:val="24"/>
        </w:rPr>
        <w:fldChar w:fldCharType="separate"/>
      </w:r>
      <w:r>
        <w:rPr>
          <w:rFonts w:hint="default"/>
          <w:sz w:val="24"/>
          <w:szCs w:val="24"/>
        </w:rPr>
        <w:t>九、结论与建议</w:t>
      </w:r>
      <w:r>
        <w:rPr>
          <w:sz w:val="24"/>
          <w:szCs w:val="24"/>
        </w:rPr>
        <w:tab/>
      </w:r>
      <w:r>
        <w:rPr>
          <w:sz w:val="24"/>
          <w:szCs w:val="24"/>
        </w:rPr>
        <w:fldChar w:fldCharType="begin"/>
      </w:r>
      <w:r>
        <w:rPr>
          <w:sz w:val="24"/>
          <w:szCs w:val="24"/>
        </w:rPr>
        <w:instrText xml:space="preserve"> PAGEREF _Toc26955 </w:instrText>
      </w:r>
      <w:r>
        <w:rPr>
          <w:sz w:val="24"/>
          <w:szCs w:val="24"/>
        </w:rPr>
        <w:fldChar w:fldCharType="separate"/>
      </w:r>
      <w:r>
        <w:rPr>
          <w:sz w:val="24"/>
          <w:szCs w:val="24"/>
        </w:rPr>
        <w:t>53</w:t>
      </w:r>
      <w:r>
        <w:rPr>
          <w:sz w:val="24"/>
          <w:szCs w:val="24"/>
        </w:rPr>
        <w:fldChar w:fldCharType="end"/>
      </w:r>
      <w:r>
        <w:rPr>
          <w:sz w:val="24"/>
          <w:szCs w:val="24"/>
        </w:rPr>
        <w:fldChar w:fldCharType="end"/>
      </w:r>
    </w:p>
    <w:p>
      <w:pPr>
        <w:pStyle w:val="2"/>
        <w:spacing w:line="480" w:lineRule="auto"/>
        <w:sectPr>
          <w:footerReference r:id="rId6" w:type="default"/>
          <w:pgSz w:w="11906" w:h="16838"/>
          <w:pgMar w:top="1440" w:right="1800" w:bottom="1440" w:left="1800" w:header="851" w:footer="992" w:gutter="0"/>
          <w:cols w:space="720" w:num="1"/>
          <w:docGrid w:type="lines" w:linePitch="312" w:charSpace="0"/>
        </w:sectPr>
      </w:pPr>
      <w:r>
        <w:rPr>
          <w:sz w:val="36"/>
          <w:szCs w:val="36"/>
        </w:rPr>
        <w:fldChar w:fldCharType="end"/>
      </w:r>
    </w:p>
    <w:p>
      <w:pPr>
        <w:outlineLvl w:val="0"/>
        <w:rPr>
          <w:sz w:val="28"/>
        </w:rPr>
      </w:pPr>
      <w:bookmarkStart w:id="0" w:name="_Toc30387"/>
      <w:bookmarkStart w:id="13" w:name="_GoBack"/>
      <w:bookmarkEnd w:id="13"/>
      <w:r>
        <w:rPr>
          <w:b/>
          <w:sz w:val="28"/>
        </w:rPr>
        <w:t>一、建设项目基本情况</w:t>
      </w:r>
      <w:bookmarkEnd w:id="0"/>
    </w:p>
    <w:tbl>
      <w:tblPr>
        <w:tblStyle w:val="2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2"/>
        <w:gridCol w:w="1486"/>
        <w:gridCol w:w="712"/>
        <w:gridCol w:w="353"/>
        <w:gridCol w:w="398"/>
        <w:gridCol w:w="1150"/>
        <w:gridCol w:w="225"/>
        <w:gridCol w:w="971"/>
        <w:gridCol w:w="938"/>
        <w:gridCol w:w="284"/>
        <w:gridCol w:w="73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4" w:type="dxa"/>
            <w:tcBorders>
              <w:top w:val="single" w:color="auto" w:sz="4" w:space="0"/>
              <w:left w:val="single" w:color="auto" w:sz="4" w:space="0"/>
              <w:right w:val="single" w:color="auto" w:sz="4" w:space="0"/>
            </w:tcBorders>
            <w:vAlign w:val="center"/>
          </w:tcPr>
          <w:p>
            <w:pPr>
              <w:jc w:val="left"/>
              <w:rPr>
                <w:b/>
                <w:bCs/>
                <w:color w:val="auto"/>
              </w:rPr>
            </w:pPr>
            <w:r>
              <w:rPr>
                <w:b/>
                <w:bCs/>
                <w:color w:val="auto"/>
              </w:rPr>
              <w:t>项目名称</w:t>
            </w:r>
          </w:p>
        </w:tc>
        <w:tc>
          <w:tcPr>
            <w:tcW w:w="8374" w:type="dxa"/>
            <w:gridSpan w:val="11"/>
            <w:tcBorders>
              <w:top w:val="single" w:color="auto" w:sz="4" w:space="0"/>
              <w:left w:val="single" w:color="auto" w:sz="4" w:space="0"/>
              <w:right w:val="single" w:color="auto" w:sz="4" w:space="0"/>
            </w:tcBorders>
            <w:vAlign w:val="center"/>
          </w:tcPr>
          <w:p>
            <w:pPr>
              <w:jc w:val="center"/>
              <w:rPr>
                <w:color w:val="auto"/>
              </w:rPr>
            </w:pPr>
            <w:r>
              <w:rPr>
                <w:rFonts w:hint="eastAsia"/>
                <w:color w:val="auto"/>
              </w:rPr>
              <w:t>苏州源顺祥新材料有限公司年增产塑料制品1500吨扩建项目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4" w:type="dxa"/>
            <w:tcBorders>
              <w:top w:val="single" w:color="auto" w:sz="4" w:space="0"/>
              <w:left w:val="single" w:color="auto" w:sz="4" w:space="0"/>
              <w:bottom w:val="single" w:color="auto" w:sz="4" w:space="0"/>
              <w:right w:val="single" w:color="auto" w:sz="4" w:space="0"/>
            </w:tcBorders>
            <w:vAlign w:val="center"/>
          </w:tcPr>
          <w:p>
            <w:pPr>
              <w:rPr>
                <w:b/>
                <w:bCs/>
                <w:color w:val="auto"/>
              </w:rPr>
            </w:pPr>
            <w:r>
              <w:rPr>
                <w:b/>
                <w:bCs/>
                <w:color w:val="auto"/>
              </w:rPr>
              <w:t>建设单位</w:t>
            </w:r>
          </w:p>
        </w:tc>
        <w:tc>
          <w:tcPr>
            <w:tcW w:w="8374" w:type="dxa"/>
            <w:gridSpan w:val="11"/>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苏州源顺祥新材料有限公司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4" w:type="dxa"/>
            <w:tcBorders>
              <w:top w:val="single" w:color="auto" w:sz="4" w:space="0"/>
              <w:left w:val="single" w:color="auto" w:sz="4" w:space="0"/>
              <w:bottom w:val="single" w:color="auto" w:sz="4" w:space="0"/>
              <w:right w:val="single" w:color="auto" w:sz="4" w:space="0"/>
            </w:tcBorders>
            <w:vAlign w:val="center"/>
          </w:tcPr>
          <w:p>
            <w:pPr>
              <w:rPr>
                <w:b/>
                <w:bCs/>
                <w:color w:val="auto"/>
              </w:rPr>
            </w:pPr>
            <w:r>
              <w:rPr>
                <w:b/>
                <w:bCs/>
                <w:color w:val="auto"/>
              </w:rPr>
              <w:t>法人代表</w:t>
            </w:r>
          </w:p>
        </w:tc>
        <w:tc>
          <w:tcPr>
            <w:tcW w:w="3897" w:type="dxa"/>
            <w:gridSpan w:val="5"/>
            <w:tcBorders>
              <w:top w:val="single" w:color="auto" w:sz="4" w:space="0"/>
              <w:left w:val="single" w:color="auto" w:sz="4" w:space="0"/>
              <w:bottom w:val="single" w:color="auto" w:sz="4" w:space="0"/>
              <w:right w:val="single" w:color="auto" w:sz="4" w:space="0"/>
            </w:tcBorders>
            <w:vAlign w:val="center"/>
          </w:tcPr>
          <w:p>
            <w:pPr>
              <w:ind w:firstLine="1440" w:firstLineChars="600"/>
              <w:rPr>
                <w:rFonts w:hint="eastAsia" w:eastAsia="宋体"/>
                <w:color w:val="auto"/>
                <w:lang w:val="en-US" w:eastAsia="zh-CN"/>
              </w:rPr>
            </w:pPr>
            <w:r>
              <w:rPr>
                <w:rFonts w:hint="eastAsia"/>
                <w:color w:val="auto"/>
                <w:lang w:val="en-US" w:eastAsia="zh-CN"/>
              </w:rPr>
              <w:t>徐丽芳</w:t>
            </w:r>
          </w:p>
        </w:tc>
        <w:tc>
          <w:tcPr>
            <w:tcW w:w="1269" w:type="dxa"/>
            <w:gridSpan w:val="2"/>
            <w:tcBorders>
              <w:top w:val="single" w:color="auto" w:sz="4" w:space="0"/>
              <w:left w:val="single" w:color="auto" w:sz="4" w:space="0"/>
              <w:bottom w:val="single" w:color="auto" w:sz="4" w:space="0"/>
              <w:right w:val="single" w:color="auto" w:sz="4" w:space="0"/>
            </w:tcBorders>
            <w:vAlign w:val="center"/>
          </w:tcPr>
          <w:p>
            <w:pPr>
              <w:jc w:val="center"/>
              <w:rPr>
                <w:b/>
                <w:bCs/>
                <w:color w:val="auto"/>
              </w:rPr>
            </w:pPr>
            <w:r>
              <w:rPr>
                <w:b/>
                <w:bCs/>
                <w:color w:val="auto"/>
              </w:rPr>
              <w:t>联系人</w:t>
            </w:r>
          </w:p>
        </w:tc>
        <w:tc>
          <w:tcPr>
            <w:tcW w:w="320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auto"/>
                <w:lang w:val="en-US" w:eastAsia="zh-CN"/>
              </w:rPr>
            </w:pPr>
            <w:r>
              <w:rPr>
                <w:rFonts w:hint="eastAsia"/>
                <w:color w:val="auto"/>
                <w:lang w:val="en-US" w:eastAsia="zh-CN"/>
              </w:rPr>
              <w:t>赵红明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4" w:type="dxa"/>
            <w:tcBorders>
              <w:top w:val="single" w:color="auto" w:sz="4" w:space="0"/>
              <w:left w:val="single" w:color="auto" w:sz="4" w:space="0"/>
              <w:bottom w:val="single" w:color="auto" w:sz="4" w:space="0"/>
              <w:right w:val="single" w:color="auto" w:sz="4" w:space="0"/>
            </w:tcBorders>
            <w:vAlign w:val="center"/>
          </w:tcPr>
          <w:p>
            <w:pPr>
              <w:rPr>
                <w:b/>
                <w:bCs/>
                <w:color w:val="auto"/>
              </w:rPr>
            </w:pPr>
            <w:r>
              <w:rPr>
                <w:b/>
                <w:bCs/>
                <w:color w:val="auto"/>
              </w:rPr>
              <w:t>通讯地址</w:t>
            </w:r>
          </w:p>
        </w:tc>
        <w:tc>
          <w:tcPr>
            <w:tcW w:w="8374" w:type="dxa"/>
            <w:gridSpan w:val="11"/>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苏州高新区浒关分区东金芝路56号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4" w:type="dxa"/>
            <w:tcBorders>
              <w:top w:val="single" w:color="auto" w:sz="4" w:space="0"/>
              <w:left w:val="single" w:color="auto" w:sz="4" w:space="0"/>
              <w:bottom w:val="single" w:color="auto" w:sz="4" w:space="0"/>
              <w:right w:val="single" w:color="auto" w:sz="4" w:space="0"/>
            </w:tcBorders>
            <w:vAlign w:val="center"/>
          </w:tcPr>
          <w:p>
            <w:pPr>
              <w:rPr>
                <w:b/>
                <w:bCs/>
                <w:color w:val="auto"/>
              </w:rPr>
            </w:pPr>
            <w:r>
              <w:rPr>
                <w:b/>
                <w:bCs/>
                <w:color w:val="auto"/>
              </w:rPr>
              <w:t>联系电话</w:t>
            </w:r>
          </w:p>
        </w:tc>
        <w:tc>
          <w:tcPr>
            <w:tcW w:w="232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auto"/>
                <w:lang w:val="en-US" w:eastAsia="zh-CN"/>
              </w:rPr>
            </w:pPr>
            <w:r>
              <w:rPr>
                <w:rFonts w:hint="eastAsia"/>
                <w:color w:val="auto"/>
                <w:lang w:val="en-US" w:eastAsia="zh-CN"/>
              </w:rPr>
              <w:t>13806212032</w:t>
            </w:r>
          </w:p>
        </w:tc>
        <w:tc>
          <w:tcPr>
            <w:tcW w:w="1574" w:type="dxa"/>
            <w:gridSpan w:val="2"/>
            <w:tcBorders>
              <w:top w:val="single" w:color="auto" w:sz="4" w:space="0"/>
              <w:left w:val="single" w:color="auto" w:sz="4" w:space="0"/>
              <w:bottom w:val="single" w:color="auto" w:sz="4" w:space="0"/>
              <w:right w:val="single" w:color="auto" w:sz="4" w:space="0"/>
            </w:tcBorders>
            <w:vAlign w:val="center"/>
          </w:tcPr>
          <w:p>
            <w:pPr>
              <w:jc w:val="center"/>
              <w:rPr>
                <w:b/>
                <w:bCs/>
                <w:color w:val="auto"/>
              </w:rPr>
            </w:pPr>
            <w:r>
              <w:rPr>
                <w:b/>
                <w:bCs/>
                <w:color w:val="auto"/>
              </w:rPr>
              <w:t>传真</w:t>
            </w:r>
          </w:p>
        </w:tc>
        <w:tc>
          <w:tcPr>
            <w:tcW w:w="1269"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w:t>
            </w:r>
          </w:p>
        </w:tc>
        <w:tc>
          <w:tcPr>
            <w:tcW w:w="1326" w:type="dxa"/>
            <w:gridSpan w:val="2"/>
            <w:tcBorders>
              <w:top w:val="single" w:color="auto" w:sz="4" w:space="0"/>
              <w:left w:val="single" w:color="auto" w:sz="4" w:space="0"/>
              <w:bottom w:val="single" w:color="auto" w:sz="4" w:space="0"/>
              <w:right w:val="single" w:color="auto" w:sz="4" w:space="0"/>
            </w:tcBorders>
            <w:vAlign w:val="center"/>
          </w:tcPr>
          <w:p>
            <w:pPr>
              <w:jc w:val="center"/>
              <w:rPr>
                <w:b/>
                <w:bCs/>
                <w:color w:val="auto"/>
              </w:rPr>
            </w:pPr>
            <w:r>
              <w:rPr>
                <w:b/>
                <w:bCs/>
                <w:color w:val="auto"/>
              </w:rPr>
              <w:t>邮政编码</w:t>
            </w:r>
          </w:p>
        </w:tc>
        <w:tc>
          <w:tcPr>
            <w:tcW w:w="18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auto"/>
                <w:lang w:val="en-US" w:eastAsia="zh-CN"/>
              </w:rPr>
            </w:pPr>
            <w:r>
              <w:rPr>
                <w:rFonts w:hint="eastAsia"/>
                <w:color w:val="auto"/>
                <w:lang w:val="en-US" w:eastAsia="zh-CN"/>
              </w:rPr>
              <w:t>210000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4" w:type="dxa"/>
            <w:tcBorders>
              <w:top w:val="single" w:color="auto" w:sz="4" w:space="0"/>
              <w:left w:val="single" w:color="auto" w:sz="4" w:space="0"/>
              <w:bottom w:val="single" w:color="auto" w:sz="4" w:space="0"/>
              <w:right w:val="single" w:color="auto" w:sz="4" w:space="0"/>
            </w:tcBorders>
            <w:vAlign w:val="center"/>
          </w:tcPr>
          <w:p>
            <w:pPr>
              <w:jc w:val="center"/>
              <w:rPr>
                <w:b/>
                <w:bCs/>
                <w:color w:val="auto"/>
              </w:rPr>
            </w:pPr>
            <w:r>
              <w:rPr>
                <w:b/>
                <w:bCs/>
                <w:color w:val="auto"/>
              </w:rPr>
              <w:t>建设地点</w:t>
            </w:r>
          </w:p>
        </w:tc>
        <w:tc>
          <w:tcPr>
            <w:tcW w:w="8374" w:type="dxa"/>
            <w:gridSpan w:val="11"/>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苏州高新区浒关分区东金芝路56号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4" w:type="dxa"/>
            <w:tcBorders>
              <w:top w:val="single" w:color="auto" w:sz="4" w:space="0"/>
              <w:left w:val="single" w:color="auto" w:sz="4" w:space="0"/>
              <w:bottom w:val="single" w:color="auto" w:sz="4" w:space="0"/>
              <w:right w:val="single" w:color="auto" w:sz="4" w:space="0"/>
            </w:tcBorders>
            <w:vAlign w:val="center"/>
          </w:tcPr>
          <w:p>
            <w:pPr>
              <w:jc w:val="center"/>
              <w:rPr>
                <w:b/>
                <w:bCs/>
                <w:color w:val="auto"/>
              </w:rPr>
            </w:pPr>
            <w:r>
              <w:rPr>
                <w:b/>
                <w:bCs/>
                <w:color w:val="auto"/>
              </w:rPr>
              <w:t>立项审批部门</w:t>
            </w:r>
          </w:p>
        </w:tc>
        <w:tc>
          <w:tcPr>
            <w:tcW w:w="3897"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auto"/>
                <w:lang w:val="en-US" w:eastAsia="zh-CN"/>
              </w:rPr>
            </w:pPr>
            <w:r>
              <w:rPr>
                <w:rFonts w:hint="eastAsia"/>
                <w:color w:val="auto"/>
                <w:lang w:val="en-US" w:eastAsia="zh-CN"/>
              </w:rPr>
              <w:t>苏州高新区（虎丘区）行政审批局</w:t>
            </w:r>
          </w:p>
        </w:tc>
        <w:tc>
          <w:tcPr>
            <w:tcW w:w="1269" w:type="dxa"/>
            <w:gridSpan w:val="2"/>
            <w:tcBorders>
              <w:top w:val="single" w:color="auto" w:sz="4" w:space="0"/>
              <w:left w:val="single" w:color="auto" w:sz="4" w:space="0"/>
              <w:bottom w:val="single" w:color="auto" w:sz="4" w:space="0"/>
              <w:right w:val="single" w:color="auto" w:sz="4" w:space="0"/>
            </w:tcBorders>
            <w:vAlign w:val="center"/>
          </w:tcPr>
          <w:p>
            <w:pPr>
              <w:jc w:val="center"/>
              <w:rPr>
                <w:b/>
                <w:bCs/>
                <w:color w:val="auto"/>
              </w:rPr>
            </w:pPr>
            <w:r>
              <w:rPr>
                <w:b/>
                <w:bCs/>
                <w:color w:val="auto"/>
              </w:rPr>
              <w:t>批准文号</w:t>
            </w:r>
          </w:p>
        </w:tc>
        <w:tc>
          <w:tcPr>
            <w:tcW w:w="3208"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苏高新项备〔2020〕134号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4" w:type="dxa"/>
            <w:tcBorders>
              <w:top w:val="single" w:color="auto" w:sz="4" w:space="0"/>
              <w:left w:val="single" w:color="auto" w:sz="4" w:space="0"/>
              <w:bottom w:val="single" w:color="auto" w:sz="4" w:space="0"/>
              <w:right w:val="single" w:color="auto" w:sz="4" w:space="0"/>
            </w:tcBorders>
            <w:vAlign w:val="center"/>
          </w:tcPr>
          <w:p>
            <w:pPr>
              <w:jc w:val="center"/>
              <w:rPr>
                <w:b/>
                <w:bCs/>
                <w:color w:val="auto"/>
              </w:rPr>
            </w:pPr>
            <w:r>
              <w:rPr>
                <w:b/>
                <w:bCs/>
                <w:color w:val="auto"/>
              </w:rPr>
              <w:t>建设性质</w:t>
            </w:r>
          </w:p>
        </w:tc>
        <w:tc>
          <w:tcPr>
            <w:tcW w:w="3897"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 xml:space="preserve">新建  </w:t>
            </w:r>
            <w:r>
              <w:rPr>
                <w:b/>
                <w:color w:val="auto"/>
              </w:rPr>
              <w:t>√</w:t>
            </w:r>
            <w:r>
              <w:rPr>
                <w:color w:val="auto"/>
              </w:rPr>
              <w:t>改</w:t>
            </w:r>
            <w:r>
              <w:rPr>
                <w:rFonts w:hint="eastAsia"/>
                <w:color w:val="auto"/>
                <w:lang w:eastAsia="zh-CN"/>
              </w:rPr>
              <w:t>、</w:t>
            </w:r>
            <w:r>
              <w:rPr>
                <w:rFonts w:hint="eastAsia"/>
                <w:color w:val="auto"/>
                <w:lang w:val="en-US" w:eastAsia="zh-CN"/>
              </w:rPr>
              <w:t>扩</w:t>
            </w:r>
            <w:r>
              <w:rPr>
                <w:color w:val="auto"/>
              </w:rPr>
              <w:t>建  迁建</w:t>
            </w:r>
          </w:p>
        </w:tc>
        <w:tc>
          <w:tcPr>
            <w:tcW w:w="1269" w:type="dxa"/>
            <w:gridSpan w:val="2"/>
            <w:tcBorders>
              <w:top w:val="single" w:color="auto" w:sz="4" w:space="0"/>
              <w:left w:val="single" w:color="auto" w:sz="4" w:space="0"/>
              <w:bottom w:val="single" w:color="auto" w:sz="4" w:space="0"/>
              <w:right w:val="single" w:color="auto" w:sz="4" w:space="0"/>
            </w:tcBorders>
            <w:vAlign w:val="center"/>
          </w:tcPr>
          <w:p>
            <w:pPr>
              <w:jc w:val="center"/>
              <w:rPr>
                <w:b/>
                <w:bCs/>
                <w:color w:val="auto"/>
              </w:rPr>
            </w:pPr>
            <w:r>
              <w:rPr>
                <w:b/>
                <w:bCs/>
                <w:color w:val="auto"/>
              </w:rPr>
              <w:t>行业类别</w:t>
            </w:r>
          </w:p>
          <w:p>
            <w:pPr>
              <w:jc w:val="center"/>
              <w:rPr>
                <w:color w:val="auto"/>
              </w:rPr>
            </w:pPr>
            <w:r>
              <w:rPr>
                <w:b/>
                <w:bCs/>
                <w:color w:val="auto"/>
              </w:rPr>
              <w:t>及代码</w:t>
            </w:r>
          </w:p>
        </w:tc>
        <w:tc>
          <w:tcPr>
            <w:tcW w:w="320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auto"/>
                <w:lang w:val="en-US" w:eastAsia="zh-CN"/>
              </w:rPr>
            </w:pPr>
            <w:r>
              <w:rPr>
                <w:rFonts w:hint="eastAsia"/>
                <w:color w:val="auto"/>
                <w:lang w:val="en-US" w:eastAsia="zh-CN"/>
              </w:rPr>
              <w:t>C2929塑料零件及其他塑料制品制造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4" w:type="dxa"/>
            <w:tcBorders>
              <w:top w:val="single" w:color="auto" w:sz="4" w:space="0"/>
              <w:left w:val="single" w:color="auto" w:sz="4" w:space="0"/>
              <w:bottom w:val="single" w:color="auto" w:sz="4" w:space="0"/>
              <w:right w:val="single" w:color="auto" w:sz="4" w:space="0"/>
            </w:tcBorders>
            <w:vAlign w:val="center"/>
          </w:tcPr>
          <w:p>
            <w:pPr>
              <w:jc w:val="center"/>
              <w:rPr>
                <w:b/>
                <w:bCs/>
                <w:color w:val="auto"/>
              </w:rPr>
            </w:pPr>
            <w:r>
              <w:rPr>
                <w:b/>
                <w:bCs/>
                <w:color w:val="auto"/>
              </w:rPr>
              <w:t>占地面积(平方米)</w:t>
            </w:r>
          </w:p>
        </w:tc>
        <w:tc>
          <w:tcPr>
            <w:tcW w:w="3897"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auto"/>
                <w:lang w:val="en-US" w:eastAsia="zh-CN"/>
              </w:rPr>
            </w:pPr>
            <w:r>
              <w:rPr>
                <w:rFonts w:hint="eastAsia"/>
                <w:color w:val="auto"/>
                <w:lang w:val="en-US" w:eastAsia="zh-CN"/>
              </w:rPr>
              <w:t>1000</w:t>
            </w:r>
          </w:p>
        </w:tc>
        <w:tc>
          <w:tcPr>
            <w:tcW w:w="1269" w:type="dxa"/>
            <w:gridSpan w:val="2"/>
            <w:tcBorders>
              <w:top w:val="single" w:color="auto" w:sz="4" w:space="0"/>
              <w:left w:val="single" w:color="auto" w:sz="4" w:space="0"/>
              <w:bottom w:val="single" w:color="auto" w:sz="4" w:space="0"/>
              <w:right w:val="single" w:color="auto" w:sz="4" w:space="0"/>
            </w:tcBorders>
            <w:vAlign w:val="center"/>
          </w:tcPr>
          <w:p>
            <w:pPr>
              <w:jc w:val="center"/>
              <w:rPr>
                <w:b/>
                <w:bCs/>
                <w:color w:val="auto"/>
              </w:rPr>
            </w:pPr>
            <w:r>
              <w:rPr>
                <w:b/>
                <w:bCs/>
                <w:color w:val="auto"/>
              </w:rPr>
              <w:t>绿化面积(平方米)</w:t>
            </w:r>
          </w:p>
        </w:tc>
        <w:tc>
          <w:tcPr>
            <w:tcW w:w="320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auto"/>
                <w:lang w:val="en-US" w:eastAsia="zh-CN"/>
              </w:rPr>
            </w:pPr>
            <w:r>
              <w:rPr>
                <w:rFonts w:hint="eastAsia"/>
                <w:color w:val="auto"/>
                <w:lang w:val="en-US" w:eastAsia="zh-CN"/>
              </w:rPr>
              <w:t>依托租赁房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4" w:type="dxa"/>
            <w:tcBorders>
              <w:top w:val="single" w:color="auto" w:sz="4" w:space="0"/>
              <w:left w:val="single" w:color="auto" w:sz="4" w:space="0"/>
              <w:bottom w:val="single" w:color="auto" w:sz="4" w:space="0"/>
              <w:right w:val="single" w:color="auto" w:sz="4" w:space="0"/>
            </w:tcBorders>
            <w:vAlign w:val="center"/>
          </w:tcPr>
          <w:p>
            <w:pPr>
              <w:jc w:val="center"/>
              <w:rPr>
                <w:b/>
                <w:bCs/>
                <w:color w:val="auto"/>
              </w:rPr>
            </w:pPr>
            <w:r>
              <w:rPr>
                <w:b/>
                <w:bCs/>
                <w:color w:val="auto"/>
              </w:rPr>
              <w:t>总投资</w:t>
            </w:r>
          </w:p>
          <w:p>
            <w:pPr>
              <w:jc w:val="center"/>
              <w:rPr>
                <w:b/>
                <w:bCs/>
                <w:color w:val="auto"/>
              </w:rPr>
            </w:pPr>
            <w:r>
              <w:rPr>
                <w:b/>
                <w:bCs/>
                <w:color w:val="auto"/>
              </w:rPr>
              <w:t>(万元)</w:t>
            </w:r>
          </w:p>
        </w:tc>
        <w:tc>
          <w:tcPr>
            <w:tcW w:w="200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auto"/>
                <w:lang w:val="en-US" w:eastAsia="zh-CN"/>
              </w:rPr>
            </w:pPr>
            <w:r>
              <w:rPr>
                <w:rFonts w:hint="eastAsia"/>
                <w:color w:val="auto"/>
                <w:lang w:val="en-US" w:eastAsia="zh-CN"/>
              </w:rPr>
              <w:t>50</w:t>
            </w:r>
          </w:p>
        </w:tc>
        <w:tc>
          <w:tcPr>
            <w:tcW w:w="1895" w:type="dxa"/>
            <w:gridSpan w:val="3"/>
            <w:tcBorders>
              <w:top w:val="single" w:color="auto" w:sz="4" w:space="0"/>
              <w:left w:val="single" w:color="auto" w:sz="4" w:space="0"/>
              <w:bottom w:val="single" w:color="auto" w:sz="4" w:space="0"/>
              <w:right w:val="single" w:color="auto" w:sz="4" w:space="0"/>
            </w:tcBorders>
            <w:vAlign w:val="center"/>
          </w:tcPr>
          <w:p>
            <w:pPr>
              <w:jc w:val="center"/>
              <w:rPr>
                <w:b/>
                <w:bCs/>
                <w:color w:val="auto"/>
              </w:rPr>
            </w:pPr>
            <w:r>
              <w:rPr>
                <w:b/>
                <w:bCs/>
                <w:color w:val="auto"/>
              </w:rPr>
              <w:t>其中：环保投资（万元）</w:t>
            </w:r>
          </w:p>
        </w:tc>
        <w:tc>
          <w:tcPr>
            <w:tcW w:w="126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auto"/>
                <w:lang w:val="en-US" w:eastAsia="zh-CN"/>
              </w:rPr>
            </w:pPr>
            <w:r>
              <w:rPr>
                <w:rFonts w:hint="eastAsia"/>
                <w:color w:val="auto"/>
                <w:lang w:val="en-US" w:eastAsia="zh-CN"/>
              </w:rPr>
              <w:t>5</w:t>
            </w:r>
          </w:p>
        </w:tc>
        <w:tc>
          <w:tcPr>
            <w:tcW w:w="1326" w:type="dxa"/>
            <w:gridSpan w:val="2"/>
            <w:tcBorders>
              <w:top w:val="single" w:color="auto" w:sz="4" w:space="0"/>
              <w:left w:val="single" w:color="auto" w:sz="4" w:space="0"/>
              <w:bottom w:val="single" w:color="auto" w:sz="4" w:space="0"/>
              <w:right w:val="single" w:color="auto" w:sz="4" w:space="0"/>
            </w:tcBorders>
            <w:vAlign w:val="center"/>
          </w:tcPr>
          <w:p>
            <w:pPr>
              <w:jc w:val="center"/>
              <w:rPr>
                <w:b/>
                <w:bCs/>
                <w:color w:val="auto"/>
              </w:rPr>
            </w:pPr>
            <w:r>
              <w:rPr>
                <w:b/>
                <w:bCs/>
                <w:color w:val="auto"/>
              </w:rPr>
              <w:t>环保投资占总投资比例</w:t>
            </w:r>
          </w:p>
        </w:tc>
        <w:tc>
          <w:tcPr>
            <w:tcW w:w="18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auto"/>
                <w:lang w:val="en-US" w:eastAsia="zh-CN"/>
              </w:rPr>
            </w:pPr>
            <w:r>
              <w:rPr>
                <w:rFonts w:hint="eastAsia"/>
                <w:color w:val="auto"/>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4" w:type="dxa"/>
            <w:tcBorders>
              <w:top w:val="single" w:color="auto" w:sz="4" w:space="0"/>
              <w:left w:val="single" w:color="auto" w:sz="4" w:space="0"/>
              <w:bottom w:val="single" w:color="auto" w:sz="4" w:space="0"/>
              <w:right w:val="single" w:color="auto" w:sz="4" w:space="0"/>
            </w:tcBorders>
            <w:vAlign w:val="center"/>
          </w:tcPr>
          <w:p>
            <w:pPr>
              <w:jc w:val="center"/>
              <w:rPr>
                <w:b/>
                <w:bCs/>
                <w:color w:val="auto"/>
              </w:rPr>
            </w:pPr>
            <w:r>
              <w:rPr>
                <w:b/>
                <w:bCs/>
                <w:color w:val="auto"/>
              </w:rPr>
              <w:t>评价经费</w:t>
            </w:r>
          </w:p>
          <w:p>
            <w:pPr>
              <w:jc w:val="center"/>
              <w:rPr>
                <w:b/>
                <w:bCs/>
                <w:color w:val="auto"/>
              </w:rPr>
            </w:pPr>
            <w:r>
              <w:rPr>
                <w:b/>
                <w:bCs/>
                <w:color w:val="auto"/>
              </w:rPr>
              <w:t>(万元)</w:t>
            </w:r>
          </w:p>
        </w:tc>
        <w:tc>
          <w:tcPr>
            <w:tcW w:w="2002" w:type="dxa"/>
            <w:gridSpan w:val="2"/>
            <w:tcBorders>
              <w:top w:val="single" w:color="auto" w:sz="4" w:space="0"/>
              <w:left w:val="single" w:color="auto" w:sz="4" w:space="0"/>
              <w:bottom w:val="single" w:color="auto" w:sz="4" w:space="0"/>
              <w:right w:val="single" w:color="auto" w:sz="4" w:space="0"/>
            </w:tcBorders>
            <w:vAlign w:val="center"/>
          </w:tcPr>
          <w:p>
            <w:pPr>
              <w:tabs>
                <w:tab w:val="left" w:pos="297"/>
                <w:tab w:val="center" w:pos="486"/>
              </w:tabs>
              <w:jc w:val="center"/>
              <w:rPr>
                <w:color w:val="auto"/>
              </w:rPr>
            </w:pPr>
            <w:r>
              <w:rPr>
                <w:color w:val="auto"/>
              </w:rPr>
              <w:t>—</w:t>
            </w:r>
          </w:p>
        </w:tc>
        <w:tc>
          <w:tcPr>
            <w:tcW w:w="1895" w:type="dxa"/>
            <w:gridSpan w:val="3"/>
            <w:tcBorders>
              <w:top w:val="single" w:color="auto" w:sz="4" w:space="0"/>
              <w:left w:val="single" w:color="auto" w:sz="4" w:space="0"/>
              <w:bottom w:val="single" w:color="auto" w:sz="4" w:space="0"/>
              <w:right w:val="single" w:color="auto" w:sz="4" w:space="0"/>
            </w:tcBorders>
            <w:vAlign w:val="center"/>
          </w:tcPr>
          <w:p>
            <w:pPr>
              <w:jc w:val="center"/>
              <w:rPr>
                <w:b/>
                <w:bCs/>
                <w:color w:val="auto"/>
              </w:rPr>
            </w:pPr>
            <w:r>
              <w:rPr>
                <w:b/>
                <w:bCs/>
                <w:color w:val="auto"/>
              </w:rPr>
              <w:t>预期投产</w:t>
            </w:r>
          </w:p>
          <w:p>
            <w:pPr>
              <w:jc w:val="center"/>
              <w:rPr>
                <w:b/>
                <w:bCs/>
                <w:color w:val="auto"/>
              </w:rPr>
            </w:pPr>
            <w:r>
              <w:rPr>
                <w:b/>
                <w:bCs/>
                <w:color w:val="auto"/>
              </w:rPr>
              <w:t>日期</w:t>
            </w:r>
          </w:p>
        </w:tc>
        <w:tc>
          <w:tcPr>
            <w:tcW w:w="4477" w:type="dxa"/>
            <w:gridSpan w:val="6"/>
            <w:tcBorders>
              <w:top w:val="single" w:color="auto" w:sz="4" w:space="0"/>
              <w:left w:val="single" w:color="auto" w:sz="4" w:space="0"/>
              <w:bottom w:val="single" w:color="auto" w:sz="4" w:space="0"/>
              <w:right w:val="single" w:color="auto" w:sz="4" w:space="0"/>
            </w:tcBorders>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38" w:type="dxa"/>
            <w:gridSpan w:val="12"/>
            <w:tcBorders>
              <w:top w:val="single" w:color="auto" w:sz="4" w:space="0"/>
              <w:left w:val="single" w:color="auto" w:sz="4" w:space="0"/>
              <w:bottom w:val="single" w:color="auto" w:sz="4" w:space="0"/>
              <w:right w:val="single" w:color="auto" w:sz="4" w:space="0"/>
            </w:tcBorders>
            <w:vAlign w:val="center"/>
          </w:tcPr>
          <w:p>
            <w:pPr>
              <w:rPr>
                <w:b/>
                <w:bCs/>
                <w:color w:val="auto"/>
              </w:rPr>
            </w:pPr>
            <w:r>
              <w:rPr>
                <w:b/>
                <w:bCs/>
                <w:color w:val="auto"/>
              </w:rPr>
              <w:t>1.原辅材料（包括名称、用量）及主要设施规格、数量（包括锅炉、发电机等）</w:t>
            </w:r>
          </w:p>
          <w:p>
            <w:pPr>
              <w:pStyle w:val="51"/>
              <w:jc w:val="left"/>
              <w:rPr>
                <w:rFonts w:ascii="Times New Roman" w:hAnsi="Times New Roman" w:eastAsia="宋体"/>
                <w:b/>
                <w:bCs/>
                <w:color w:val="auto"/>
              </w:rPr>
            </w:pPr>
            <w:r>
              <w:rPr>
                <w:rFonts w:ascii="Times New Roman" w:hAnsi="Times New Roman" w:eastAsia="宋体"/>
                <w:b/>
                <w:bCs/>
                <w:color w:val="auto"/>
              </w:rPr>
              <w:t>主要原辅材料：</w:t>
            </w:r>
            <w:r>
              <w:rPr>
                <w:rFonts w:ascii="Times New Roman" w:hAnsi="Times New Roman" w:eastAsia="宋体"/>
                <w:color w:val="auto"/>
              </w:rPr>
              <w:t>详细原辅材料见表1-1。</w:t>
            </w:r>
          </w:p>
          <w:p>
            <w:pPr>
              <w:pStyle w:val="51"/>
              <w:rPr>
                <w:rFonts w:ascii="Times New Roman" w:hAnsi="Times New Roman" w:eastAsia="宋体"/>
                <w:b/>
                <w:bCs/>
                <w:color w:val="auto"/>
              </w:rPr>
            </w:pPr>
            <w:r>
              <w:rPr>
                <w:rFonts w:ascii="Times New Roman" w:hAnsi="Times New Roman" w:eastAsia="宋体"/>
                <w:b/>
                <w:bCs/>
                <w:color w:val="auto"/>
              </w:rPr>
              <w:t>表1-1  主要原辅材料名称及用量</w:t>
            </w:r>
          </w:p>
          <w:tbl>
            <w:tblPr>
              <w:tblStyle w:val="2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23" w:type="dxa"/>
                <w:bottom w:w="0" w:type="dxa"/>
                <w:right w:w="23" w:type="dxa"/>
              </w:tblCellMar>
            </w:tblPr>
            <w:tblGrid>
              <w:gridCol w:w="1372"/>
              <w:gridCol w:w="2091"/>
              <w:gridCol w:w="1405"/>
              <w:gridCol w:w="1295"/>
              <w:gridCol w:w="1023"/>
              <w:gridCol w:w="1009"/>
              <w:gridCol w:w="122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90" w:hRule="atLeast"/>
                <w:jc w:val="center"/>
              </w:trPr>
              <w:tc>
                <w:tcPr>
                  <w:tcW w:w="1372" w:type="dxa"/>
                  <w:noWrap w:val="0"/>
                  <w:vAlign w:val="center"/>
                </w:tcPr>
                <w:p>
                  <w:pPr>
                    <w:wordWrap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原辅材料名称</w:t>
                  </w:r>
                </w:p>
              </w:tc>
              <w:tc>
                <w:tcPr>
                  <w:tcW w:w="2091" w:type="dxa"/>
                  <w:noWrap w:val="0"/>
                  <w:vAlign w:val="center"/>
                </w:tcPr>
                <w:p>
                  <w:pPr>
                    <w:wordWrap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成分</w:t>
                  </w:r>
                </w:p>
              </w:tc>
              <w:tc>
                <w:tcPr>
                  <w:tcW w:w="1405" w:type="dxa"/>
                  <w:noWrap w:val="0"/>
                  <w:vAlign w:val="center"/>
                </w:tcPr>
                <w:p>
                  <w:pPr>
                    <w:wordWrap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扩建前</w:t>
                  </w:r>
                </w:p>
              </w:tc>
              <w:tc>
                <w:tcPr>
                  <w:tcW w:w="1295" w:type="dxa"/>
                  <w:noWrap w:val="0"/>
                  <w:vAlign w:val="center"/>
                </w:tcPr>
                <w:p>
                  <w:pPr>
                    <w:wordWrap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扩建后</w:t>
                  </w:r>
                </w:p>
              </w:tc>
              <w:tc>
                <w:tcPr>
                  <w:tcW w:w="1023" w:type="dxa"/>
                  <w:noWrap w:val="0"/>
                  <w:vAlign w:val="center"/>
                </w:tcPr>
                <w:p>
                  <w:pPr>
                    <w:wordWrap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变化量</w:t>
                  </w:r>
                </w:p>
              </w:tc>
              <w:tc>
                <w:tcPr>
                  <w:tcW w:w="1009" w:type="dxa"/>
                  <w:noWrap w:val="0"/>
                  <w:vAlign w:val="center"/>
                </w:tcPr>
                <w:p>
                  <w:pPr>
                    <w:wordWrap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最大库存</w:t>
                  </w:r>
                </w:p>
              </w:tc>
              <w:tc>
                <w:tcPr>
                  <w:tcW w:w="1227" w:type="dxa"/>
                  <w:noWrap w:val="0"/>
                  <w:vAlign w:val="center"/>
                </w:tcPr>
                <w:p>
                  <w:pPr>
                    <w:wordWrap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产地运输</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jc w:val="center"/>
              </w:trPr>
              <w:tc>
                <w:tcPr>
                  <w:tcW w:w="1372"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rStyle w:val="105"/>
                      <w:rFonts w:ascii="Times New Roman" w:hAnsi="Times New Roman" w:eastAsia="宋体"/>
                      <w:kern w:val="2"/>
                      <w:sz w:val="21"/>
                      <w:szCs w:val="21"/>
                      <w:lang w:val="en-US" w:eastAsia="zh-CN" w:bidi="ar-SA"/>
                    </w:rPr>
                    <w:t>PE粒子</w:t>
                  </w:r>
                </w:p>
              </w:tc>
              <w:tc>
                <w:tcPr>
                  <w:tcW w:w="2091" w:type="dxa"/>
                  <w:noWrap w:val="0"/>
                  <w:vAlign w:val="center"/>
                </w:tcPr>
                <w:p>
                  <w:pPr>
                    <w:spacing w:line="240" w:lineRule="auto"/>
                    <w:jc w:val="center"/>
                    <w:textAlignment w:val="baseline"/>
                    <w:rPr>
                      <w:rFonts w:hint="default" w:ascii="Times New Roman" w:hAnsi="Times New Roman" w:eastAsia="宋体" w:cs="Times New Roman"/>
                      <w:kern w:val="2"/>
                      <w:sz w:val="21"/>
                      <w:szCs w:val="21"/>
                      <w:lang w:val="en-US" w:eastAsia="zh-CN" w:bidi="ar-SA"/>
                    </w:rPr>
                  </w:pPr>
                  <w:r>
                    <w:rPr>
                      <w:rStyle w:val="105"/>
                      <w:rFonts w:ascii="Times New Roman" w:hAnsi="Times New Roman" w:eastAsia="宋体"/>
                      <w:kern w:val="2"/>
                      <w:sz w:val="21"/>
                      <w:szCs w:val="21"/>
                      <w:lang w:val="en-US" w:eastAsia="zh-CN" w:bidi="ar-SA"/>
                    </w:rPr>
                    <w:t>塑料粒子</w:t>
                  </w:r>
                </w:p>
              </w:tc>
              <w:tc>
                <w:tcPr>
                  <w:tcW w:w="1405"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rStyle w:val="105"/>
                      <w:rFonts w:ascii="Times New Roman" w:hAnsi="Times New Roman" w:eastAsia="宋体"/>
                      <w:kern w:val="2"/>
                      <w:sz w:val="21"/>
                      <w:szCs w:val="21"/>
                      <w:lang w:val="en-US" w:eastAsia="zh-CN" w:bidi="ar-SA"/>
                    </w:rPr>
                    <w:t>1480吨</w:t>
                  </w:r>
                </w:p>
              </w:tc>
              <w:tc>
                <w:tcPr>
                  <w:tcW w:w="1295"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sz w:val="21"/>
                    </w:rPr>
                    <w:t>2</w:t>
                  </w:r>
                  <w:r>
                    <w:rPr>
                      <w:rFonts w:hint="eastAsia"/>
                      <w:sz w:val="21"/>
                      <w:lang w:val="en-US" w:eastAsia="zh-CN"/>
                    </w:rPr>
                    <w:t>9</w:t>
                  </w:r>
                  <w:r>
                    <w:rPr>
                      <w:sz w:val="21"/>
                    </w:rPr>
                    <w:t>60吨</w:t>
                  </w:r>
                </w:p>
              </w:tc>
              <w:tc>
                <w:tcPr>
                  <w:tcW w:w="1023"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rFonts w:hint="eastAsia"/>
                      <w:sz w:val="21"/>
                      <w:lang w:val="en-US" w:eastAsia="zh-CN"/>
                    </w:rPr>
                    <w:t>14</w:t>
                  </w:r>
                  <w:r>
                    <w:rPr>
                      <w:sz w:val="21"/>
                    </w:rPr>
                    <w:t>80吨</w:t>
                  </w:r>
                </w:p>
              </w:tc>
              <w:tc>
                <w:tcPr>
                  <w:tcW w:w="1009"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sz w:val="21"/>
                    </w:rPr>
                    <w:t>30吨</w:t>
                  </w:r>
                </w:p>
              </w:tc>
              <w:tc>
                <w:tcPr>
                  <w:tcW w:w="1227"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rStyle w:val="105"/>
                      <w:rFonts w:ascii="Times New Roman" w:hAnsi="Times New Roman" w:eastAsia="宋体"/>
                      <w:kern w:val="2"/>
                      <w:sz w:val="21"/>
                      <w:szCs w:val="21"/>
                      <w:lang w:val="en-US" w:eastAsia="zh-CN" w:bidi="ar-SA"/>
                    </w:rPr>
                    <w:t>国内汽运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jc w:val="center"/>
              </w:trPr>
              <w:tc>
                <w:tcPr>
                  <w:tcW w:w="1372"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rStyle w:val="105"/>
                      <w:rFonts w:ascii="Times New Roman" w:hAnsi="Times New Roman" w:eastAsia="宋体"/>
                      <w:kern w:val="2"/>
                      <w:sz w:val="21"/>
                      <w:szCs w:val="21"/>
                      <w:lang w:val="en-US" w:eastAsia="zh-CN" w:bidi="ar-SA"/>
                    </w:rPr>
                    <w:t>PE弹性体粒子</w:t>
                  </w:r>
                </w:p>
              </w:tc>
              <w:tc>
                <w:tcPr>
                  <w:tcW w:w="2091" w:type="dxa"/>
                  <w:noWrap w:val="0"/>
                  <w:vAlign w:val="center"/>
                </w:tcPr>
                <w:p>
                  <w:pPr>
                    <w:pStyle w:val="35"/>
                    <w:widowControl/>
                    <w:numPr>
                      <w:ilvl w:val="0"/>
                      <w:numId w:val="0"/>
                    </w:numPr>
                    <w:spacing w:line="240" w:lineRule="auto"/>
                    <w:ind w:left="0" w:leftChars="0" w:firstLine="420" w:firstLineChars="200"/>
                    <w:jc w:val="center"/>
                    <w:textAlignment w:val="baseline"/>
                    <w:rPr>
                      <w:rFonts w:hint="default" w:ascii="Times New Roman" w:hAnsi="Times New Roman" w:eastAsia="宋体" w:cs="Times New Roman"/>
                      <w:kern w:val="2"/>
                      <w:sz w:val="21"/>
                      <w:szCs w:val="21"/>
                      <w:lang w:val="en-US" w:eastAsia="zh-CN" w:bidi="ar-SA"/>
                    </w:rPr>
                  </w:pPr>
                  <w:r>
                    <w:rPr>
                      <w:rStyle w:val="105"/>
                      <w:rFonts w:ascii="Times New Roman" w:hAnsi="Times New Roman"/>
                      <w:sz w:val="21"/>
                      <w:szCs w:val="21"/>
                      <w:lang w:val="en-US" w:eastAsia="zh-CN"/>
                    </w:rPr>
                    <w:t>TPE，塑料粒子</w:t>
                  </w:r>
                </w:p>
              </w:tc>
              <w:tc>
                <w:tcPr>
                  <w:tcW w:w="1405"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rStyle w:val="105"/>
                      <w:rFonts w:ascii="Times New Roman" w:hAnsi="Times New Roman" w:eastAsia="宋体"/>
                      <w:kern w:val="2"/>
                      <w:sz w:val="21"/>
                      <w:szCs w:val="21"/>
                      <w:lang w:val="en-US" w:eastAsia="zh-CN" w:bidi="ar-SA"/>
                    </w:rPr>
                    <w:t>12吨</w:t>
                  </w:r>
                </w:p>
              </w:tc>
              <w:tc>
                <w:tcPr>
                  <w:tcW w:w="1295"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sz w:val="21"/>
                    </w:rPr>
                    <w:t>24吨</w:t>
                  </w:r>
                </w:p>
              </w:tc>
              <w:tc>
                <w:tcPr>
                  <w:tcW w:w="1023"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sz w:val="21"/>
                    </w:rPr>
                    <w:t>12吨</w:t>
                  </w:r>
                </w:p>
              </w:tc>
              <w:tc>
                <w:tcPr>
                  <w:tcW w:w="1009"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sz w:val="21"/>
                    </w:rPr>
                    <w:t>4吨</w:t>
                  </w:r>
                </w:p>
              </w:tc>
              <w:tc>
                <w:tcPr>
                  <w:tcW w:w="1227"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rStyle w:val="105"/>
                      <w:rFonts w:ascii="Times New Roman" w:hAnsi="Times New Roman" w:eastAsia="宋体"/>
                      <w:kern w:val="2"/>
                      <w:sz w:val="21"/>
                      <w:szCs w:val="21"/>
                      <w:lang w:val="en-US" w:eastAsia="zh-CN" w:bidi="ar-SA"/>
                    </w:rPr>
                    <w:t>国内汽运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jc w:val="center"/>
              </w:trPr>
              <w:tc>
                <w:tcPr>
                  <w:tcW w:w="1372"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rStyle w:val="105"/>
                      <w:rFonts w:ascii="Times New Roman" w:hAnsi="Times New Roman" w:eastAsia="宋体"/>
                      <w:kern w:val="2"/>
                      <w:sz w:val="21"/>
                      <w:szCs w:val="21"/>
                      <w:lang w:val="en-US" w:eastAsia="zh-CN" w:bidi="ar-SA"/>
                    </w:rPr>
                    <w:t>PE色料粒子</w:t>
                  </w:r>
                </w:p>
              </w:tc>
              <w:tc>
                <w:tcPr>
                  <w:tcW w:w="2091" w:type="dxa"/>
                  <w:noWrap w:val="0"/>
                  <w:vAlign w:val="center"/>
                </w:tcPr>
                <w:p>
                  <w:pPr>
                    <w:pStyle w:val="35"/>
                    <w:widowControl/>
                    <w:spacing w:line="240" w:lineRule="auto"/>
                    <w:ind w:firstLine="420" w:firstLineChars="0"/>
                    <w:jc w:val="center"/>
                    <w:textAlignment w:val="baseline"/>
                    <w:rPr>
                      <w:rFonts w:hint="default" w:ascii="Times New Roman" w:hAnsi="Times New Roman" w:eastAsia="宋体" w:cs="Times New Roman"/>
                      <w:kern w:val="2"/>
                      <w:sz w:val="21"/>
                      <w:szCs w:val="21"/>
                      <w:lang w:val="en-US" w:eastAsia="zh-CN" w:bidi="ar-SA"/>
                    </w:rPr>
                  </w:pPr>
                  <w:r>
                    <w:rPr>
                      <w:rStyle w:val="105"/>
                      <w:rFonts w:ascii="Times New Roman" w:hAnsi="Times New Roman"/>
                      <w:sz w:val="21"/>
                      <w:szCs w:val="21"/>
                      <w:lang w:val="en-US" w:eastAsia="zh-CN"/>
                    </w:rPr>
                    <w:t>塑料粒子</w:t>
                  </w:r>
                </w:p>
              </w:tc>
              <w:tc>
                <w:tcPr>
                  <w:tcW w:w="1405"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rStyle w:val="105"/>
                      <w:rFonts w:ascii="Times New Roman" w:hAnsi="Times New Roman" w:eastAsia="宋体"/>
                      <w:kern w:val="2"/>
                      <w:sz w:val="21"/>
                      <w:szCs w:val="21"/>
                      <w:lang w:val="en-US" w:eastAsia="zh-CN" w:bidi="ar-SA"/>
                    </w:rPr>
                    <w:t>8吨</w:t>
                  </w:r>
                </w:p>
              </w:tc>
              <w:tc>
                <w:tcPr>
                  <w:tcW w:w="1295"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sz w:val="21"/>
                    </w:rPr>
                    <w:t>16吨</w:t>
                  </w:r>
                </w:p>
              </w:tc>
              <w:tc>
                <w:tcPr>
                  <w:tcW w:w="1023"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sz w:val="21"/>
                    </w:rPr>
                    <w:t>8吨</w:t>
                  </w:r>
                </w:p>
              </w:tc>
              <w:tc>
                <w:tcPr>
                  <w:tcW w:w="1009"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sz w:val="21"/>
                    </w:rPr>
                    <w:t>3吨</w:t>
                  </w:r>
                </w:p>
              </w:tc>
              <w:tc>
                <w:tcPr>
                  <w:tcW w:w="1227"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rStyle w:val="105"/>
                      <w:rFonts w:ascii="Times New Roman" w:hAnsi="Times New Roman" w:eastAsia="宋体"/>
                      <w:kern w:val="2"/>
                      <w:sz w:val="21"/>
                      <w:szCs w:val="21"/>
                      <w:lang w:val="en-US" w:eastAsia="zh-CN" w:bidi="ar-SA"/>
                    </w:rPr>
                    <w:t>国内汽运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jc w:val="center"/>
              </w:trPr>
              <w:tc>
                <w:tcPr>
                  <w:tcW w:w="1372"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rStyle w:val="105"/>
                      <w:rFonts w:ascii="Times New Roman" w:hAnsi="Times New Roman" w:eastAsia="宋体"/>
                      <w:kern w:val="2"/>
                      <w:sz w:val="21"/>
                      <w:szCs w:val="21"/>
                      <w:lang w:val="en-US" w:eastAsia="zh-CN" w:bidi="ar-SA"/>
                    </w:rPr>
                    <w:t>包装</w:t>
                  </w:r>
                </w:p>
              </w:tc>
              <w:tc>
                <w:tcPr>
                  <w:tcW w:w="2091" w:type="dxa"/>
                  <w:noWrap w:val="0"/>
                  <w:vAlign w:val="center"/>
                </w:tcPr>
                <w:p>
                  <w:pPr>
                    <w:pStyle w:val="35"/>
                    <w:widowControl/>
                    <w:spacing w:line="240" w:lineRule="auto"/>
                    <w:ind w:firstLine="420" w:firstLineChars="0"/>
                    <w:jc w:val="center"/>
                    <w:textAlignment w:val="baseline"/>
                    <w:rPr>
                      <w:rFonts w:hint="default" w:ascii="Times New Roman" w:hAnsi="Times New Roman" w:eastAsia="宋体" w:cs="Times New Roman"/>
                      <w:kern w:val="2"/>
                      <w:sz w:val="21"/>
                      <w:szCs w:val="21"/>
                      <w:lang w:val="en-US" w:eastAsia="zh-CN" w:bidi="ar-SA"/>
                    </w:rPr>
                  </w:pPr>
                  <w:r>
                    <w:rPr>
                      <w:rStyle w:val="105"/>
                      <w:rFonts w:ascii="Times New Roman" w:hAnsi="Times New Roman"/>
                      <w:sz w:val="21"/>
                      <w:szCs w:val="21"/>
                      <w:lang w:val="en-US" w:eastAsia="zh-CN"/>
                    </w:rPr>
                    <w:t>/</w:t>
                  </w:r>
                </w:p>
              </w:tc>
              <w:tc>
                <w:tcPr>
                  <w:tcW w:w="1405"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rStyle w:val="105"/>
                      <w:rFonts w:ascii="Times New Roman" w:hAnsi="Times New Roman" w:eastAsia="宋体"/>
                      <w:kern w:val="2"/>
                      <w:sz w:val="21"/>
                      <w:szCs w:val="21"/>
                      <w:lang w:val="en-US" w:eastAsia="zh-CN" w:bidi="ar-SA"/>
                    </w:rPr>
                    <w:t>3吨</w:t>
                  </w:r>
                </w:p>
              </w:tc>
              <w:tc>
                <w:tcPr>
                  <w:tcW w:w="1295"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sz w:val="21"/>
                    </w:rPr>
                    <w:t>6吨</w:t>
                  </w:r>
                </w:p>
              </w:tc>
              <w:tc>
                <w:tcPr>
                  <w:tcW w:w="1023"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sz w:val="21"/>
                    </w:rPr>
                    <w:t>3吨</w:t>
                  </w:r>
                </w:p>
              </w:tc>
              <w:tc>
                <w:tcPr>
                  <w:tcW w:w="1009"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sz w:val="21"/>
                    </w:rPr>
                    <w:t>1吨</w:t>
                  </w:r>
                </w:p>
              </w:tc>
              <w:tc>
                <w:tcPr>
                  <w:tcW w:w="1227"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rStyle w:val="105"/>
                      <w:rFonts w:ascii="Times New Roman" w:hAnsi="Times New Roman" w:eastAsia="宋体"/>
                      <w:kern w:val="2"/>
                      <w:sz w:val="21"/>
                      <w:szCs w:val="21"/>
                      <w:lang w:val="en-US" w:eastAsia="zh-CN" w:bidi="ar-SA"/>
                    </w:rPr>
                    <w:t>国内汽运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jc w:val="center"/>
              </w:trPr>
              <w:tc>
                <w:tcPr>
                  <w:tcW w:w="1372"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sz w:val="21"/>
                    </w:rPr>
                    <w:t>EVA</w:t>
                  </w:r>
                </w:p>
              </w:tc>
              <w:tc>
                <w:tcPr>
                  <w:tcW w:w="2091" w:type="dxa"/>
                  <w:noWrap w:val="0"/>
                  <w:vAlign w:val="center"/>
                </w:tcPr>
                <w:p>
                  <w:pPr>
                    <w:spacing w:line="240" w:lineRule="auto"/>
                    <w:jc w:val="center"/>
                    <w:textAlignment w:val="baseline"/>
                    <w:rPr>
                      <w:rFonts w:hint="default" w:ascii="Times New Roman" w:hAnsi="Times New Roman" w:eastAsia="宋体" w:cs="Times New Roman"/>
                      <w:kern w:val="2"/>
                      <w:sz w:val="21"/>
                      <w:szCs w:val="21"/>
                      <w:lang w:val="en-US" w:eastAsia="zh-CN" w:bidi="ar-SA"/>
                    </w:rPr>
                  </w:pPr>
                  <w:r>
                    <w:rPr>
                      <w:sz w:val="21"/>
                    </w:rPr>
                    <w:t>塑料粒子</w:t>
                  </w:r>
                </w:p>
              </w:tc>
              <w:tc>
                <w:tcPr>
                  <w:tcW w:w="1405"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w:t>
                  </w:r>
                </w:p>
              </w:tc>
              <w:tc>
                <w:tcPr>
                  <w:tcW w:w="1295"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sz w:val="21"/>
                    </w:rPr>
                    <w:t>500吨</w:t>
                  </w:r>
                </w:p>
              </w:tc>
              <w:tc>
                <w:tcPr>
                  <w:tcW w:w="1023"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sz w:val="21"/>
                    </w:rPr>
                    <w:t>500吨</w:t>
                  </w:r>
                </w:p>
              </w:tc>
              <w:tc>
                <w:tcPr>
                  <w:tcW w:w="1009"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sz w:val="21"/>
                    </w:rPr>
                    <w:t>30吨</w:t>
                  </w:r>
                </w:p>
              </w:tc>
              <w:tc>
                <w:tcPr>
                  <w:tcW w:w="1227"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rStyle w:val="105"/>
                      <w:rFonts w:ascii="Times New Roman" w:hAnsi="Times New Roman" w:eastAsia="宋体"/>
                      <w:kern w:val="2"/>
                      <w:sz w:val="21"/>
                      <w:szCs w:val="21"/>
                      <w:lang w:val="en-US" w:eastAsia="zh-CN" w:bidi="ar-SA"/>
                    </w:rPr>
                    <w:t>国内汽运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242" w:hRule="atLeast"/>
                <w:jc w:val="center"/>
              </w:trPr>
              <w:tc>
                <w:tcPr>
                  <w:tcW w:w="1372"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sz w:val="21"/>
                    </w:rPr>
                    <w:t>填充物</w:t>
                  </w:r>
                </w:p>
              </w:tc>
              <w:tc>
                <w:tcPr>
                  <w:tcW w:w="2091" w:type="dxa"/>
                  <w:noWrap w:val="0"/>
                  <w:vAlign w:val="center"/>
                </w:tcPr>
                <w:p>
                  <w:pPr>
                    <w:spacing w:line="240" w:lineRule="auto"/>
                    <w:jc w:val="center"/>
                    <w:textAlignment w:val="baseline"/>
                    <w:rPr>
                      <w:rFonts w:hint="default" w:ascii="Times New Roman" w:hAnsi="Times New Roman" w:eastAsia="宋体" w:cs="Times New Roman"/>
                      <w:kern w:val="2"/>
                      <w:sz w:val="21"/>
                      <w:szCs w:val="21"/>
                      <w:lang w:val="en-US" w:eastAsia="zh-CN" w:bidi="ar-SA"/>
                    </w:rPr>
                  </w:pPr>
                  <w:r>
                    <w:rPr>
                      <w:sz w:val="21"/>
                    </w:rPr>
                    <w:t>碳酸钙</w:t>
                  </w:r>
                </w:p>
              </w:tc>
              <w:tc>
                <w:tcPr>
                  <w:tcW w:w="1405"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w:t>
                  </w:r>
                </w:p>
              </w:tc>
              <w:tc>
                <w:tcPr>
                  <w:tcW w:w="1295"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sz w:val="21"/>
                    </w:rPr>
                    <w:t>300吨</w:t>
                  </w:r>
                </w:p>
              </w:tc>
              <w:tc>
                <w:tcPr>
                  <w:tcW w:w="1023"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sz w:val="21"/>
                    </w:rPr>
                    <w:t>300吨</w:t>
                  </w:r>
                </w:p>
              </w:tc>
              <w:tc>
                <w:tcPr>
                  <w:tcW w:w="1009"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sz w:val="21"/>
                    </w:rPr>
                    <w:t>20吨</w:t>
                  </w:r>
                </w:p>
              </w:tc>
              <w:tc>
                <w:tcPr>
                  <w:tcW w:w="1227"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rStyle w:val="105"/>
                      <w:rFonts w:ascii="Times New Roman" w:hAnsi="Times New Roman" w:eastAsia="宋体"/>
                      <w:kern w:val="2"/>
                      <w:sz w:val="21"/>
                      <w:szCs w:val="21"/>
                      <w:lang w:val="en-US" w:eastAsia="zh-CN" w:bidi="ar-SA"/>
                    </w:rPr>
                    <w:t>国内汽运</w:t>
                  </w:r>
                </w:p>
              </w:tc>
            </w:tr>
          </w:tbl>
          <w:p>
            <w:pPr>
              <w:pStyle w:val="51"/>
              <w:jc w:val="left"/>
              <w:rPr>
                <w:rFonts w:ascii="Times New Roman" w:hAnsi="Times New Roman" w:eastAsia="宋体"/>
                <w:b/>
                <w:bCs/>
                <w:color w:val="auto"/>
              </w:rPr>
            </w:pPr>
          </w:p>
          <w:p>
            <w:pPr>
              <w:pStyle w:val="51"/>
              <w:jc w:val="left"/>
              <w:rPr>
                <w:rFonts w:ascii="Times New Roman" w:hAnsi="Times New Roman" w:eastAsia="宋体"/>
                <w:b/>
                <w:bCs/>
                <w:color w:val="auto"/>
              </w:rPr>
            </w:pPr>
          </w:p>
          <w:p>
            <w:pPr>
              <w:pStyle w:val="51"/>
              <w:jc w:val="left"/>
              <w:rPr>
                <w:rFonts w:ascii="Times New Roman" w:hAnsi="Times New Roman" w:eastAsia="宋体"/>
                <w:b/>
                <w:bCs/>
                <w:color w:val="auto"/>
              </w:rPr>
            </w:pPr>
          </w:p>
          <w:p>
            <w:pPr>
              <w:pStyle w:val="51"/>
              <w:jc w:val="left"/>
              <w:rPr>
                <w:color w:val="auto"/>
              </w:rPr>
            </w:pPr>
            <w:r>
              <w:rPr>
                <w:rFonts w:ascii="Times New Roman" w:hAnsi="Times New Roman" w:eastAsia="宋体"/>
                <w:b/>
                <w:bCs/>
                <w:color w:val="auto"/>
              </w:rPr>
              <w:t>主要生产设备：</w:t>
            </w:r>
            <w:r>
              <w:rPr>
                <w:rFonts w:ascii="Times New Roman" w:hAnsi="Times New Roman" w:eastAsia="宋体"/>
                <w:color w:val="auto"/>
              </w:rPr>
              <w:t>详细生产设备见表1-2。</w:t>
            </w:r>
          </w:p>
          <w:p>
            <w:pPr>
              <w:pStyle w:val="51"/>
              <w:rPr>
                <w:rFonts w:ascii="Times New Roman" w:hAnsi="Times New Roman" w:eastAsia="宋体"/>
                <w:b/>
                <w:bCs/>
                <w:color w:val="auto"/>
              </w:rPr>
            </w:pPr>
            <w:r>
              <w:rPr>
                <w:rFonts w:ascii="Times New Roman" w:hAnsi="Times New Roman" w:eastAsia="宋体"/>
                <w:b/>
                <w:bCs/>
                <w:color w:val="auto"/>
              </w:rPr>
              <w:t>表1-2  主要设施设备规格及数量</w:t>
            </w:r>
          </w:p>
          <w:tbl>
            <w:tblPr>
              <w:tblStyle w:val="2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33"/>
              <w:gridCol w:w="2600"/>
              <w:gridCol w:w="2659"/>
              <w:gridCol w:w="934"/>
              <w:gridCol w:w="934"/>
              <w:gridCol w:w="936"/>
              <w:gridCol w:w="92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433" w:type="dxa"/>
                  <w:vMerge w:val="restart"/>
                  <w:noWrap w:val="0"/>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序号</w:t>
                  </w:r>
                </w:p>
              </w:tc>
              <w:tc>
                <w:tcPr>
                  <w:tcW w:w="2600" w:type="dxa"/>
                  <w:vMerge w:val="restart"/>
                  <w:noWrap w:val="0"/>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名称</w:t>
                  </w:r>
                </w:p>
              </w:tc>
              <w:tc>
                <w:tcPr>
                  <w:tcW w:w="2659" w:type="dxa"/>
                  <w:vMerge w:val="restart"/>
                  <w:noWrap w:val="0"/>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规模型号</w:t>
                  </w:r>
                </w:p>
              </w:tc>
              <w:tc>
                <w:tcPr>
                  <w:tcW w:w="2804" w:type="dxa"/>
                  <w:gridSpan w:val="3"/>
                  <w:noWrap w:val="0"/>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数量（台）</w:t>
                  </w:r>
                </w:p>
              </w:tc>
              <w:tc>
                <w:tcPr>
                  <w:tcW w:w="926" w:type="dxa"/>
                  <w:vMerge w:val="restart"/>
                  <w:noWrap w:val="0"/>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产地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3" w:type="dxa"/>
                  <w:vMerge w:val="continue"/>
                  <w:noWrap w:val="0"/>
                  <w:vAlign w:val="center"/>
                </w:tcPr>
                <w:p>
                  <w:pPr>
                    <w:spacing w:line="240" w:lineRule="auto"/>
                    <w:jc w:val="center"/>
                    <w:rPr>
                      <w:rFonts w:hint="default" w:ascii="Times New Roman" w:hAnsi="Times New Roman" w:cs="Times New Roman"/>
                      <w:sz w:val="21"/>
                      <w:szCs w:val="21"/>
                    </w:rPr>
                  </w:pPr>
                </w:p>
              </w:tc>
              <w:tc>
                <w:tcPr>
                  <w:tcW w:w="2600" w:type="dxa"/>
                  <w:vMerge w:val="continue"/>
                  <w:noWrap w:val="0"/>
                  <w:vAlign w:val="center"/>
                </w:tcPr>
                <w:p>
                  <w:pPr>
                    <w:spacing w:line="240" w:lineRule="auto"/>
                    <w:jc w:val="center"/>
                    <w:rPr>
                      <w:rFonts w:hint="default" w:ascii="Times New Roman" w:hAnsi="Times New Roman" w:cs="Times New Roman"/>
                      <w:sz w:val="21"/>
                      <w:szCs w:val="21"/>
                    </w:rPr>
                  </w:pPr>
                </w:p>
              </w:tc>
              <w:tc>
                <w:tcPr>
                  <w:tcW w:w="2659" w:type="dxa"/>
                  <w:vMerge w:val="continue"/>
                  <w:noWrap w:val="0"/>
                  <w:vAlign w:val="center"/>
                </w:tcPr>
                <w:p>
                  <w:pPr>
                    <w:spacing w:line="240" w:lineRule="auto"/>
                    <w:jc w:val="center"/>
                    <w:rPr>
                      <w:rFonts w:hint="default" w:ascii="Times New Roman" w:hAnsi="Times New Roman" w:cs="Times New Roman"/>
                      <w:sz w:val="21"/>
                      <w:szCs w:val="21"/>
                    </w:rPr>
                  </w:pPr>
                </w:p>
              </w:tc>
              <w:tc>
                <w:tcPr>
                  <w:tcW w:w="934" w:type="dxa"/>
                  <w:noWrap w:val="0"/>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扩建前</w:t>
                  </w:r>
                </w:p>
              </w:tc>
              <w:tc>
                <w:tcPr>
                  <w:tcW w:w="934" w:type="dxa"/>
                  <w:noWrap w:val="0"/>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扩建后</w:t>
                  </w:r>
                </w:p>
              </w:tc>
              <w:tc>
                <w:tcPr>
                  <w:tcW w:w="936" w:type="dxa"/>
                  <w:noWrap w:val="0"/>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变化量</w:t>
                  </w:r>
                </w:p>
              </w:tc>
              <w:tc>
                <w:tcPr>
                  <w:tcW w:w="926" w:type="dxa"/>
                  <w:vMerge w:val="continue"/>
                  <w:noWrap w:val="0"/>
                  <w:vAlign w:val="center"/>
                </w:tcPr>
                <w:p>
                  <w:pPr>
                    <w:spacing w:line="240" w:lineRule="auto"/>
                    <w:jc w:val="center"/>
                    <w:rPr>
                      <w:rFonts w:hint="default" w:ascii="Times New Roman" w:hAnsi="Times New Roman" w:cs="Times New Roman"/>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3" w:type="dxa"/>
                  <w:noWrap w:val="0"/>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2600"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rStyle w:val="105"/>
                      <w:rFonts w:ascii="Times New Roman" w:hAnsi="Times New Roman" w:eastAsia="宋体"/>
                      <w:kern w:val="2"/>
                      <w:sz w:val="21"/>
                      <w:szCs w:val="21"/>
                      <w:lang w:val="en-US" w:eastAsia="zh-CN" w:bidi="ar-SA"/>
                    </w:rPr>
                    <w:t>捏合机（混料）</w:t>
                  </w:r>
                </w:p>
              </w:tc>
              <w:tc>
                <w:tcPr>
                  <w:tcW w:w="2659"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rStyle w:val="105"/>
                      <w:rFonts w:ascii="Times New Roman" w:hAnsi="Times New Roman" w:eastAsia="宋体"/>
                      <w:kern w:val="2"/>
                      <w:sz w:val="21"/>
                      <w:szCs w:val="21"/>
                      <w:lang w:val="en-US" w:eastAsia="zh-CN" w:bidi="ar-SA"/>
                    </w:rPr>
                    <w:t>立式</w:t>
                  </w:r>
                </w:p>
              </w:tc>
              <w:tc>
                <w:tcPr>
                  <w:tcW w:w="934"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rStyle w:val="105"/>
                      <w:rFonts w:ascii="Times New Roman" w:hAnsi="Times New Roman" w:eastAsia="宋体"/>
                      <w:kern w:val="2"/>
                      <w:sz w:val="21"/>
                      <w:szCs w:val="21"/>
                      <w:lang w:val="en-US" w:eastAsia="zh-CN" w:bidi="ar-SA"/>
                    </w:rPr>
                    <w:t>2</w:t>
                  </w:r>
                </w:p>
              </w:tc>
              <w:tc>
                <w:tcPr>
                  <w:tcW w:w="934"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sz w:val="21"/>
                    </w:rPr>
                    <w:t>3</w:t>
                  </w:r>
                </w:p>
              </w:tc>
              <w:tc>
                <w:tcPr>
                  <w:tcW w:w="936"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rFonts w:hint="eastAsia"/>
                      <w:sz w:val="21"/>
                      <w:lang w:val="en-US" w:eastAsia="zh-CN"/>
                    </w:rPr>
                    <w:t>+</w:t>
                  </w:r>
                  <w:r>
                    <w:rPr>
                      <w:sz w:val="21"/>
                    </w:rPr>
                    <w:t>1</w:t>
                  </w:r>
                </w:p>
              </w:tc>
              <w:tc>
                <w:tcPr>
                  <w:tcW w:w="926" w:type="dxa"/>
                  <w:noWrap w:val="0"/>
                  <w:vAlign w:val="center"/>
                </w:tcPr>
                <w:p>
                  <w:pPr>
                    <w:widowControl/>
                    <w:spacing w:line="240" w:lineRule="auto"/>
                    <w:jc w:val="center"/>
                    <w:textAlignment w:val="baseline"/>
                    <w:rPr>
                      <w:rFonts w:hint="default" w:ascii="Times New Roman" w:hAnsi="Times New Roman" w:eastAsia="宋体" w:cs="Times New Roman"/>
                      <w:kern w:val="2"/>
                      <w:sz w:val="21"/>
                      <w:szCs w:val="21"/>
                      <w:lang w:val="en-US" w:eastAsia="zh-CN" w:bidi="ar-SA"/>
                    </w:rPr>
                  </w:pPr>
                  <w:r>
                    <w:rPr>
                      <w:sz w:val="21"/>
                    </w:rPr>
                    <w:t>徐州恭乐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3" w:type="dxa"/>
                  <w:noWrap w:val="0"/>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2600"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rStyle w:val="105"/>
                      <w:rFonts w:ascii="Times New Roman" w:hAnsi="Times New Roman" w:eastAsia="宋体"/>
                      <w:kern w:val="2"/>
                      <w:sz w:val="21"/>
                      <w:szCs w:val="21"/>
                      <w:lang w:val="en-US" w:eastAsia="zh-CN" w:bidi="ar-SA"/>
                    </w:rPr>
                    <w:t>单螺杆挤出成型机</w:t>
                  </w:r>
                </w:p>
              </w:tc>
              <w:tc>
                <w:tcPr>
                  <w:tcW w:w="2659"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rStyle w:val="105"/>
                      <w:rFonts w:ascii="Times New Roman" w:hAnsi="Times New Roman" w:eastAsia="宋体"/>
                      <w:kern w:val="2"/>
                      <w:sz w:val="21"/>
                      <w:szCs w:val="21"/>
                      <w:lang w:val="en-US" w:eastAsia="zh-CN" w:bidi="ar-SA"/>
                    </w:rPr>
                    <w:t>CH-100</w:t>
                  </w:r>
                </w:p>
              </w:tc>
              <w:tc>
                <w:tcPr>
                  <w:tcW w:w="934"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rStyle w:val="105"/>
                      <w:rFonts w:ascii="Times New Roman" w:hAnsi="Times New Roman" w:eastAsia="宋体"/>
                      <w:kern w:val="2"/>
                      <w:sz w:val="21"/>
                      <w:szCs w:val="21"/>
                      <w:lang w:val="en-US" w:eastAsia="zh-CN" w:bidi="ar-SA"/>
                    </w:rPr>
                    <w:t>2</w:t>
                  </w:r>
                </w:p>
              </w:tc>
              <w:tc>
                <w:tcPr>
                  <w:tcW w:w="934"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sz w:val="21"/>
                    </w:rPr>
                    <w:t>3</w:t>
                  </w:r>
                </w:p>
              </w:tc>
              <w:tc>
                <w:tcPr>
                  <w:tcW w:w="936"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rFonts w:hint="eastAsia"/>
                      <w:sz w:val="21"/>
                      <w:lang w:val="en-US" w:eastAsia="zh-CN"/>
                    </w:rPr>
                    <w:t>+1</w:t>
                  </w:r>
                </w:p>
              </w:tc>
              <w:tc>
                <w:tcPr>
                  <w:tcW w:w="926" w:type="dxa"/>
                  <w:noWrap w:val="0"/>
                  <w:vAlign w:val="center"/>
                </w:tcPr>
                <w:p>
                  <w:pPr>
                    <w:widowControl/>
                    <w:spacing w:line="240" w:lineRule="auto"/>
                    <w:jc w:val="center"/>
                    <w:textAlignment w:val="baseline"/>
                    <w:rPr>
                      <w:rFonts w:hint="default" w:ascii="Times New Roman" w:hAnsi="Times New Roman" w:eastAsia="宋体" w:cs="Times New Roman"/>
                      <w:kern w:val="2"/>
                      <w:sz w:val="21"/>
                      <w:szCs w:val="21"/>
                      <w:lang w:val="en-US" w:eastAsia="zh-CN" w:bidi="ar-SA"/>
                    </w:rPr>
                  </w:pPr>
                  <w:r>
                    <w:rPr>
                      <w:sz w:val="21"/>
                    </w:rPr>
                    <w:t>徐州恭乐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3" w:type="dxa"/>
                  <w:noWrap w:val="0"/>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w:t>
                  </w:r>
                </w:p>
              </w:tc>
              <w:tc>
                <w:tcPr>
                  <w:tcW w:w="2600"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双螺杆挤出成型机</w:t>
                  </w:r>
                </w:p>
              </w:tc>
              <w:tc>
                <w:tcPr>
                  <w:tcW w:w="2659"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w:t>
                  </w:r>
                </w:p>
              </w:tc>
              <w:tc>
                <w:tcPr>
                  <w:tcW w:w="934"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934"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w:t>
                  </w:r>
                </w:p>
              </w:tc>
              <w:tc>
                <w:tcPr>
                  <w:tcW w:w="936"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w:t>
                  </w:r>
                </w:p>
              </w:tc>
              <w:tc>
                <w:tcPr>
                  <w:tcW w:w="926" w:type="dxa"/>
                  <w:noWrap w:val="0"/>
                  <w:vAlign w:val="center"/>
                </w:tcPr>
                <w:p>
                  <w:pPr>
                    <w:widowControl/>
                    <w:spacing w:line="240" w:lineRule="auto"/>
                    <w:jc w:val="center"/>
                    <w:textAlignment w:val="baseline"/>
                    <w:rPr>
                      <w:rFonts w:hint="default" w:ascii="Times New Roman" w:hAnsi="Times New Roman" w:eastAsia="宋体" w:cs="Times New Roman"/>
                      <w:kern w:val="0"/>
                      <w:sz w:val="21"/>
                      <w:szCs w:val="21"/>
                      <w:lang w:val="en-US" w:eastAsia="zh-CN" w:bidi="ar-SA"/>
                    </w:rPr>
                  </w:pPr>
                  <w:r>
                    <w:rPr>
                      <w:sz w:val="21"/>
                    </w:rPr>
                    <w:t>徐州恭乐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3" w:type="dxa"/>
                  <w:noWrap w:val="0"/>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w:t>
                  </w:r>
                </w:p>
              </w:tc>
              <w:tc>
                <w:tcPr>
                  <w:tcW w:w="2600"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rStyle w:val="105"/>
                      <w:rFonts w:ascii="Times New Roman" w:hAnsi="Times New Roman" w:eastAsia="宋体"/>
                      <w:kern w:val="2"/>
                      <w:sz w:val="21"/>
                      <w:szCs w:val="21"/>
                      <w:lang w:val="en-US" w:eastAsia="zh-CN" w:bidi="ar-SA"/>
                    </w:rPr>
                    <w:t>空压机</w:t>
                  </w:r>
                </w:p>
              </w:tc>
              <w:tc>
                <w:tcPr>
                  <w:tcW w:w="2659"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rStyle w:val="105"/>
                      <w:rFonts w:ascii="Times New Roman" w:hAnsi="Times New Roman" w:eastAsia="宋体"/>
                      <w:kern w:val="2"/>
                      <w:sz w:val="21"/>
                      <w:szCs w:val="21"/>
                      <w:lang w:val="en-US" w:eastAsia="zh-CN" w:bidi="ar-SA"/>
                    </w:rPr>
                    <w:t>RGPA-10</w:t>
                  </w:r>
                </w:p>
              </w:tc>
              <w:tc>
                <w:tcPr>
                  <w:tcW w:w="934"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rStyle w:val="105"/>
                      <w:rFonts w:ascii="Times New Roman" w:hAnsi="Times New Roman" w:eastAsia="宋体"/>
                      <w:kern w:val="2"/>
                      <w:sz w:val="21"/>
                      <w:szCs w:val="21"/>
                      <w:lang w:val="en-US" w:eastAsia="zh-CN" w:bidi="ar-SA"/>
                    </w:rPr>
                    <w:t>1</w:t>
                  </w:r>
                </w:p>
              </w:tc>
              <w:tc>
                <w:tcPr>
                  <w:tcW w:w="934"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w:t>
                  </w:r>
                </w:p>
              </w:tc>
              <w:tc>
                <w:tcPr>
                  <w:tcW w:w="936"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926" w:type="dxa"/>
                  <w:noWrap w:val="0"/>
                  <w:vAlign w:val="center"/>
                </w:tcPr>
                <w:p>
                  <w:pPr>
                    <w:widowControl/>
                    <w:spacing w:line="240" w:lineRule="auto"/>
                    <w:jc w:val="center"/>
                    <w:textAlignment w:val="baseline"/>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3" w:type="dxa"/>
                  <w:noWrap w:val="0"/>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w:t>
                  </w:r>
                </w:p>
              </w:tc>
              <w:tc>
                <w:tcPr>
                  <w:tcW w:w="2600"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rStyle w:val="105"/>
                      <w:rFonts w:ascii="Times New Roman" w:hAnsi="Times New Roman" w:eastAsia="宋体"/>
                      <w:kern w:val="2"/>
                      <w:sz w:val="21"/>
                      <w:szCs w:val="21"/>
                      <w:lang w:val="en-US" w:eastAsia="zh-CN" w:bidi="ar-SA"/>
                    </w:rPr>
                    <w:t>冷却塔</w:t>
                  </w:r>
                </w:p>
              </w:tc>
              <w:tc>
                <w:tcPr>
                  <w:tcW w:w="2659"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rStyle w:val="105"/>
                      <w:rFonts w:ascii="Times New Roman" w:hAnsi="Times New Roman" w:eastAsia="宋体"/>
                      <w:kern w:val="2"/>
                      <w:sz w:val="21"/>
                      <w:szCs w:val="21"/>
                      <w:lang w:val="en-US" w:eastAsia="zh-CN" w:bidi="ar-SA"/>
                    </w:rPr>
                    <w:t>2t/h</w:t>
                  </w:r>
                </w:p>
              </w:tc>
              <w:tc>
                <w:tcPr>
                  <w:tcW w:w="934"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rStyle w:val="105"/>
                      <w:rFonts w:ascii="Times New Roman" w:hAnsi="Times New Roman" w:eastAsia="宋体"/>
                      <w:kern w:val="2"/>
                      <w:sz w:val="21"/>
                      <w:szCs w:val="21"/>
                      <w:lang w:val="en-US" w:eastAsia="zh-CN" w:bidi="ar-SA"/>
                    </w:rPr>
                    <w:t>1</w:t>
                  </w:r>
                </w:p>
              </w:tc>
              <w:tc>
                <w:tcPr>
                  <w:tcW w:w="934"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w:t>
                  </w:r>
                </w:p>
              </w:tc>
              <w:tc>
                <w:tcPr>
                  <w:tcW w:w="936" w:type="dxa"/>
                  <w:noWrap w:val="0"/>
                  <w:vAlign w:val="center"/>
                </w:tcPr>
                <w:p>
                  <w:pPr>
                    <w:snapToGrid w:val="0"/>
                    <w:spacing w:line="240" w:lineRule="auto"/>
                    <w:jc w:val="center"/>
                    <w:textAlignment w:val="baseline"/>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926" w:type="dxa"/>
                  <w:noWrap w:val="0"/>
                  <w:vAlign w:val="center"/>
                </w:tcPr>
                <w:p>
                  <w:pPr>
                    <w:widowControl/>
                    <w:spacing w:line="240" w:lineRule="auto"/>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w:t>
                  </w:r>
                </w:p>
              </w:tc>
            </w:tr>
          </w:tbl>
          <w:p>
            <w:pPr>
              <w:rPr>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38" w:type="dxa"/>
            <w:gridSpan w:val="12"/>
            <w:tcBorders>
              <w:top w:val="single" w:color="auto" w:sz="4" w:space="0"/>
              <w:left w:val="single" w:color="auto" w:sz="4" w:space="0"/>
              <w:bottom w:val="single" w:color="auto" w:sz="4" w:space="0"/>
              <w:right w:val="single" w:color="auto" w:sz="4" w:space="0"/>
            </w:tcBorders>
            <w:vAlign w:val="center"/>
          </w:tcPr>
          <w:p>
            <w:pPr>
              <w:rPr>
                <w:b/>
                <w:bCs/>
                <w:color w:val="auto"/>
                <w:szCs w:val="21"/>
              </w:rPr>
            </w:pPr>
            <w:bookmarkStart w:id="1" w:name="_Hlk12440800"/>
            <w:r>
              <w:rPr>
                <w:b/>
                <w:bCs/>
                <w:color w:val="auto"/>
              </w:rPr>
              <w:t>水及能源消耗量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2617" w:type="dxa"/>
            <w:gridSpan w:val="2"/>
            <w:vMerge w:val="restart"/>
            <w:tcBorders>
              <w:top w:val="single" w:color="auto" w:sz="4" w:space="0"/>
              <w:left w:val="single" w:color="auto" w:sz="4" w:space="0"/>
              <w:right w:val="single" w:color="auto" w:sz="4" w:space="0"/>
            </w:tcBorders>
            <w:vAlign w:val="center"/>
          </w:tcPr>
          <w:p>
            <w:pPr>
              <w:jc w:val="center"/>
              <w:rPr>
                <w:bCs/>
                <w:color w:val="auto"/>
                <w:szCs w:val="21"/>
              </w:rPr>
            </w:pPr>
            <w:r>
              <w:rPr>
                <w:bCs/>
                <w:color w:val="auto"/>
                <w:szCs w:val="21"/>
              </w:rPr>
              <w:t>名称</w:t>
            </w:r>
          </w:p>
        </w:tc>
        <w:tc>
          <w:tcPr>
            <w:tcW w:w="2751" w:type="dxa"/>
            <w:gridSpan w:val="5"/>
            <w:tcBorders>
              <w:top w:val="single" w:color="auto" w:sz="4" w:space="0"/>
              <w:left w:val="single" w:color="auto" w:sz="4" w:space="0"/>
              <w:bottom w:val="single" w:color="auto" w:sz="4" w:space="0"/>
              <w:right w:val="single" w:color="auto" w:sz="4" w:space="0"/>
            </w:tcBorders>
            <w:vAlign w:val="center"/>
          </w:tcPr>
          <w:p>
            <w:pPr>
              <w:jc w:val="center"/>
              <w:rPr>
                <w:bCs/>
                <w:color w:val="auto"/>
                <w:szCs w:val="21"/>
              </w:rPr>
            </w:pPr>
            <w:r>
              <w:rPr>
                <w:bCs/>
                <w:color w:val="auto"/>
                <w:szCs w:val="21"/>
              </w:rPr>
              <w:t>消耗量</w:t>
            </w:r>
          </w:p>
        </w:tc>
        <w:tc>
          <w:tcPr>
            <w:tcW w:w="2093" w:type="dxa"/>
            <w:gridSpan w:val="2"/>
            <w:vMerge w:val="restart"/>
            <w:tcBorders>
              <w:top w:val="single" w:color="auto" w:sz="4" w:space="0"/>
              <w:left w:val="single" w:color="auto" w:sz="4" w:space="0"/>
              <w:right w:val="single" w:color="auto" w:sz="4" w:space="0"/>
            </w:tcBorders>
            <w:vAlign w:val="center"/>
          </w:tcPr>
          <w:p>
            <w:pPr>
              <w:jc w:val="center"/>
              <w:rPr>
                <w:bCs/>
                <w:color w:val="auto"/>
                <w:szCs w:val="21"/>
              </w:rPr>
            </w:pPr>
            <w:r>
              <w:rPr>
                <w:bCs/>
                <w:color w:val="auto"/>
                <w:szCs w:val="21"/>
              </w:rPr>
              <w:t>名称</w:t>
            </w:r>
          </w:p>
        </w:tc>
        <w:tc>
          <w:tcPr>
            <w:tcW w:w="2177" w:type="dxa"/>
            <w:gridSpan w:val="3"/>
            <w:tcBorders>
              <w:top w:val="single" w:color="auto" w:sz="4" w:space="0"/>
              <w:left w:val="single" w:color="auto" w:sz="4" w:space="0"/>
              <w:right w:val="single" w:color="auto" w:sz="4" w:space="0"/>
            </w:tcBorders>
            <w:vAlign w:val="center"/>
          </w:tcPr>
          <w:p>
            <w:pPr>
              <w:jc w:val="center"/>
              <w:rPr>
                <w:bCs/>
                <w:color w:val="auto"/>
                <w:szCs w:val="21"/>
              </w:rPr>
            </w:pPr>
            <w:r>
              <w:rPr>
                <w:bCs/>
                <w:color w:val="auto"/>
                <w:szCs w:val="21"/>
              </w:rPr>
              <w:t>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2617" w:type="dxa"/>
            <w:gridSpan w:val="2"/>
            <w:vMerge w:val="continue"/>
            <w:tcBorders>
              <w:left w:val="single" w:color="auto" w:sz="4" w:space="0"/>
              <w:bottom w:val="single" w:color="auto" w:sz="4" w:space="0"/>
              <w:right w:val="single" w:color="auto" w:sz="4" w:space="0"/>
            </w:tcBorders>
            <w:vAlign w:val="center"/>
          </w:tcPr>
          <w:p>
            <w:pPr>
              <w:jc w:val="center"/>
            </w:pPr>
          </w:p>
        </w:tc>
        <w:tc>
          <w:tcPr>
            <w:tcW w:w="137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bCs/>
                <w:color w:val="auto"/>
                <w:szCs w:val="21"/>
                <w:lang w:val="en-US" w:eastAsia="zh-CN"/>
              </w:rPr>
            </w:pPr>
            <w:r>
              <w:rPr>
                <w:rFonts w:hint="eastAsia"/>
                <w:bCs/>
                <w:color w:val="auto"/>
                <w:szCs w:val="21"/>
                <w:lang w:val="en-US" w:eastAsia="zh-CN"/>
              </w:rPr>
              <w:t>扩建前</w:t>
            </w:r>
          </w:p>
        </w:tc>
        <w:tc>
          <w:tcPr>
            <w:tcW w:w="137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bCs/>
                <w:color w:val="auto"/>
                <w:szCs w:val="21"/>
                <w:lang w:val="en-US" w:eastAsia="zh-CN"/>
              </w:rPr>
            </w:pPr>
            <w:r>
              <w:rPr>
                <w:rFonts w:hint="eastAsia"/>
                <w:bCs/>
                <w:color w:val="auto"/>
                <w:szCs w:val="21"/>
                <w:lang w:val="en-US" w:eastAsia="zh-CN"/>
              </w:rPr>
              <w:t>扩建后</w:t>
            </w:r>
          </w:p>
        </w:tc>
        <w:tc>
          <w:tcPr>
            <w:tcW w:w="2093" w:type="dxa"/>
            <w:gridSpan w:val="2"/>
            <w:vMerge w:val="continue"/>
            <w:tcBorders>
              <w:left w:val="single" w:color="auto" w:sz="4" w:space="0"/>
              <w:bottom w:val="single" w:color="auto" w:sz="4" w:space="0"/>
              <w:right w:val="single" w:color="auto" w:sz="4" w:space="0"/>
            </w:tcBorders>
            <w:vAlign w:val="center"/>
          </w:tcPr>
          <w:p>
            <w:pPr>
              <w:jc w:val="center"/>
              <w:rPr>
                <w:bCs/>
                <w:color w:val="auto"/>
                <w:szCs w:val="21"/>
              </w:rPr>
            </w:pPr>
          </w:p>
        </w:tc>
        <w:tc>
          <w:tcPr>
            <w:tcW w:w="1088" w:type="dxa"/>
            <w:gridSpan w:val="2"/>
            <w:tcBorders>
              <w:left w:val="single" w:color="auto" w:sz="4" w:space="0"/>
              <w:bottom w:val="single" w:color="auto" w:sz="4" w:space="0"/>
              <w:right w:val="single" w:color="auto" w:sz="4" w:space="0"/>
            </w:tcBorders>
            <w:vAlign w:val="center"/>
          </w:tcPr>
          <w:p>
            <w:pPr>
              <w:jc w:val="center"/>
              <w:rPr>
                <w:rFonts w:hint="eastAsia" w:eastAsia="宋体"/>
                <w:bCs/>
                <w:color w:val="auto"/>
                <w:szCs w:val="21"/>
                <w:lang w:val="en-US" w:eastAsia="zh-CN"/>
              </w:rPr>
            </w:pPr>
            <w:r>
              <w:rPr>
                <w:rFonts w:hint="eastAsia"/>
                <w:bCs/>
                <w:color w:val="auto"/>
                <w:szCs w:val="21"/>
                <w:lang w:val="en-US" w:eastAsia="zh-CN"/>
              </w:rPr>
              <w:t>扩建前</w:t>
            </w:r>
          </w:p>
        </w:tc>
        <w:tc>
          <w:tcPr>
            <w:tcW w:w="1089" w:type="dxa"/>
            <w:tcBorders>
              <w:left w:val="single" w:color="auto" w:sz="4" w:space="0"/>
              <w:bottom w:val="single" w:color="auto" w:sz="4" w:space="0"/>
              <w:right w:val="single" w:color="auto" w:sz="4" w:space="0"/>
            </w:tcBorders>
            <w:vAlign w:val="center"/>
          </w:tcPr>
          <w:p>
            <w:pPr>
              <w:jc w:val="center"/>
              <w:rPr>
                <w:rFonts w:hint="eastAsia" w:eastAsia="宋体"/>
                <w:bCs/>
                <w:color w:val="auto"/>
                <w:szCs w:val="21"/>
                <w:lang w:val="en-US" w:eastAsia="zh-CN"/>
              </w:rPr>
            </w:pPr>
            <w:r>
              <w:rPr>
                <w:rFonts w:hint="eastAsia"/>
                <w:bCs/>
                <w:color w:val="auto"/>
                <w:szCs w:val="21"/>
                <w:lang w:val="en-US" w:eastAsia="zh-CN"/>
              </w:rPr>
              <w:t>扩建后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17" w:type="dxa"/>
            <w:gridSpan w:val="2"/>
            <w:tcBorders>
              <w:top w:val="single" w:color="auto" w:sz="4" w:space="0"/>
              <w:left w:val="single" w:color="auto" w:sz="4" w:space="0"/>
              <w:bottom w:val="single" w:color="auto" w:sz="4" w:space="0"/>
              <w:right w:val="single" w:color="auto" w:sz="4" w:space="0"/>
            </w:tcBorders>
            <w:vAlign w:val="center"/>
          </w:tcPr>
          <w:p>
            <w:pPr>
              <w:jc w:val="center"/>
              <w:rPr>
                <w:bCs/>
                <w:color w:val="auto"/>
                <w:szCs w:val="21"/>
              </w:rPr>
            </w:pPr>
            <w:r>
              <w:rPr>
                <w:bCs/>
                <w:color w:val="auto"/>
                <w:szCs w:val="21"/>
              </w:rPr>
              <w:t>水（立方米/年）</w:t>
            </w:r>
          </w:p>
        </w:tc>
        <w:tc>
          <w:tcPr>
            <w:tcW w:w="137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bCs/>
                <w:color w:val="auto"/>
                <w:szCs w:val="21"/>
                <w:lang w:val="en-US" w:eastAsia="zh-CN"/>
              </w:rPr>
            </w:pPr>
            <w:r>
              <w:rPr>
                <w:rFonts w:hint="eastAsia"/>
                <w:bCs/>
                <w:color w:val="auto"/>
                <w:szCs w:val="21"/>
                <w:lang w:val="en-US" w:eastAsia="zh-CN"/>
              </w:rPr>
              <w:t>350</w:t>
            </w:r>
          </w:p>
        </w:tc>
        <w:tc>
          <w:tcPr>
            <w:tcW w:w="137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bCs/>
                <w:color w:val="auto"/>
                <w:szCs w:val="21"/>
                <w:lang w:val="en-US" w:eastAsia="zh-CN"/>
              </w:rPr>
            </w:pPr>
            <w:r>
              <w:rPr>
                <w:rFonts w:hint="eastAsia"/>
                <w:bCs/>
                <w:color w:val="auto"/>
                <w:szCs w:val="21"/>
                <w:lang w:val="en-US" w:eastAsia="zh-CN"/>
              </w:rPr>
              <w:t>570</w:t>
            </w:r>
          </w:p>
        </w:tc>
        <w:tc>
          <w:tcPr>
            <w:tcW w:w="2093" w:type="dxa"/>
            <w:gridSpan w:val="2"/>
            <w:tcBorders>
              <w:top w:val="single" w:color="auto" w:sz="4" w:space="0"/>
              <w:left w:val="single" w:color="auto" w:sz="4" w:space="0"/>
              <w:bottom w:val="single" w:color="auto" w:sz="4" w:space="0"/>
              <w:right w:val="single" w:color="auto" w:sz="4" w:space="0"/>
            </w:tcBorders>
            <w:vAlign w:val="center"/>
          </w:tcPr>
          <w:p>
            <w:pPr>
              <w:jc w:val="center"/>
              <w:rPr>
                <w:bCs/>
                <w:color w:val="auto"/>
                <w:szCs w:val="21"/>
              </w:rPr>
            </w:pPr>
            <w:r>
              <w:rPr>
                <w:bCs/>
                <w:color w:val="auto"/>
                <w:szCs w:val="21"/>
              </w:rPr>
              <w:t>燃油（吨/年）</w:t>
            </w:r>
          </w:p>
        </w:tc>
        <w:tc>
          <w:tcPr>
            <w:tcW w:w="1088" w:type="dxa"/>
            <w:gridSpan w:val="2"/>
            <w:tcBorders>
              <w:top w:val="single" w:color="auto" w:sz="4" w:space="0"/>
              <w:left w:val="single" w:color="auto" w:sz="4" w:space="0"/>
              <w:bottom w:val="single" w:color="auto" w:sz="4" w:space="0"/>
              <w:right w:val="single" w:color="auto" w:sz="4" w:space="0"/>
            </w:tcBorders>
            <w:vAlign w:val="center"/>
          </w:tcPr>
          <w:p>
            <w:pPr>
              <w:jc w:val="center"/>
              <w:rPr>
                <w:bCs/>
                <w:color w:val="auto"/>
                <w:szCs w:val="21"/>
              </w:rPr>
            </w:pPr>
            <w:r>
              <w:rPr>
                <w:bCs/>
                <w:color w:val="auto"/>
                <w:szCs w:val="21"/>
              </w:rPr>
              <w:t>/</w:t>
            </w:r>
          </w:p>
        </w:tc>
        <w:tc>
          <w:tcPr>
            <w:tcW w:w="108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bCs/>
                <w:color w:val="auto"/>
                <w:szCs w:val="21"/>
                <w:lang w:val="en-US" w:eastAsia="zh-CN"/>
              </w:rPr>
            </w:pPr>
            <w:r>
              <w:rPr>
                <w:rFonts w:hint="eastAsia"/>
                <w:bCs/>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17" w:type="dxa"/>
            <w:gridSpan w:val="2"/>
            <w:tcBorders>
              <w:top w:val="single" w:color="auto" w:sz="4" w:space="0"/>
              <w:left w:val="single" w:color="auto" w:sz="4" w:space="0"/>
              <w:bottom w:val="single" w:color="auto" w:sz="4" w:space="0"/>
              <w:right w:val="single" w:color="auto" w:sz="4" w:space="0"/>
            </w:tcBorders>
            <w:vAlign w:val="center"/>
          </w:tcPr>
          <w:p>
            <w:pPr>
              <w:jc w:val="center"/>
              <w:rPr>
                <w:bCs/>
                <w:color w:val="auto"/>
                <w:szCs w:val="21"/>
              </w:rPr>
            </w:pPr>
            <w:r>
              <w:rPr>
                <w:bCs/>
                <w:color w:val="auto"/>
                <w:szCs w:val="21"/>
              </w:rPr>
              <w:t>电（万度/年）</w:t>
            </w:r>
          </w:p>
        </w:tc>
        <w:tc>
          <w:tcPr>
            <w:tcW w:w="137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bCs/>
                <w:color w:val="auto"/>
                <w:szCs w:val="21"/>
                <w:lang w:val="en-US" w:eastAsia="zh-CN"/>
              </w:rPr>
            </w:pPr>
            <w:r>
              <w:rPr>
                <w:rFonts w:hint="eastAsia"/>
                <w:bCs/>
                <w:color w:val="auto"/>
                <w:szCs w:val="21"/>
                <w:lang w:val="en-US" w:eastAsia="zh-CN"/>
              </w:rPr>
              <w:t>50</w:t>
            </w:r>
          </w:p>
        </w:tc>
        <w:tc>
          <w:tcPr>
            <w:tcW w:w="137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bCs/>
                <w:color w:val="auto"/>
                <w:szCs w:val="21"/>
                <w:lang w:val="en-US" w:eastAsia="zh-CN"/>
              </w:rPr>
            </w:pPr>
            <w:r>
              <w:rPr>
                <w:rFonts w:hint="eastAsia"/>
                <w:bCs/>
                <w:color w:val="auto"/>
                <w:szCs w:val="21"/>
                <w:lang w:val="en-US" w:eastAsia="zh-CN"/>
              </w:rPr>
              <w:t>100</w:t>
            </w:r>
          </w:p>
        </w:tc>
        <w:tc>
          <w:tcPr>
            <w:tcW w:w="2093" w:type="dxa"/>
            <w:gridSpan w:val="2"/>
            <w:tcBorders>
              <w:top w:val="single" w:color="auto" w:sz="4" w:space="0"/>
              <w:left w:val="single" w:color="auto" w:sz="4" w:space="0"/>
              <w:bottom w:val="single" w:color="auto" w:sz="4" w:space="0"/>
              <w:right w:val="single" w:color="auto" w:sz="4" w:space="0"/>
            </w:tcBorders>
            <w:vAlign w:val="center"/>
          </w:tcPr>
          <w:p>
            <w:pPr>
              <w:jc w:val="center"/>
              <w:rPr>
                <w:bCs/>
                <w:color w:val="auto"/>
                <w:szCs w:val="21"/>
              </w:rPr>
            </w:pPr>
            <w:r>
              <w:rPr>
                <w:bCs/>
                <w:color w:val="auto"/>
                <w:szCs w:val="21"/>
              </w:rPr>
              <w:t>燃气（标立方米/年）</w:t>
            </w:r>
          </w:p>
        </w:tc>
        <w:tc>
          <w:tcPr>
            <w:tcW w:w="1088" w:type="dxa"/>
            <w:gridSpan w:val="2"/>
            <w:tcBorders>
              <w:top w:val="single" w:color="auto" w:sz="4" w:space="0"/>
              <w:left w:val="single" w:color="auto" w:sz="4" w:space="0"/>
              <w:bottom w:val="single" w:color="auto" w:sz="4" w:space="0"/>
              <w:right w:val="single" w:color="auto" w:sz="4" w:space="0"/>
            </w:tcBorders>
            <w:vAlign w:val="center"/>
          </w:tcPr>
          <w:p>
            <w:pPr>
              <w:jc w:val="center"/>
              <w:rPr>
                <w:bCs/>
                <w:color w:val="auto"/>
                <w:szCs w:val="21"/>
              </w:rPr>
            </w:pPr>
            <w:r>
              <w:rPr>
                <w:bCs/>
                <w:color w:val="auto"/>
                <w:szCs w:val="21"/>
              </w:rPr>
              <w:t>/</w:t>
            </w:r>
          </w:p>
        </w:tc>
        <w:tc>
          <w:tcPr>
            <w:tcW w:w="108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bCs/>
                <w:color w:val="auto"/>
                <w:szCs w:val="21"/>
                <w:lang w:val="en-US" w:eastAsia="zh-CN"/>
              </w:rPr>
            </w:pPr>
            <w:r>
              <w:rPr>
                <w:rFonts w:hint="eastAsia"/>
                <w:bCs/>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17" w:type="dxa"/>
            <w:gridSpan w:val="2"/>
            <w:tcBorders>
              <w:top w:val="single" w:color="auto" w:sz="4" w:space="0"/>
              <w:left w:val="single" w:color="auto" w:sz="4" w:space="0"/>
              <w:bottom w:val="single" w:color="auto" w:sz="4" w:space="0"/>
              <w:right w:val="single" w:color="auto" w:sz="4" w:space="0"/>
            </w:tcBorders>
            <w:vAlign w:val="center"/>
          </w:tcPr>
          <w:p>
            <w:pPr>
              <w:jc w:val="center"/>
              <w:rPr>
                <w:bCs/>
                <w:color w:val="auto"/>
                <w:szCs w:val="21"/>
              </w:rPr>
            </w:pPr>
            <w:r>
              <w:rPr>
                <w:bCs/>
                <w:color w:val="auto"/>
                <w:szCs w:val="21"/>
              </w:rPr>
              <w:t>燃煤(吨/年)</w:t>
            </w:r>
          </w:p>
        </w:tc>
        <w:tc>
          <w:tcPr>
            <w:tcW w:w="1375" w:type="dxa"/>
            <w:gridSpan w:val="3"/>
            <w:tcBorders>
              <w:top w:val="single" w:color="auto" w:sz="4" w:space="0"/>
              <w:left w:val="single" w:color="auto" w:sz="4" w:space="0"/>
              <w:bottom w:val="single" w:color="auto" w:sz="4" w:space="0"/>
              <w:right w:val="single" w:color="auto" w:sz="4" w:space="0"/>
            </w:tcBorders>
            <w:vAlign w:val="center"/>
          </w:tcPr>
          <w:p>
            <w:pPr>
              <w:jc w:val="center"/>
              <w:rPr>
                <w:bCs/>
                <w:color w:val="auto"/>
                <w:szCs w:val="21"/>
              </w:rPr>
            </w:pPr>
            <w:r>
              <w:rPr>
                <w:bCs/>
                <w:color w:val="auto"/>
                <w:szCs w:val="21"/>
              </w:rPr>
              <w:t>/</w:t>
            </w:r>
          </w:p>
        </w:tc>
        <w:tc>
          <w:tcPr>
            <w:tcW w:w="137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bCs/>
                <w:color w:val="auto"/>
                <w:szCs w:val="21"/>
                <w:lang w:val="en-US" w:eastAsia="zh-CN"/>
              </w:rPr>
            </w:pPr>
            <w:r>
              <w:rPr>
                <w:rFonts w:hint="eastAsia"/>
                <w:bCs/>
                <w:color w:val="auto"/>
                <w:szCs w:val="21"/>
                <w:lang w:val="en-US" w:eastAsia="zh-CN"/>
              </w:rPr>
              <w:t>/</w:t>
            </w:r>
          </w:p>
        </w:tc>
        <w:tc>
          <w:tcPr>
            <w:tcW w:w="2093" w:type="dxa"/>
            <w:gridSpan w:val="2"/>
            <w:tcBorders>
              <w:top w:val="single" w:color="auto" w:sz="4" w:space="0"/>
              <w:left w:val="single" w:color="auto" w:sz="4" w:space="0"/>
              <w:bottom w:val="single" w:color="auto" w:sz="4" w:space="0"/>
              <w:right w:val="single" w:color="auto" w:sz="4" w:space="0"/>
            </w:tcBorders>
            <w:vAlign w:val="center"/>
          </w:tcPr>
          <w:p>
            <w:pPr>
              <w:jc w:val="center"/>
              <w:rPr>
                <w:bCs/>
                <w:color w:val="auto"/>
                <w:szCs w:val="21"/>
              </w:rPr>
            </w:pPr>
            <w:r>
              <w:rPr>
                <w:bCs/>
                <w:color w:val="auto"/>
                <w:szCs w:val="21"/>
              </w:rPr>
              <w:t>其它</w:t>
            </w:r>
          </w:p>
        </w:tc>
        <w:tc>
          <w:tcPr>
            <w:tcW w:w="1088" w:type="dxa"/>
            <w:gridSpan w:val="2"/>
            <w:tcBorders>
              <w:top w:val="single" w:color="auto" w:sz="4" w:space="0"/>
              <w:left w:val="single" w:color="auto" w:sz="4" w:space="0"/>
              <w:bottom w:val="single" w:color="auto" w:sz="4" w:space="0"/>
              <w:right w:val="single" w:color="auto" w:sz="4" w:space="0"/>
            </w:tcBorders>
            <w:vAlign w:val="center"/>
          </w:tcPr>
          <w:p>
            <w:pPr>
              <w:jc w:val="center"/>
              <w:rPr>
                <w:bCs/>
                <w:color w:val="auto"/>
                <w:szCs w:val="21"/>
              </w:rPr>
            </w:pPr>
            <w:r>
              <w:rPr>
                <w:rFonts w:hint="eastAsia"/>
                <w:bCs/>
                <w:color w:val="auto"/>
                <w:szCs w:val="21"/>
              </w:rPr>
              <w:t>/</w:t>
            </w:r>
          </w:p>
        </w:tc>
        <w:tc>
          <w:tcPr>
            <w:tcW w:w="108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bCs/>
                <w:color w:val="auto"/>
                <w:szCs w:val="21"/>
                <w:lang w:val="en-US" w:eastAsia="zh-CN"/>
              </w:rPr>
            </w:pPr>
            <w:r>
              <w:rPr>
                <w:rFonts w:hint="eastAsia"/>
                <w:bCs/>
                <w:color w:val="auto"/>
                <w:szCs w:val="21"/>
                <w:lang w:val="en-US" w:eastAsia="zh-CN"/>
              </w:rPr>
              <w:t>/</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38" w:type="dxa"/>
            <w:gridSpan w:val="12"/>
            <w:tcBorders>
              <w:top w:val="single" w:color="auto" w:sz="4" w:space="0"/>
              <w:left w:val="single" w:color="auto" w:sz="4" w:space="0"/>
              <w:bottom w:val="single" w:color="auto" w:sz="4" w:space="0"/>
              <w:right w:val="single" w:color="auto" w:sz="4" w:space="0"/>
            </w:tcBorders>
            <w:vAlign w:val="center"/>
          </w:tcPr>
          <w:p>
            <w:pPr>
              <w:rPr>
                <w:b/>
                <w:bCs/>
                <w:color w:val="auto"/>
              </w:rPr>
            </w:pPr>
            <w:r>
              <w:rPr>
                <w:b/>
                <w:bCs/>
                <w:color w:val="auto"/>
              </w:rPr>
              <w:t>废水（生产废水、生活废水√）排水量及排放去向</w:t>
            </w:r>
          </w:p>
          <w:p>
            <w:pPr>
              <w:pStyle w:val="80"/>
              <w:ind w:firstLine="480"/>
              <w:rPr>
                <w:rFonts w:ascii="Times New Roman" w:hAnsi="Times New Roman"/>
                <w:color w:val="auto"/>
                <w:szCs w:val="24"/>
                <w:highlight w:val="none"/>
              </w:rPr>
            </w:pPr>
            <w:bookmarkStart w:id="2" w:name="_Hlk12440905"/>
            <w:r>
              <w:rPr>
                <w:rFonts w:ascii="Times New Roman" w:hAnsi="Times New Roman"/>
                <w:color w:val="auto"/>
              </w:rPr>
              <w:t>生产废水</w:t>
            </w:r>
            <w:r>
              <w:rPr>
                <w:rFonts w:ascii="Times New Roman" w:hAnsi="Times New Roman"/>
                <w:color w:val="auto"/>
                <w:highlight w:val="none"/>
              </w:rPr>
              <w:t>：</w:t>
            </w:r>
            <w:r>
              <w:rPr>
                <w:rFonts w:ascii="Times New Roman" w:hAnsi="Times New Roman"/>
                <w:color w:val="auto"/>
                <w:szCs w:val="24"/>
                <w:highlight w:val="none"/>
              </w:rPr>
              <w:t>本项目不产生生产废水</w:t>
            </w:r>
            <w:r>
              <w:rPr>
                <w:rFonts w:ascii="Times New Roman" w:hAnsi="Times New Roman"/>
                <w:bCs/>
                <w:color w:val="auto"/>
                <w:highlight w:val="none"/>
              </w:rPr>
              <w:t>。</w:t>
            </w:r>
          </w:p>
          <w:p>
            <w:pPr>
              <w:ind w:firstLine="480" w:firstLineChars="200"/>
              <w:rPr>
                <w:bCs/>
                <w:color w:val="auto"/>
              </w:rPr>
            </w:pPr>
            <w:r>
              <w:rPr>
                <w:bCs/>
                <w:color w:val="auto"/>
                <w:highlight w:val="none"/>
              </w:rPr>
              <w:t>生活污水：本项目职工生活污水</w:t>
            </w:r>
            <w:r>
              <w:rPr>
                <w:rFonts w:hint="eastAsia"/>
                <w:bCs/>
                <w:color w:val="auto"/>
                <w:highlight w:val="none"/>
                <w:lang w:val="en-US" w:eastAsia="zh-CN"/>
              </w:rPr>
              <w:t>456</w:t>
            </w:r>
            <w:r>
              <w:rPr>
                <w:bCs/>
                <w:color w:val="auto"/>
                <w:highlight w:val="none"/>
              </w:rPr>
              <w:t>t/a，经市政污水管网排入</w:t>
            </w:r>
            <w:r>
              <w:rPr>
                <w:rFonts w:hint="eastAsia"/>
                <w:bCs/>
                <w:color w:val="auto"/>
                <w:highlight w:val="none"/>
                <w:lang w:val="en-US" w:eastAsia="zh-CN"/>
              </w:rPr>
              <w:t>白荡水质净化厂</w:t>
            </w:r>
            <w:r>
              <w:rPr>
                <w:bCs/>
                <w:color w:val="auto"/>
                <w:highlight w:val="none"/>
              </w:rPr>
              <w:t>，处理达标后尾水排入</w:t>
            </w:r>
            <w:r>
              <w:rPr>
                <w:rFonts w:hint="eastAsia"/>
                <w:bCs/>
                <w:color w:val="auto"/>
                <w:highlight w:val="none"/>
                <w:lang w:val="en-US" w:eastAsia="zh-CN"/>
              </w:rPr>
              <w:t>京杭运河</w:t>
            </w:r>
            <w:r>
              <w:rPr>
                <w:bCs/>
                <w:color w:val="auto"/>
                <w:highlight w:val="none"/>
              </w:rPr>
              <w:t>。</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38" w:type="dxa"/>
            <w:gridSpan w:val="12"/>
            <w:tcBorders>
              <w:top w:val="single" w:color="auto" w:sz="4" w:space="0"/>
              <w:left w:val="single" w:color="auto" w:sz="4" w:space="0"/>
              <w:bottom w:val="single" w:color="auto" w:sz="4" w:space="0"/>
              <w:right w:val="single" w:color="auto" w:sz="4" w:space="0"/>
            </w:tcBorders>
            <w:vAlign w:val="center"/>
          </w:tcPr>
          <w:p>
            <w:pPr>
              <w:rPr>
                <w:b/>
                <w:bCs/>
                <w:color w:val="auto"/>
              </w:rPr>
            </w:pPr>
            <w:r>
              <w:rPr>
                <w:b/>
                <w:bCs/>
                <w:color w:val="auto"/>
              </w:rPr>
              <w:t>放射性同位素和伴有电磁辐射的设施的使用情况</w:t>
            </w:r>
          </w:p>
          <w:p>
            <w:pPr>
              <w:ind w:firstLine="480"/>
              <w:rPr>
                <w:color w:val="auto"/>
              </w:rPr>
            </w:pPr>
            <w:r>
              <w:rPr>
                <w:color w:val="auto"/>
              </w:rPr>
              <w:t>本项目无放射性同位素和电磁辐射的设施。如企业运营过程需要相应设施，应另行环境影响评价，报送有关部门审批。</w:t>
            </w:r>
          </w:p>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0" w:hRule="atLeast"/>
          <w:jc w:val="center"/>
        </w:trPr>
        <w:tc>
          <w:tcPr>
            <w:tcW w:w="9638" w:type="dxa"/>
            <w:gridSpan w:val="12"/>
            <w:tcBorders>
              <w:top w:val="single" w:color="auto" w:sz="4" w:space="0"/>
              <w:left w:val="single" w:color="auto" w:sz="4" w:space="0"/>
              <w:bottom w:val="single" w:color="auto" w:sz="4" w:space="0"/>
              <w:right w:val="single" w:color="auto" w:sz="4" w:space="0"/>
            </w:tcBorders>
            <w:vAlign w:val="center"/>
          </w:tcPr>
          <w:p>
            <w:pPr>
              <w:rPr>
                <w:b/>
                <w:bCs/>
                <w:color w:val="auto"/>
              </w:rPr>
            </w:pPr>
            <w:r>
              <w:rPr>
                <w:b/>
                <w:bCs/>
                <w:color w:val="auto"/>
              </w:rPr>
              <w:t>工程内容及规模：（不够时可附另页）</w:t>
            </w:r>
          </w:p>
          <w:p>
            <w:pPr>
              <w:rPr>
                <w:b/>
                <w:bCs/>
                <w:color w:val="auto"/>
                <w:highlight w:val="none"/>
              </w:rPr>
            </w:pPr>
            <w:r>
              <w:rPr>
                <w:b/>
                <w:bCs/>
                <w:color w:val="auto"/>
              </w:rPr>
              <w:t>1、</w:t>
            </w:r>
            <w:r>
              <w:rPr>
                <w:b/>
                <w:bCs/>
                <w:color w:val="auto"/>
                <w:highlight w:val="none"/>
              </w:rPr>
              <w:t>项目由来：</w:t>
            </w:r>
          </w:p>
          <w:p>
            <w:pPr>
              <w:ind w:firstLine="480" w:firstLineChars="200"/>
              <w:rPr>
                <w:color w:val="auto"/>
                <w:highlight w:val="none"/>
              </w:rPr>
            </w:pPr>
            <w:r>
              <w:rPr>
                <w:rFonts w:hint="eastAsia"/>
                <w:color w:val="auto"/>
                <w:highlight w:val="none"/>
              </w:rPr>
              <w:t>苏州源顺祥新材料有限公司年产塑料制品 1500 吨新建项目地址位于苏州高新区浒关分区东金芝路 56 号，租用苏州市赛克塑胶有限公司现有的部分厂房，建筑面积为 1000 平方米，一层，包含办公和生产。</w:t>
            </w:r>
            <w:r>
              <w:rPr>
                <w:color w:val="auto"/>
                <w:highlight w:val="none"/>
              </w:rPr>
              <w:t>该项目已取得苏州高新区发展和改革局备案（苏高新</w:t>
            </w:r>
            <w:r>
              <w:rPr>
                <w:rFonts w:hint="eastAsia"/>
                <w:color w:val="auto"/>
                <w:highlight w:val="none"/>
                <w:lang w:val="en-US" w:eastAsia="zh-CN"/>
              </w:rPr>
              <w:t>项</w:t>
            </w:r>
            <w:r>
              <w:rPr>
                <w:color w:val="auto"/>
                <w:highlight w:val="none"/>
              </w:rPr>
              <w:t>备[20</w:t>
            </w:r>
            <w:r>
              <w:rPr>
                <w:rFonts w:hint="eastAsia"/>
                <w:color w:val="auto"/>
                <w:highlight w:val="none"/>
                <w:lang w:val="en-US" w:eastAsia="zh-CN"/>
              </w:rPr>
              <w:t>20</w:t>
            </w:r>
            <w:r>
              <w:rPr>
                <w:color w:val="auto"/>
                <w:highlight w:val="none"/>
              </w:rPr>
              <w:t>]</w:t>
            </w:r>
            <w:r>
              <w:rPr>
                <w:rFonts w:hint="eastAsia"/>
                <w:color w:val="auto"/>
                <w:highlight w:val="none"/>
                <w:lang w:val="en-US" w:eastAsia="zh-CN"/>
              </w:rPr>
              <w:t>134</w:t>
            </w:r>
            <w:r>
              <w:rPr>
                <w:color w:val="auto"/>
                <w:highlight w:val="none"/>
              </w:rPr>
              <w:t>号）。</w:t>
            </w:r>
          </w:p>
          <w:p>
            <w:pPr>
              <w:ind w:firstLine="480" w:firstLineChars="200"/>
              <w:rPr>
                <w:color w:val="auto"/>
              </w:rPr>
            </w:pPr>
            <w:r>
              <w:rPr>
                <w:color w:val="auto"/>
              </w:rPr>
              <w:t>根据《中国人民共和国环境保护法》（中华人民共和国主席令第七十七条）、《中华人民共和国环境影响评价法》和《建设项目环境保护管理条例》（国务院令第682号），建设过程中或者建成投产后可能对环境产生影响的新建、扩建、改建、迁建、技术改造项目及区域开发建设项目，必须进行环境影响评价。对照《建设项目环境影响评价分类管理名录》（</w:t>
            </w:r>
            <w:r>
              <w:rPr>
                <w:rFonts w:hint="eastAsia"/>
                <w:color w:val="auto"/>
                <w:lang w:val="en-US" w:eastAsia="zh-CN"/>
              </w:rPr>
              <w:t>2021年版</w:t>
            </w:r>
            <w:r>
              <w:rPr>
                <w:color w:val="auto"/>
              </w:rPr>
              <w:t>），本项目</w:t>
            </w:r>
            <w:r>
              <w:rPr>
                <w:rFonts w:hint="eastAsia"/>
                <w:color w:val="auto"/>
                <w:lang w:val="en-US" w:eastAsia="zh-CN"/>
              </w:rPr>
              <w:t>属于“二十六、橡胶和塑料制品业53塑料制品业 其他”</w:t>
            </w:r>
            <w:r>
              <w:rPr>
                <w:color w:val="auto"/>
              </w:rPr>
              <w:t>应编制环境影响报告表，以论证项目在环境保护方面的可行性。</w:t>
            </w:r>
            <w:r>
              <w:rPr>
                <w:rFonts w:hint="eastAsia"/>
                <w:color w:val="auto"/>
              </w:rPr>
              <w:t>我单位接受委托后，在对项目进行了实地踏勘、资料收集和类比调查的基础上，按国家相关环境法律、法规及环境影响评价技术导则等编写本项目环境影响报告表</w:t>
            </w:r>
            <w:r>
              <w:rPr>
                <w:color w:val="auto"/>
              </w:rPr>
              <w:t>，报请审批。</w:t>
            </w:r>
          </w:p>
          <w:p>
            <w:pPr>
              <w:rPr>
                <w:b/>
                <w:bCs/>
                <w:color w:val="auto"/>
                <w:highlight w:val="none"/>
              </w:rPr>
            </w:pPr>
            <w:r>
              <w:rPr>
                <w:b/>
                <w:bCs/>
                <w:color w:val="auto"/>
              </w:rPr>
              <w:t>2、项目概</w:t>
            </w:r>
            <w:r>
              <w:rPr>
                <w:b/>
                <w:bCs/>
                <w:color w:val="auto"/>
                <w:highlight w:val="none"/>
              </w:rPr>
              <w:t>况</w:t>
            </w:r>
          </w:p>
          <w:p>
            <w:pPr>
              <w:ind w:firstLine="480" w:firstLineChars="200"/>
              <w:jc w:val="left"/>
              <w:rPr>
                <w:color w:val="auto"/>
                <w:highlight w:val="none"/>
              </w:rPr>
            </w:pPr>
            <w:r>
              <w:rPr>
                <w:color w:val="auto"/>
                <w:highlight w:val="none"/>
              </w:rPr>
              <w:t>项目名称：</w:t>
            </w:r>
            <w:r>
              <w:rPr>
                <w:rFonts w:hint="eastAsia"/>
                <w:color w:val="auto"/>
                <w:highlight w:val="none"/>
              </w:rPr>
              <w:t>苏州源顺祥新材料有限公司年增产塑料制品1500吨扩建项目</w:t>
            </w:r>
            <w:r>
              <w:rPr>
                <w:color w:val="auto"/>
                <w:highlight w:val="none"/>
              </w:rPr>
              <w:t>；</w:t>
            </w:r>
          </w:p>
          <w:p>
            <w:pPr>
              <w:ind w:firstLine="480"/>
              <w:jc w:val="left"/>
              <w:rPr>
                <w:color w:val="auto"/>
                <w:highlight w:val="none"/>
              </w:rPr>
            </w:pPr>
            <w:r>
              <w:rPr>
                <w:color w:val="auto"/>
                <w:highlight w:val="none"/>
              </w:rPr>
              <w:t>建设单位：</w:t>
            </w:r>
            <w:r>
              <w:rPr>
                <w:rFonts w:hint="eastAsia"/>
                <w:color w:val="auto"/>
                <w:highlight w:val="none"/>
              </w:rPr>
              <w:t>苏州源顺祥新材料有限公司</w:t>
            </w:r>
            <w:r>
              <w:rPr>
                <w:color w:val="auto"/>
                <w:highlight w:val="none"/>
              </w:rPr>
              <w:t>；</w:t>
            </w:r>
          </w:p>
          <w:p>
            <w:pPr>
              <w:ind w:firstLine="480"/>
              <w:jc w:val="left"/>
              <w:rPr>
                <w:color w:val="auto"/>
                <w:highlight w:val="none"/>
              </w:rPr>
            </w:pPr>
            <w:r>
              <w:rPr>
                <w:color w:val="auto"/>
                <w:highlight w:val="none"/>
              </w:rPr>
              <w:t>建设地点：</w:t>
            </w:r>
            <w:r>
              <w:rPr>
                <w:rFonts w:hint="eastAsia"/>
                <w:color w:val="auto"/>
                <w:highlight w:val="none"/>
              </w:rPr>
              <w:t>苏州高新区浒关分区东金芝路 56 号</w:t>
            </w:r>
            <w:r>
              <w:rPr>
                <w:color w:val="auto"/>
                <w:highlight w:val="none"/>
              </w:rPr>
              <w:t>；</w:t>
            </w:r>
          </w:p>
          <w:p>
            <w:pPr>
              <w:ind w:firstLine="480"/>
              <w:jc w:val="left"/>
              <w:rPr>
                <w:color w:val="auto"/>
                <w:highlight w:val="none"/>
              </w:rPr>
            </w:pPr>
            <w:r>
              <w:rPr>
                <w:color w:val="auto"/>
                <w:highlight w:val="none"/>
              </w:rPr>
              <w:t>建设性质：</w:t>
            </w:r>
            <w:r>
              <w:rPr>
                <w:rFonts w:hint="eastAsia"/>
                <w:color w:val="auto"/>
                <w:highlight w:val="none"/>
                <w:lang w:val="en-US" w:eastAsia="zh-CN"/>
              </w:rPr>
              <w:t>扩</w:t>
            </w:r>
            <w:r>
              <w:rPr>
                <w:color w:val="auto"/>
                <w:highlight w:val="none"/>
              </w:rPr>
              <w:t>建；</w:t>
            </w:r>
          </w:p>
          <w:p>
            <w:pPr>
              <w:ind w:firstLine="480" w:firstLineChars="200"/>
              <w:jc w:val="left"/>
              <w:rPr>
                <w:color w:val="auto"/>
                <w:highlight w:val="none"/>
              </w:rPr>
            </w:pPr>
            <w:r>
              <w:rPr>
                <w:color w:val="auto"/>
                <w:highlight w:val="none"/>
              </w:rPr>
              <w:t>建设规模：</w:t>
            </w:r>
            <w:r>
              <w:rPr>
                <w:rFonts w:hint="eastAsia"/>
                <w:color w:val="auto"/>
                <w:highlight w:val="none"/>
              </w:rPr>
              <w:t>年增加塑料</w:t>
            </w:r>
            <w:r>
              <w:rPr>
                <w:rFonts w:hint="eastAsia"/>
                <w:color w:val="auto"/>
                <w:highlight w:val="none"/>
                <w:lang w:val="en-US" w:eastAsia="zh-CN"/>
              </w:rPr>
              <w:t>管材</w:t>
            </w:r>
            <w:r>
              <w:rPr>
                <w:rFonts w:hint="eastAsia"/>
                <w:color w:val="auto"/>
                <w:highlight w:val="none"/>
              </w:rPr>
              <w:t>制品1500吨</w:t>
            </w:r>
            <w:r>
              <w:rPr>
                <w:color w:val="auto"/>
                <w:highlight w:val="none"/>
              </w:rPr>
              <w:t>；</w:t>
            </w:r>
          </w:p>
          <w:p>
            <w:pPr>
              <w:ind w:firstLine="480" w:firstLineChars="200"/>
              <w:jc w:val="left"/>
              <w:rPr>
                <w:color w:val="auto"/>
                <w:highlight w:val="none"/>
              </w:rPr>
            </w:pPr>
            <w:r>
              <w:rPr>
                <w:color w:val="auto"/>
                <w:highlight w:val="none"/>
              </w:rPr>
              <w:t>建筑面积：</w:t>
            </w:r>
            <w:r>
              <w:rPr>
                <w:rFonts w:hint="eastAsia"/>
                <w:color w:val="auto"/>
                <w:highlight w:val="none"/>
                <w:lang w:val="en-US" w:eastAsia="zh-CN"/>
              </w:rPr>
              <w:t>1000</w:t>
            </w:r>
            <w:r>
              <w:rPr>
                <w:color w:val="auto"/>
                <w:highlight w:val="none"/>
              </w:rPr>
              <w:t>平方米；</w:t>
            </w:r>
          </w:p>
          <w:p>
            <w:pPr>
              <w:ind w:firstLine="480"/>
              <w:rPr>
                <w:color w:val="auto"/>
                <w:highlight w:val="none"/>
              </w:rPr>
            </w:pPr>
            <w:r>
              <w:rPr>
                <w:color w:val="auto"/>
                <w:highlight w:val="none"/>
              </w:rPr>
              <w:t>总投资：</w:t>
            </w:r>
            <w:r>
              <w:rPr>
                <w:rFonts w:hint="eastAsia"/>
                <w:color w:val="auto"/>
                <w:highlight w:val="none"/>
                <w:lang w:val="en-US" w:eastAsia="zh-CN"/>
              </w:rPr>
              <w:t>50</w:t>
            </w:r>
            <w:r>
              <w:rPr>
                <w:color w:val="auto"/>
                <w:highlight w:val="none"/>
              </w:rPr>
              <w:t>万元，其中环保投资</w:t>
            </w:r>
            <w:r>
              <w:rPr>
                <w:rFonts w:hint="eastAsia"/>
                <w:color w:val="auto"/>
                <w:highlight w:val="none"/>
                <w:lang w:val="en-US" w:eastAsia="zh-CN"/>
              </w:rPr>
              <w:t>5</w:t>
            </w:r>
            <w:r>
              <w:rPr>
                <w:color w:val="auto"/>
                <w:highlight w:val="none"/>
              </w:rPr>
              <w:t>万元，占总投资的</w:t>
            </w:r>
            <w:r>
              <w:rPr>
                <w:rFonts w:hint="eastAsia"/>
                <w:color w:val="auto"/>
                <w:highlight w:val="none"/>
                <w:lang w:val="en-US" w:eastAsia="zh-CN"/>
              </w:rPr>
              <w:t>10%</w:t>
            </w:r>
            <w:r>
              <w:rPr>
                <w:color w:val="auto"/>
                <w:highlight w:val="none"/>
              </w:rPr>
              <w:t>；</w:t>
            </w:r>
          </w:p>
          <w:p>
            <w:pPr>
              <w:ind w:firstLine="480" w:firstLineChars="200"/>
              <w:jc w:val="left"/>
              <w:rPr>
                <w:color w:val="auto"/>
              </w:rPr>
            </w:pPr>
            <w:r>
              <w:rPr>
                <w:color w:val="auto"/>
              </w:rPr>
              <w:t>项目定员：拟设定员</w:t>
            </w:r>
            <w:r>
              <w:rPr>
                <w:rFonts w:hint="eastAsia"/>
                <w:color w:val="auto"/>
                <w:lang w:eastAsia="zh-CN"/>
              </w:rPr>
              <w:t>新增</w:t>
            </w:r>
            <w:r>
              <w:rPr>
                <w:color w:val="auto"/>
              </w:rPr>
              <w:t>工人数为1</w:t>
            </w:r>
            <w:r>
              <w:rPr>
                <w:rFonts w:hint="eastAsia"/>
                <w:color w:val="auto"/>
                <w:lang w:val="en-US" w:eastAsia="zh-CN"/>
              </w:rPr>
              <w:t>9</w:t>
            </w:r>
            <w:r>
              <w:rPr>
                <w:color w:val="auto"/>
              </w:rPr>
              <w:t>人，一班制，每班8时，年工作约</w:t>
            </w:r>
            <w:r>
              <w:rPr>
                <w:rFonts w:hint="eastAsia"/>
                <w:color w:val="auto"/>
                <w:lang w:val="en-US" w:eastAsia="zh-CN"/>
              </w:rPr>
              <w:t>300</w:t>
            </w:r>
            <w:r>
              <w:rPr>
                <w:color w:val="auto"/>
              </w:rPr>
              <w:t>天，工作2</w:t>
            </w:r>
            <w:r>
              <w:rPr>
                <w:rFonts w:hint="eastAsia"/>
                <w:color w:val="auto"/>
                <w:lang w:val="en-US" w:eastAsia="zh-CN"/>
              </w:rPr>
              <w:t>40</w:t>
            </w:r>
            <w:r>
              <w:rPr>
                <w:color w:val="auto"/>
              </w:rPr>
              <w:t>0小时，厂区内仅提供就餐区域，不设置食堂，无宿舍。</w:t>
            </w:r>
          </w:p>
          <w:p>
            <w:pPr>
              <w:rPr>
                <w:b/>
                <w:bCs/>
                <w:color w:val="auto"/>
              </w:rPr>
            </w:pPr>
            <w:r>
              <w:rPr>
                <w:b/>
                <w:bCs/>
                <w:color w:val="auto"/>
              </w:rPr>
              <w:t>3、项目主体工程及产品方案</w:t>
            </w:r>
          </w:p>
          <w:p>
            <w:pPr>
              <w:snapToGrid w:val="0"/>
              <w:ind w:firstLine="556"/>
              <w:jc w:val="center"/>
              <w:rPr>
                <w:b/>
                <w:bCs/>
                <w:color w:val="auto"/>
                <w:sz w:val="21"/>
                <w:szCs w:val="21"/>
              </w:rPr>
            </w:pPr>
            <w:r>
              <w:rPr>
                <w:b/>
                <w:bCs/>
                <w:color w:val="auto"/>
                <w:sz w:val="21"/>
                <w:szCs w:val="21"/>
              </w:rPr>
              <w:t>表1-3 建设项目主体工程及产品方案</w:t>
            </w:r>
          </w:p>
          <w:tbl>
            <w:tblPr>
              <w:tblStyle w:val="26"/>
              <w:tblW w:w="942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1477"/>
              <w:gridCol w:w="1326"/>
              <w:gridCol w:w="1434"/>
              <w:gridCol w:w="1434"/>
              <w:gridCol w:w="1436"/>
              <w:gridCol w:w="153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778" w:type="dxa"/>
                  <w:vMerge w:val="restart"/>
                  <w:noWrap w:val="0"/>
                  <w:vAlign w:val="center"/>
                </w:tcPr>
                <w:p>
                  <w:pPr>
                    <w:spacing w:line="240" w:lineRule="auto"/>
                    <w:jc w:val="center"/>
                    <w:rPr>
                      <w:rStyle w:val="33"/>
                      <w:rFonts w:hint="default" w:ascii="Times New Roman" w:hAnsi="Times New Roman" w:cs="Times New Roman"/>
                    </w:rPr>
                  </w:pPr>
                  <w:r>
                    <w:rPr>
                      <w:rStyle w:val="33"/>
                      <w:rFonts w:hint="default" w:ascii="Times New Roman" w:hAnsi="Times New Roman" w:cs="Times New Roman"/>
                    </w:rPr>
                    <w:t>序号</w:t>
                  </w:r>
                </w:p>
              </w:tc>
              <w:tc>
                <w:tcPr>
                  <w:tcW w:w="1477" w:type="dxa"/>
                  <w:vMerge w:val="restart"/>
                  <w:noWrap w:val="0"/>
                  <w:vAlign w:val="center"/>
                </w:tcPr>
                <w:p>
                  <w:pPr>
                    <w:spacing w:line="240" w:lineRule="auto"/>
                    <w:jc w:val="center"/>
                    <w:rPr>
                      <w:rStyle w:val="33"/>
                      <w:rFonts w:hint="default" w:ascii="Times New Roman" w:hAnsi="Times New Roman" w:cs="Times New Roman"/>
                    </w:rPr>
                  </w:pPr>
                  <w:r>
                    <w:rPr>
                      <w:rStyle w:val="33"/>
                      <w:rFonts w:hint="default" w:ascii="Times New Roman" w:hAnsi="Times New Roman" w:cs="Times New Roman"/>
                    </w:rPr>
                    <w:t>工程名称</w:t>
                  </w:r>
                </w:p>
              </w:tc>
              <w:tc>
                <w:tcPr>
                  <w:tcW w:w="1326" w:type="dxa"/>
                  <w:vMerge w:val="restart"/>
                  <w:noWrap w:val="0"/>
                  <w:vAlign w:val="center"/>
                </w:tcPr>
                <w:p>
                  <w:pPr>
                    <w:spacing w:line="240" w:lineRule="auto"/>
                    <w:jc w:val="center"/>
                    <w:rPr>
                      <w:rStyle w:val="33"/>
                      <w:rFonts w:hint="eastAsia" w:ascii="Times New Roman" w:hAnsi="Times New Roman" w:eastAsia="宋体" w:cs="Times New Roman"/>
                      <w:lang w:val="en-US" w:eastAsia="zh-CN"/>
                    </w:rPr>
                  </w:pPr>
                  <w:r>
                    <w:rPr>
                      <w:rStyle w:val="33"/>
                      <w:rFonts w:hint="eastAsia" w:cs="Times New Roman"/>
                      <w:lang w:val="en-US" w:eastAsia="zh-CN"/>
                    </w:rPr>
                    <w:t>产品名称</w:t>
                  </w:r>
                </w:p>
              </w:tc>
              <w:tc>
                <w:tcPr>
                  <w:tcW w:w="4304" w:type="dxa"/>
                  <w:gridSpan w:val="3"/>
                  <w:noWrap w:val="0"/>
                  <w:vAlign w:val="top"/>
                </w:tcPr>
                <w:p>
                  <w:pPr>
                    <w:spacing w:line="240" w:lineRule="auto"/>
                    <w:jc w:val="center"/>
                    <w:rPr>
                      <w:rStyle w:val="33"/>
                      <w:rFonts w:hint="default" w:ascii="Times New Roman" w:hAnsi="Times New Roman" w:cs="Times New Roman"/>
                    </w:rPr>
                  </w:pPr>
                  <w:r>
                    <w:rPr>
                      <w:rStyle w:val="33"/>
                      <w:rFonts w:hint="default" w:ascii="Times New Roman" w:hAnsi="Times New Roman" w:cs="Times New Roman"/>
                    </w:rPr>
                    <w:t>设计能力（</w:t>
                  </w:r>
                  <w:r>
                    <w:rPr>
                      <w:rStyle w:val="33"/>
                      <w:rFonts w:hint="eastAsia" w:cs="Times New Roman"/>
                      <w:lang w:val="en-US" w:eastAsia="zh-CN"/>
                    </w:rPr>
                    <w:t>t</w:t>
                  </w:r>
                  <w:r>
                    <w:rPr>
                      <w:rStyle w:val="33"/>
                      <w:rFonts w:hint="default" w:ascii="Times New Roman" w:hAnsi="Times New Roman" w:cs="Times New Roman"/>
                    </w:rPr>
                    <w:t>）</w:t>
                  </w:r>
                </w:p>
              </w:tc>
              <w:tc>
                <w:tcPr>
                  <w:tcW w:w="1538" w:type="dxa"/>
                  <w:vMerge w:val="restart"/>
                  <w:noWrap w:val="0"/>
                  <w:vAlign w:val="center"/>
                </w:tcPr>
                <w:p>
                  <w:pPr>
                    <w:spacing w:line="240" w:lineRule="auto"/>
                    <w:jc w:val="center"/>
                    <w:rPr>
                      <w:rStyle w:val="33"/>
                      <w:rFonts w:hint="default" w:ascii="Times New Roman" w:hAnsi="Times New Roman" w:cs="Times New Roman"/>
                    </w:rPr>
                  </w:pPr>
                  <w:r>
                    <w:rPr>
                      <w:rStyle w:val="33"/>
                      <w:rFonts w:hint="default" w:ascii="Times New Roman" w:hAnsi="Times New Roman" w:cs="Times New Roman"/>
                    </w:rPr>
                    <w:t>年运行时数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778" w:type="dxa"/>
                  <w:vMerge w:val="continue"/>
                  <w:noWrap w:val="0"/>
                  <w:vAlign w:val="top"/>
                </w:tcPr>
                <w:p>
                  <w:pPr>
                    <w:spacing w:line="240" w:lineRule="auto"/>
                    <w:jc w:val="center"/>
                    <w:rPr>
                      <w:rFonts w:hint="default" w:ascii="Times New Roman" w:hAnsi="Times New Roman" w:cs="Times New Roman"/>
                    </w:rPr>
                  </w:pPr>
                </w:p>
              </w:tc>
              <w:tc>
                <w:tcPr>
                  <w:tcW w:w="1477" w:type="dxa"/>
                  <w:vMerge w:val="continue"/>
                  <w:noWrap w:val="0"/>
                  <w:vAlign w:val="top"/>
                </w:tcPr>
                <w:p>
                  <w:pPr>
                    <w:spacing w:line="240" w:lineRule="auto"/>
                    <w:jc w:val="center"/>
                    <w:rPr>
                      <w:rFonts w:hint="default" w:ascii="Times New Roman" w:hAnsi="Times New Roman" w:cs="Times New Roman"/>
                    </w:rPr>
                  </w:pPr>
                </w:p>
              </w:tc>
              <w:tc>
                <w:tcPr>
                  <w:tcW w:w="1326" w:type="dxa"/>
                  <w:vMerge w:val="continue"/>
                  <w:noWrap w:val="0"/>
                  <w:vAlign w:val="top"/>
                </w:tcPr>
                <w:p>
                  <w:pPr>
                    <w:spacing w:line="240" w:lineRule="auto"/>
                    <w:jc w:val="center"/>
                    <w:rPr>
                      <w:rFonts w:hint="default" w:ascii="Times New Roman" w:hAnsi="Times New Roman" w:cs="Times New Roman"/>
                    </w:rPr>
                  </w:pPr>
                </w:p>
              </w:tc>
              <w:tc>
                <w:tcPr>
                  <w:tcW w:w="1434" w:type="dxa"/>
                  <w:noWrap w:val="0"/>
                  <w:vAlign w:val="top"/>
                </w:tcPr>
                <w:p>
                  <w:pPr>
                    <w:spacing w:line="240" w:lineRule="auto"/>
                    <w:jc w:val="center"/>
                    <w:rPr>
                      <w:rStyle w:val="33"/>
                      <w:rFonts w:hint="default" w:ascii="Times New Roman" w:hAnsi="Times New Roman" w:cs="Times New Roman"/>
                    </w:rPr>
                  </w:pPr>
                  <w:r>
                    <w:rPr>
                      <w:rStyle w:val="33"/>
                      <w:rFonts w:hint="default" w:ascii="Times New Roman" w:hAnsi="Times New Roman" w:cs="Times New Roman"/>
                    </w:rPr>
                    <w:t>扩建前</w:t>
                  </w:r>
                </w:p>
              </w:tc>
              <w:tc>
                <w:tcPr>
                  <w:tcW w:w="1434" w:type="dxa"/>
                  <w:noWrap w:val="0"/>
                  <w:vAlign w:val="top"/>
                </w:tcPr>
                <w:p>
                  <w:pPr>
                    <w:spacing w:line="240" w:lineRule="auto"/>
                    <w:jc w:val="center"/>
                    <w:rPr>
                      <w:rFonts w:hint="default" w:ascii="Times New Roman" w:hAnsi="Times New Roman" w:cs="Times New Roman"/>
                      <w:kern w:val="2"/>
                      <w:sz w:val="21"/>
                      <w:szCs w:val="21"/>
                      <w:lang w:val="en-US" w:eastAsia="zh-CN" w:bidi="ar-SA"/>
                    </w:rPr>
                  </w:pPr>
                  <w:r>
                    <w:rPr>
                      <w:rStyle w:val="33"/>
                      <w:rFonts w:hint="default" w:ascii="Times New Roman" w:hAnsi="Times New Roman" w:cs="Times New Roman"/>
                    </w:rPr>
                    <w:t>扩建后</w:t>
                  </w:r>
                </w:p>
              </w:tc>
              <w:tc>
                <w:tcPr>
                  <w:tcW w:w="1436" w:type="dxa"/>
                  <w:noWrap w:val="0"/>
                  <w:vAlign w:val="top"/>
                </w:tcPr>
                <w:p>
                  <w:pPr>
                    <w:spacing w:line="240" w:lineRule="auto"/>
                    <w:jc w:val="center"/>
                    <w:rPr>
                      <w:rStyle w:val="33"/>
                      <w:rFonts w:hint="default" w:ascii="Times New Roman" w:hAnsi="Times New Roman" w:cs="Times New Roman"/>
                    </w:rPr>
                  </w:pPr>
                  <w:r>
                    <w:rPr>
                      <w:rStyle w:val="33"/>
                      <w:rFonts w:hint="default" w:ascii="Times New Roman" w:hAnsi="Times New Roman" w:cs="Times New Roman"/>
                    </w:rPr>
                    <w:t>增加量</w:t>
                  </w:r>
                </w:p>
              </w:tc>
              <w:tc>
                <w:tcPr>
                  <w:tcW w:w="1538" w:type="dxa"/>
                  <w:vMerge w:val="continue"/>
                  <w:noWrap w:val="0"/>
                  <w:vAlign w:val="top"/>
                </w:tcPr>
                <w:p>
                  <w:pPr>
                    <w:spacing w:line="240" w:lineRule="auto"/>
                    <w:jc w:val="center"/>
                    <w:rPr>
                      <w:rStyle w:val="33"/>
                      <w:rFonts w:hint="default" w:ascii="Times New Roman" w:hAnsi="Times New Roman"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8" w:type="dxa"/>
                  <w:noWrap w:val="0"/>
                  <w:vAlign w:val="top"/>
                </w:tcPr>
                <w:p>
                  <w:pPr>
                    <w:spacing w:line="240" w:lineRule="auto"/>
                    <w:jc w:val="center"/>
                    <w:rPr>
                      <w:rStyle w:val="33"/>
                      <w:rFonts w:hint="default" w:ascii="Times New Roman" w:hAnsi="Times New Roman" w:cs="Times New Roman"/>
                    </w:rPr>
                  </w:pPr>
                  <w:r>
                    <w:rPr>
                      <w:rStyle w:val="33"/>
                      <w:rFonts w:hint="default" w:ascii="Times New Roman" w:hAnsi="Times New Roman" w:cs="Times New Roman"/>
                    </w:rPr>
                    <w:t>1</w:t>
                  </w:r>
                </w:p>
              </w:tc>
              <w:tc>
                <w:tcPr>
                  <w:tcW w:w="1477" w:type="dxa"/>
                  <w:noWrap w:val="0"/>
                  <w:vAlign w:val="top"/>
                </w:tcPr>
                <w:p>
                  <w:pPr>
                    <w:spacing w:line="240" w:lineRule="auto"/>
                    <w:jc w:val="center"/>
                    <w:rPr>
                      <w:rStyle w:val="33"/>
                      <w:rFonts w:hint="default" w:ascii="Times New Roman" w:hAnsi="Times New Roman" w:cs="Times New Roman"/>
                    </w:rPr>
                  </w:pPr>
                  <w:r>
                    <w:rPr>
                      <w:rStyle w:val="33"/>
                      <w:rFonts w:hint="default" w:ascii="Times New Roman" w:hAnsi="Times New Roman" w:cs="Times New Roman"/>
                    </w:rPr>
                    <w:t>挤出成型车间</w:t>
                  </w:r>
                </w:p>
              </w:tc>
              <w:tc>
                <w:tcPr>
                  <w:tcW w:w="1326" w:type="dxa"/>
                  <w:noWrap w:val="0"/>
                  <w:vAlign w:val="top"/>
                </w:tcPr>
                <w:p>
                  <w:pPr>
                    <w:spacing w:line="240" w:lineRule="auto"/>
                    <w:jc w:val="center"/>
                    <w:rPr>
                      <w:rStyle w:val="33"/>
                      <w:rFonts w:hint="default" w:ascii="Times New Roman" w:hAnsi="Times New Roman" w:eastAsia="宋体" w:cs="Times New Roman"/>
                      <w:lang w:val="en-US" w:eastAsia="zh-CN"/>
                    </w:rPr>
                  </w:pPr>
                  <w:r>
                    <w:rPr>
                      <w:rStyle w:val="33"/>
                      <w:rFonts w:hint="eastAsia" w:cs="Times New Roman"/>
                      <w:lang w:val="en-US" w:eastAsia="zh-CN"/>
                    </w:rPr>
                    <w:t>塑料管材</w:t>
                  </w:r>
                </w:p>
              </w:tc>
              <w:tc>
                <w:tcPr>
                  <w:tcW w:w="1434" w:type="dxa"/>
                  <w:noWrap w:val="0"/>
                  <w:vAlign w:val="top"/>
                </w:tcPr>
                <w:p>
                  <w:pPr>
                    <w:spacing w:line="240" w:lineRule="auto"/>
                    <w:jc w:val="center"/>
                    <w:rPr>
                      <w:rStyle w:val="33"/>
                      <w:rFonts w:hint="default" w:ascii="Times New Roman" w:hAnsi="Times New Roman" w:eastAsia="宋体" w:cs="Times New Roman"/>
                      <w:lang w:val="en-US" w:eastAsia="zh-CN"/>
                    </w:rPr>
                  </w:pPr>
                  <w:r>
                    <w:rPr>
                      <w:rStyle w:val="33"/>
                      <w:rFonts w:hint="eastAsia" w:cs="Times New Roman"/>
                      <w:lang w:val="en-US" w:eastAsia="zh-CN"/>
                    </w:rPr>
                    <w:t>1500</w:t>
                  </w:r>
                </w:p>
              </w:tc>
              <w:tc>
                <w:tcPr>
                  <w:tcW w:w="1434" w:type="dxa"/>
                  <w:noWrap w:val="0"/>
                  <w:vAlign w:val="top"/>
                </w:tcPr>
                <w:p>
                  <w:pPr>
                    <w:spacing w:line="240" w:lineRule="auto"/>
                    <w:jc w:val="center"/>
                    <w:rPr>
                      <w:rFonts w:hint="default" w:ascii="Times New Roman" w:hAnsi="Times New Roman" w:eastAsia="宋体" w:cs="Times New Roman"/>
                      <w:kern w:val="2"/>
                      <w:sz w:val="21"/>
                      <w:szCs w:val="21"/>
                      <w:lang w:val="en-US" w:eastAsia="zh-CN" w:bidi="ar-SA"/>
                    </w:rPr>
                  </w:pPr>
                  <w:r>
                    <w:rPr>
                      <w:rStyle w:val="33"/>
                      <w:rFonts w:hint="eastAsia" w:cs="Times New Roman"/>
                      <w:lang w:val="en-US" w:eastAsia="zh-CN"/>
                    </w:rPr>
                    <w:t>3000</w:t>
                  </w:r>
                </w:p>
              </w:tc>
              <w:tc>
                <w:tcPr>
                  <w:tcW w:w="1436" w:type="dxa"/>
                  <w:noWrap w:val="0"/>
                  <w:vAlign w:val="top"/>
                </w:tcPr>
                <w:p>
                  <w:pPr>
                    <w:spacing w:line="240" w:lineRule="auto"/>
                    <w:jc w:val="center"/>
                    <w:rPr>
                      <w:rStyle w:val="33"/>
                      <w:rFonts w:hint="default" w:ascii="Times New Roman" w:hAnsi="Times New Roman" w:eastAsia="宋体" w:cs="Times New Roman"/>
                      <w:lang w:val="en-US" w:eastAsia="zh-CN"/>
                    </w:rPr>
                  </w:pPr>
                  <w:r>
                    <w:rPr>
                      <w:rStyle w:val="33"/>
                      <w:rFonts w:hint="default" w:ascii="Times New Roman" w:hAnsi="Times New Roman" w:cs="Times New Roman"/>
                      <w:lang w:val="en-US" w:eastAsia="zh-CN"/>
                    </w:rPr>
                    <w:t>+</w:t>
                  </w:r>
                  <w:r>
                    <w:rPr>
                      <w:rStyle w:val="33"/>
                      <w:rFonts w:hint="eastAsia" w:cs="Times New Roman"/>
                      <w:lang w:val="en-US" w:eastAsia="zh-CN"/>
                    </w:rPr>
                    <w:t>1500</w:t>
                  </w:r>
                </w:p>
              </w:tc>
              <w:tc>
                <w:tcPr>
                  <w:tcW w:w="1538" w:type="dxa"/>
                  <w:noWrap w:val="0"/>
                  <w:vAlign w:val="top"/>
                </w:tcPr>
                <w:p>
                  <w:pPr>
                    <w:spacing w:line="240" w:lineRule="auto"/>
                    <w:jc w:val="center"/>
                    <w:rPr>
                      <w:rStyle w:val="33"/>
                      <w:rFonts w:hint="default" w:ascii="Times New Roman" w:hAnsi="Times New Roman" w:cs="Times New Roman"/>
                    </w:rPr>
                  </w:pPr>
                  <w:r>
                    <w:rPr>
                      <w:rStyle w:val="33"/>
                      <w:rFonts w:hint="default" w:ascii="Times New Roman" w:hAnsi="Times New Roman" w:cs="Times New Roman"/>
                    </w:rPr>
                    <w:t>2400</w:t>
                  </w:r>
                </w:p>
              </w:tc>
            </w:tr>
          </w:tbl>
          <w:p>
            <w:pPr>
              <w:adjustRightInd w:val="0"/>
              <w:snapToGrid w:val="0"/>
              <w:spacing w:beforeLines="50"/>
              <w:rPr>
                <w:b/>
                <w:bCs/>
                <w:color w:val="auto"/>
              </w:rPr>
            </w:pPr>
            <w:r>
              <w:rPr>
                <w:b/>
                <w:bCs/>
                <w:color w:val="auto"/>
              </w:rPr>
              <w:t>4、项目公用及辅助工程</w:t>
            </w:r>
          </w:p>
          <w:p>
            <w:pPr>
              <w:jc w:val="center"/>
              <w:rPr>
                <w:b/>
                <w:bCs/>
                <w:color w:val="auto"/>
                <w:sz w:val="21"/>
                <w:szCs w:val="21"/>
              </w:rPr>
            </w:pPr>
            <w:r>
              <w:rPr>
                <w:b/>
                <w:bCs/>
                <w:color w:val="auto"/>
                <w:sz w:val="21"/>
                <w:szCs w:val="21"/>
              </w:rPr>
              <w:t>表1-4公用及辅助工程</w:t>
            </w:r>
          </w:p>
          <w:tbl>
            <w:tblPr>
              <w:tblStyle w:val="26"/>
              <w:tblW w:w="0" w:type="auto"/>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714"/>
              <w:gridCol w:w="650"/>
              <w:gridCol w:w="1225"/>
              <w:gridCol w:w="1562"/>
              <w:gridCol w:w="1562"/>
              <w:gridCol w:w="1563"/>
              <w:gridCol w:w="214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07" w:hRule="atLeast"/>
              </w:trPr>
              <w:tc>
                <w:tcPr>
                  <w:tcW w:w="714" w:type="dxa"/>
                  <w:vMerge w:val="restart"/>
                  <w:noWrap w:val="0"/>
                  <w:vAlign w:val="center"/>
                </w:tcPr>
                <w:p>
                  <w:pPr>
                    <w:spacing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类别</w:t>
                  </w:r>
                </w:p>
              </w:tc>
              <w:tc>
                <w:tcPr>
                  <w:tcW w:w="1875" w:type="dxa"/>
                  <w:gridSpan w:val="2"/>
                  <w:vMerge w:val="restart"/>
                  <w:noWrap w:val="0"/>
                  <w:vAlign w:val="center"/>
                </w:tcPr>
                <w:p>
                  <w:pPr>
                    <w:spacing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建设名称</w:t>
                  </w:r>
                </w:p>
              </w:tc>
              <w:tc>
                <w:tcPr>
                  <w:tcW w:w="4687" w:type="dxa"/>
                  <w:gridSpan w:val="3"/>
                  <w:tcBorders>
                    <w:bottom w:val="single" w:color="auto" w:sz="4" w:space="0"/>
                  </w:tcBorders>
                  <w:noWrap w:val="0"/>
                  <w:vAlign w:val="center"/>
                </w:tcPr>
                <w:p>
                  <w:pPr>
                    <w:spacing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设计能力</w:t>
                  </w:r>
                </w:p>
              </w:tc>
              <w:tc>
                <w:tcPr>
                  <w:tcW w:w="2146" w:type="dxa"/>
                  <w:vMerge w:val="restart"/>
                  <w:tcBorders>
                    <w:bottom w:val="single" w:color="auto" w:sz="12" w:space="0"/>
                  </w:tcBorders>
                  <w:noWrap w:val="0"/>
                  <w:vAlign w:val="center"/>
                </w:tcPr>
                <w:p>
                  <w:pPr>
                    <w:spacing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2" w:hRule="atLeast"/>
              </w:trPr>
              <w:tc>
                <w:tcPr>
                  <w:tcW w:w="714" w:type="dxa"/>
                  <w:vMerge w:val="continue"/>
                  <w:tcBorders>
                    <w:bottom w:val="single" w:color="auto" w:sz="12" w:space="0"/>
                  </w:tcBorders>
                  <w:noWrap w:val="0"/>
                  <w:vAlign w:val="center"/>
                </w:tcPr>
                <w:p>
                  <w:pPr>
                    <w:spacing w:line="240" w:lineRule="auto"/>
                    <w:jc w:val="center"/>
                    <w:rPr>
                      <w:rFonts w:hint="default" w:ascii="Times New Roman" w:hAnsi="Times New Roman" w:cs="Times New Roman"/>
                      <w:sz w:val="21"/>
                      <w:szCs w:val="21"/>
                      <w:highlight w:val="none"/>
                    </w:rPr>
                  </w:pPr>
                </w:p>
              </w:tc>
              <w:tc>
                <w:tcPr>
                  <w:tcW w:w="1875" w:type="dxa"/>
                  <w:gridSpan w:val="2"/>
                  <w:vMerge w:val="continue"/>
                  <w:tcBorders>
                    <w:bottom w:val="single" w:color="auto" w:sz="12" w:space="0"/>
                  </w:tcBorders>
                  <w:noWrap w:val="0"/>
                  <w:vAlign w:val="center"/>
                </w:tcPr>
                <w:p>
                  <w:pPr>
                    <w:spacing w:line="240" w:lineRule="auto"/>
                    <w:jc w:val="center"/>
                    <w:rPr>
                      <w:rFonts w:hint="default" w:ascii="Times New Roman" w:hAnsi="Times New Roman" w:cs="Times New Roman"/>
                      <w:sz w:val="21"/>
                      <w:szCs w:val="21"/>
                      <w:highlight w:val="none"/>
                    </w:rPr>
                  </w:pPr>
                </w:p>
              </w:tc>
              <w:tc>
                <w:tcPr>
                  <w:tcW w:w="1562" w:type="dxa"/>
                  <w:tcBorders>
                    <w:top w:val="single" w:color="auto" w:sz="4" w:space="0"/>
                    <w:bottom w:val="single" w:color="auto" w:sz="12" w:space="0"/>
                    <w:right w:val="single" w:color="auto" w:sz="4" w:space="0"/>
                  </w:tcBorders>
                  <w:noWrap w:val="0"/>
                  <w:vAlign w:val="center"/>
                </w:tcPr>
                <w:p>
                  <w:pPr>
                    <w:spacing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扩建前</w:t>
                  </w:r>
                </w:p>
              </w:tc>
              <w:tc>
                <w:tcPr>
                  <w:tcW w:w="1562" w:type="dxa"/>
                  <w:tcBorders>
                    <w:top w:val="single" w:color="auto" w:sz="4" w:space="0"/>
                    <w:left w:val="single" w:color="auto" w:sz="4" w:space="0"/>
                    <w:bottom w:val="single" w:color="auto" w:sz="12" w:space="0"/>
                    <w:right w:val="single" w:color="auto" w:sz="4" w:space="0"/>
                  </w:tcBorders>
                  <w:noWrap w:val="0"/>
                  <w:vAlign w:val="center"/>
                </w:tcPr>
                <w:p>
                  <w:pPr>
                    <w:spacing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扩建后</w:t>
                  </w:r>
                </w:p>
              </w:tc>
              <w:tc>
                <w:tcPr>
                  <w:tcW w:w="1563" w:type="dxa"/>
                  <w:tcBorders>
                    <w:top w:val="single" w:color="auto" w:sz="4" w:space="0"/>
                    <w:left w:val="single" w:color="auto" w:sz="4" w:space="0"/>
                    <w:bottom w:val="single" w:color="auto" w:sz="12" w:space="0"/>
                  </w:tcBorders>
                  <w:noWrap w:val="0"/>
                  <w:vAlign w:val="center"/>
                </w:tcPr>
                <w:p>
                  <w:pPr>
                    <w:spacing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变化情况</w:t>
                  </w:r>
                </w:p>
              </w:tc>
              <w:tc>
                <w:tcPr>
                  <w:tcW w:w="2146" w:type="dxa"/>
                  <w:vMerge w:val="continue"/>
                  <w:tcBorders>
                    <w:top w:val="single" w:color="auto" w:sz="12" w:space="0"/>
                    <w:bottom w:val="single" w:color="auto" w:sz="12" w:space="0"/>
                  </w:tcBorders>
                  <w:noWrap w:val="0"/>
                  <w:vAlign w:val="center"/>
                </w:tcPr>
                <w:p>
                  <w:pPr>
                    <w:spacing w:line="240" w:lineRule="auto"/>
                    <w:jc w:val="center"/>
                    <w:rPr>
                      <w:rFonts w:hint="default" w:ascii="Times New Roman" w:hAnsi="Times New Roman" w:cs="Times New Roman"/>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14" w:type="dxa"/>
                  <w:vMerge w:val="restart"/>
                  <w:tcBorders>
                    <w:top w:val="single" w:color="auto" w:sz="12" w:space="0"/>
                  </w:tcBorders>
                  <w:noWrap w:val="0"/>
                  <w:vAlign w:val="center"/>
                </w:tcPr>
                <w:p>
                  <w:pPr>
                    <w:spacing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贮运工程</w:t>
                  </w:r>
                </w:p>
              </w:tc>
              <w:tc>
                <w:tcPr>
                  <w:tcW w:w="1875" w:type="dxa"/>
                  <w:gridSpan w:val="2"/>
                  <w:tcBorders>
                    <w:top w:val="single" w:color="auto" w:sz="12" w:space="0"/>
                  </w:tcBorders>
                  <w:noWrap w:val="0"/>
                  <w:vAlign w:val="center"/>
                </w:tcPr>
                <w:p>
                  <w:pPr>
                    <w:spacing w:line="240" w:lineRule="auto"/>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成品仓库</w:t>
                  </w:r>
                </w:p>
              </w:tc>
              <w:tc>
                <w:tcPr>
                  <w:tcW w:w="1562" w:type="dxa"/>
                  <w:tcBorders>
                    <w:top w:val="single" w:color="auto" w:sz="12"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60m</w:t>
                  </w:r>
                  <w:r>
                    <w:rPr>
                      <w:rFonts w:hint="eastAsia" w:cs="Times New Roman"/>
                      <w:sz w:val="21"/>
                      <w:szCs w:val="21"/>
                      <w:highlight w:val="none"/>
                      <w:vertAlign w:val="superscript"/>
                      <w:lang w:val="en-US" w:eastAsia="zh-CN"/>
                    </w:rPr>
                    <w:t>2</w:t>
                  </w:r>
                </w:p>
              </w:tc>
              <w:tc>
                <w:tcPr>
                  <w:tcW w:w="1562" w:type="dxa"/>
                  <w:tcBorders>
                    <w:top w:val="single" w:color="auto" w:sz="12" w:space="0"/>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60m</w:t>
                  </w:r>
                  <w:r>
                    <w:rPr>
                      <w:rFonts w:hint="eastAsia" w:cs="Times New Roman"/>
                      <w:sz w:val="21"/>
                      <w:szCs w:val="21"/>
                      <w:highlight w:val="none"/>
                      <w:vertAlign w:val="superscript"/>
                      <w:lang w:val="en-US" w:eastAsia="zh-CN"/>
                    </w:rPr>
                    <w:t>2</w:t>
                  </w:r>
                </w:p>
              </w:tc>
              <w:tc>
                <w:tcPr>
                  <w:tcW w:w="1563" w:type="dxa"/>
                  <w:tcBorders>
                    <w:top w:val="single" w:color="auto" w:sz="12" w:space="0"/>
                    <w:left w:val="single" w:color="auto" w:sz="4" w:space="0"/>
                  </w:tcBorders>
                  <w:noWrap w:val="0"/>
                  <w:vAlign w:val="center"/>
                </w:tcPr>
                <w:p>
                  <w:pPr>
                    <w:spacing w:line="240" w:lineRule="auto"/>
                    <w:jc w:val="center"/>
                    <w:rPr>
                      <w:rFonts w:hint="eastAsia"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0</w:t>
                  </w:r>
                </w:p>
              </w:tc>
              <w:tc>
                <w:tcPr>
                  <w:tcW w:w="2146" w:type="dxa"/>
                  <w:tcBorders>
                    <w:top w:val="single" w:color="auto" w:sz="12" w:space="0"/>
                  </w:tcBorders>
                  <w:noWrap w:val="0"/>
                  <w:vAlign w:val="center"/>
                </w:tcPr>
                <w:p>
                  <w:pPr>
                    <w:spacing w:line="240" w:lineRule="auto"/>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14" w:type="dxa"/>
                  <w:vMerge w:val="continue"/>
                  <w:noWrap w:val="0"/>
                  <w:vAlign w:val="center"/>
                </w:tcPr>
                <w:p>
                  <w:pPr>
                    <w:spacing w:line="240" w:lineRule="auto"/>
                    <w:jc w:val="center"/>
                    <w:rPr>
                      <w:rFonts w:hint="default" w:ascii="Times New Roman" w:hAnsi="Times New Roman" w:cs="Times New Roman"/>
                      <w:sz w:val="21"/>
                      <w:szCs w:val="21"/>
                      <w:highlight w:val="none"/>
                    </w:rPr>
                  </w:pPr>
                </w:p>
              </w:tc>
              <w:tc>
                <w:tcPr>
                  <w:tcW w:w="1875" w:type="dxa"/>
                  <w:gridSpan w:val="2"/>
                  <w:noWrap w:val="0"/>
                  <w:vAlign w:val="center"/>
                </w:tcPr>
                <w:p>
                  <w:pPr>
                    <w:spacing w:line="240" w:lineRule="auto"/>
                    <w:jc w:val="center"/>
                    <w:rPr>
                      <w:rFonts w:hint="eastAsia"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原料仓库</w:t>
                  </w:r>
                </w:p>
              </w:tc>
              <w:tc>
                <w:tcPr>
                  <w:tcW w:w="1562" w:type="dxa"/>
                  <w:tcBorders>
                    <w:top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40m</w:t>
                  </w:r>
                  <w:r>
                    <w:rPr>
                      <w:rFonts w:hint="eastAsia" w:cs="Times New Roman"/>
                      <w:sz w:val="21"/>
                      <w:szCs w:val="21"/>
                      <w:highlight w:val="none"/>
                      <w:vertAlign w:val="superscript"/>
                      <w:lang w:val="en-US" w:eastAsia="zh-CN"/>
                    </w:rPr>
                    <w:t>2</w:t>
                  </w:r>
                </w:p>
              </w:tc>
              <w:tc>
                <w:tcPr>
                  <w:tcW w:w="1562" w:type="dxa"/>
                  <w:tcBorders>
                    <w:top w:val="single" w:color="auto" w:sz="4" w:space="0"/>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40m</w:t>
                  </w:r>
                  <w:r>
                    <w:rPr>
                      <w:rFonts w:hint="eastAsia" w:cs="Times New Roman"/>
                      <w:sz w:val="21"/>
                      <w:szCs w:val="21"/>
                      <w:highlight w:val="none"/>
                      <w:vertAlign w:val="superscript"/>
                      <w:lang w:val="en-US" w:eastAsia="zh-CN"/>
                    </w:rPr>
                    <w:t>2</w:t>
                  </w:r>
                </w:p>
              </w:tc>
              <w:tc>
                <w:tcPr>
                  <w:tcW w:w="1563" w:type="dxa"/>
                  <w:tcBorders>
                    <w:top w:val="single" w:color="auto" w:sz="4" w:space="0"/>
                    <w:left w:val="single" w:color="auto" w:sz="4" w:space="0"/>
                  </w:tcBorders>
                  <w:noWrap w:val="0"/>
                  <w:vAlign w:val="center"/>
                </w:tcPr>
                <w:p>
                  <w:pPr>
                    <w:spacing w:line="240" w:lineRule="auto"/>
                    <w:jc w:val="center"/>
                    <w:rPr>
                      <w:rFonts w:hint="eastAsia"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0</w:t>
                  </w:r>
                </w:p>
              </w:tc>
              <w:tc>
                <w:tcPr>
                  <w:tcW w:w="2146" w:type="dxa"/>
                  <w:noWrap w:val="0"/>
                  <w:vAlign w:val="center"/>
                </w:tcPr>
                <w:p>
                  <w:pPr>
                    <w:spacing w:line="240" w:lineRule="auto"/>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14" w:type="dxa"/>
                  <w:vMerge w:val="restart"/>
                  <w:noWrap w:val="0"/>
                  <w:vAlign w:val="center"/>
                </w:tcPr>
                <w:p>
                  <w:pPr>
                    <w:spacing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公用辅助</w:t>
                  </w:r>
                </w:p>
                <w:p>
                  <w:pPr>
                    <w:spacing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工程</w:t>
                  </w:r>
                </w:p>
              </w:tc>
              <w:tc>
                <w:tcPr>
                  <w:tcW w:w="1875" w:type="dxa"/>
                  <w:gridSpan w:val="2"/>
                  <w:noWrap w:val="0"/>
                  <w:vAlign w:val="center"/>
                </w:tcPr>
                <w:p>
                  <w:pPr>
                    <w:spacing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供水</w:t>
                  </w:r>
                </w:p>
              </w:tc>
              <w:tc>
                <w:tcPr>
                  <w:tcW w:w="1562" w:type="dxa"/>
                  <w:tcBorders>
                    <w:right w:val="single" w:color="auto" w:sz="4" w:space="0"/>
                  </w:tcBorders>
                  <w:noWrap w:val="0"/>
                  <w:vAlign w:val="center"/>
                </w:tcPr>
                <w:p>
                  <w:pPr>
                    <w:spacing w:line="240" w:lineRule="auto"/>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350t/a</w:t>
                  </w:r>
                </w:p>
              </w:tc>
              <w:tc>
                <w:tcPr>
                  <w:tcW w:w="1562" w:type="dxa"/>
                  <w:tcBorders>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670t/a</w:t>
                  </w:r>
                </w:p>
              </w:tc>
              <w:tc>
                <w:tcPr>
                  <w:tcW w:w="1563" w:type="dxa"/>
                  <w:tcBorders>
                    <w:left w:val="single" w:color="auto" w:sz="4" w:space="0"/>
                  </w:tcBorders>
                  <w:noWrap w:val="0"/>
                  <w:vAlign w:val="center"/>
                </w:tcPr>
                <w:p>
                  <w:pPr>
                    <w:spacing w:line="240" w:lineRule="auto"/>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+320</w:t>
                  </w:r>
                </w:p>
              </w:tc>
              <w:tc>
                <w:tcPr>
                  <w:tcW w:w="2146" w:type="dxa"/>
                  <w:noWrap w:val="0"/>
                  <w:vAlign w:val="center"/>
                </w:tcPr>
                <w:p>
                  <w:pPr>
                    <w:spacing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由新区自来水管网供应</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14" w:type="dxa"/>
                  <w:vMerge w:val="continue"/>
                  <w:noWrap w:val="0"/>
                  <w:vAlign w:val="center"/>
                </w:tcPr>
                <w:p>
                  <w:pPr>
                    <w:spacing w:line="240" w:lineRule="auto"/>
                    <w:jc w:val="center"/>
                    <w:rPr>
                      <w:rFonts w:hint="default" w:ascii="Times New Roman" w:hAnsi="Times New Roman" w:cs="Times New Roman"/>
                      <w:sz w:val="21"/>
                      <w:szCs w:val="21"/>
                      <w:highlight w:val="none"/>
                    </w:rPr>
                  </w:pPr>
                </w:p>
              </w:tc>
              <w:tc>
                <w:tcPr>
                  <w:tcW w:w="1875" w:type="dxa"/>
                  <w:gridSpan w:val="2"/>
                  <w:noWrap w:val="0"/>
                  <w:vAlign w:val="center"/>
                </w:tcPr>
                <w:p>
                  <w:pPr>
                    <w:spacing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供电</w:t>
                  </w:r>
                </w:p>
              </w:tc>
              <w:tc>
                <w:tcPr>
                  <w:tcW w:w="1562" w:type="dxa"/>
                  <w:tcBorders>
                    <w:right w:val="single" w:color="auto" w:sz="4" w:space="0"/>
                  </w:tcBorders>
                  <w:noWrap w:val="0"/>
                  <w:vAlign w:val="center"/>
                </w:tcPr>
                <w:p>
                  <w:pPr>
                    <w:spacing w:line="240" w:lineRule="auto"/>
                    <w:jc w:val="center"/>
                    <w:rPr>
                      <w:rFonts w:hint="default" w:ascii="Times New Roman" w:hAnsi="Times New Roman" w:cs="Times New Roman"/>
                      <w:sz w:val="21"/>
                      <w:szCs w:val="21"/>
                      <w:highlight w:val="none"/>
                    </w:rPr>
                  </w:pPr>
                  <w:r>
                    <w:rPr>
                      <w:rFonts w:hint="eastAsia" w:cs="Times New Roman"/>
                      <w:sz w:val="21"/>
                      <w:szCs w:val="21"/>
                      <w:highlight w:val="none"/>
                      <w:lang w:val="en-US" w:eastAsia="zh-CN"/>
                    </w:rPr>
                    <w:t>50</w:t>
                  </w:r>
                  <w:r>
                    <w:rPr>
                      <w:rFonts w:hint="default" w:ascii="Times New Roman" w:hAnsi="Times New Roman" w:cs="Times New Roman"/>
                      <w:sz w:val="21"/>
                      <w:szCs w:val="21"/>
                      <w:highlight w:val="none"/>
                    </w:rPr>
                    <w:t>万度</w:t>
                  </w:r>
                </w:p>
              </w:tc>
              <w:tc>
                <w:tcPr>
                  <w:tcW w:w="1562" w:type="dxa"/>
                  <w:tcBorders>
                    <w:left w:val="single" w:color="auto" w:sz="4" w:space="0"/>
                    <w:right w:val="single" w:color="auto" w:sz="4" w:space="0"/>
                  </w:tcBorders>
                  <w:noWrap w:val="0"/>
                  <w:vAlign w:val="center"/>
                </w:tcPr>
                <w:p>
                  <w:pPr>
                    <w:spacing w:line="240" w:lineRule="auto"/>
                    <w:jc w:val="center"/>
                    <w:rPr>
                      <w:rFonts w:hint="default" w:ascii="Times New Roman" w:hAnsi="Times New Roman" w:cs="Times New Roman"/>
                      <w:sz w:val="21"/>
                      <w:szCs w:val="21"/>
                      <w:highlight w:val="none"/>
                    </w:rPr>
                  </w:pPr>
                  <w:r>
                    <w:rPr>
                      <w:rFonts w:hint="eastAsia" w:cs="Times New Roman"/>
                      <w:sz w:val="21"/>
                      <w:szCs w:val="21"/>
                      <w:highlight w:val="none"/>
                      <w:lang w:val="en-US" w:eastAsia="zh-CN"/>
                    </w:rPr>
                    <w:t>80</w:t>
                  </w:r>
                  <w:r>
                    <w:rPr>
                      <w:rFonts w:hint="default" w:ascii="Times New Roman" w:hAnsi="Times New Roman" w:cs="Times New Roman"/>
                      <w:sz w:val="21"/>
                      <w:szCs w:val="21"/>
                      <w:highlight w:val="none"/>
                    </w:rPr>
                    <w:t>万度</w:t>
                  </w:r>
                </w:p>
              </w:tc>
              <w:tc>
                <w:tcPr>
                  <w:tcW w:w="1563" w:type="dxa"/>
                  <w:tcBorders>
                    <w:left w:val="single" w:color="auto" w:sz="4" w:space="0"/>
                  </w:tcBorders>
                  <w:noWrap w:val="0"/>
                  <w:vAlign w:val="center"/>
                </w:tcPr>
                <w:p>
                  <w:pPr>
                    <w:spacing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w:t>
                  </w:r>
                  <w:r>
                    <w:rPr>
                      <w:rFonts w:hint="eastAsia" w:cs="Times New Roman"/>
                      <w:sz w:val="21"/>
                      <w:szCs w:val="21"/>
                      <w:highlight w:val="none"/>
                      <w:lang w:val="en-US" w:eastAsia="zh-CN"/>
                    </w:rPr>
                    <w:t>30</w:t>
                  </w:r>
                  <w:r>
                    <w:rPr>
                      <w:rFonts w:hint="default" w:ascii="Times New Roman" w:hAnsi="Times New Roman" w:cs="Times New Roman"/>
                      <w:sz w:val="21"/>
                      <w:szCs w:val="21"/>
                      <w:highlight w:val="none"/>
                    </w:rPr>
                    <w:t>万度</w:t>
                  </w:r>
                </w:p>
              </w:tc>
              <w:tc>
                <w:tcPr>
                  <w:tcW w:w="2146" w:type="dxa"/>
                  <w:noWrap w:val="0"/>
                  <w:vAlign w:val="center"/>
                </w:tcPr>
                <w:p>
                  <w:pPr>
                    <w:spacing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由新区供电局供应</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60" w:hRule="atLeast"/>
              </w:trPr>
              <w:tc>
                <w:tcPr>
                  <w:tcW w:w="714" w:type="dxa"/>
                  <w:vMerge w:val="continue"/>
                  <w:noWrap w:val="0"/>
                  <w:vAlign w:val="center"/>
                </w:tcPr>
                <w:p>
                  <w:pPr>
                    <w:spacing w:line="240" w:lineRule="auto"/>
                    <w:jc w:val="center"/>
                    <w:rPr>
                      <w:rFonts w:hint="default" w:ascii="Times New Roman" w:hAnsi="Times New Roman" w:cs="Times New Roman"/>
                      <w:sz w:val="21"/>
                      <w:szCs w:val="21"/>
                      <w:highlight w:val="none"/>
                    </w:rPr>
                  </w:pPr>
                </w:p>
              </w:tc>
              <w:tc>
                <w:tcPr>
                  <w:tcW w:w="650" w:type="dxa"/>
                  <w:noWrap w:val="0"/>
                  <w:vAlign w:val="center"/>
                </w:tcPr>
                <w:p>
                  <w:pPr>
                    <w:spacing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排水</w:t>
                  </w:r>
                </w:p>
              </w:tc>
              <w:tc>
                <w:tcPr>
                  <w:tcW w:w="1225" w:type="dxa"/>
                  <w:noWrap w:val="0"/>
                  <w:vAlign w:val="center"/>
                </w:tcPr>
                <w:p>
                  <w:pPr>
                    <w:spacing w:line="240" w:lineRule="auto"/>
                    <w:jc w:val="center"/>
                    <w:rPr>
                      <w:rFonts w:hint="default" w:ascii="Times New Roman" w:hAnsi="Times New Roman" w:eastAsia="宋体" w:cs="Times New Roman"/>
                      <w:kern w:val="2"/>
                      <w:sz w:val="21"/>
                      <w:szCs w:val="21"/>
                      <w:highlight w:val="none"/>
                      <w:lang w:val="en-US" w:eastAsia="zh-CN" w:bidi="ar-SA"/>
                    </w:rPr>
                  </w:pPr>
                  <w:r>
                    <w:rPr>
                      <w:rFonts w:hint="eastAsia" w:cs="Times New Roman"/>
                      <w:sz w:val="21"/>
                      <w:szCs w:val="21"/>
                      <w:highlight w:val="none"/>
                      <w:lang w:val="en-US" w:eastAsia="zh-CN"/>
                    </w:rPr>
                    <w:t>生活废水</w:t>
                  </w:r>
                </w:p>
              </w:tc>
              <w:tc>
                <w:tcPr>
                  <w:tcW w:w="1562" w:type="dxa"/>
                  <w:tcBorders>
                    <w:right w:val="single" w:color="auto" w:sz="4" w:space="0"/>
                  </w:tcBorders>
                  <w:noWrap w:val="0"/>
                  <w:vAlign w:val="center"/>
                </w:tcPr>
                <w:p>
                  <w:pPr>
                    <w:spacing w:line="240" w:lineRule="auto"/>
                    <w:jc w:val="center"/>
                    <w:rPr>
                      <w:rFonts w:hint="default" w:ascii="Times New Roman" w:hAnsi="Times New Roman" w:eastAsia="宋体" w:cs="Times New Roman"/>
                      <w:kern w:val="2"/>
                      <w:sz w:val="21"/>
                      <w:szCs w:val="21"/>
                      <w:highlight w:val="none"/>
                      <w:lang w:val="en-US" w:eastAsia="zh-CN" w:bidi="ar-SA"/>
                    </w:rPr>
                  </w:pPr>
                  <w:r>
                    <w:rPr>
                      <w:rFonts w:hint="eastAsia" w:cs="Times New Roman"/>
                      <w:sz w:val="21"/>
                      <w:szCs w:val="21"/>
                      <w:highlight w:val="none"/>
                      <w:lang w:val="en-US" w:eastAsia="zh-CN"/>
                    </w:rPr>
                    <w:t>240t/a</w:t>
                  </w:r>
                </w:p>
              </w:tc>
              <w:tc>
                <w:tcPr>
                  <w:tcW w:w="1562" w:type="dxa"/>
                  <w:tcBorders>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kern w:val="2"/>
                      <w:sz w:val="21"/>
                      <w:szCs w:val="21"/>
                      <w:highlight w:val="none"/>
                      <w:lang w:val="en-US" w:eastAsia="zh-CN" w:bidi="ar-SA"/>
                    </w:rPr>
                  </w:pPr>
                  <w:r>
                    <w:rPr>
                      <w:rFonts w:hint="eastAsia" w:cs="Times New Roman"/>
                      <w:sz w:val="21"/>
                      <w:szCs w:val="21"/>
                      <w:highlight w:val="none"/>
                      <w:lang w:val="en-US" w:eastAsia="zh-CN"/>
                    </w:rPr>
                    <w:t>456t/a</w:t>
                  </w:r>
                </w:p>
              </w:tc>
              <w:tc>
                <w:tcPr>
                  <w:tcW w:w="1563" w:type="dxa"/>
                  <w:tcBorders>
                    <w:left w:val="single" w:color="auto" w:sz="4" w:space="0"/>
                  </w:tcBorders>
                  <w:noWrap w:val="0"/>
                  <w:vAlign w:val="center"/>
                </w:tcPr>
                <w:p>
                  <w:pPr>
                    <w:spacing w:line="240" w:lineRule="auto"/>
                    <w:jc w:val="center"/>
                    <w:rPr>
                      <w:rFonts w:hint="default" w:ascii="Times New Roman" w:hAnsi="Times New Roman" w:eastAsia="宋体" w:cs="Times New Roman"/>
                      <w:kern w:val="2"/>
                      <w:sz w:val="21"/>
                      <w:szCs w:val="21"/>
                      <w:highlight w:val="none"/>
                      <w:lang w:val="en-US" w:eastAsia="zh-CN" w:bidi="ar-SA"/>
                    </w:rPr>
                  </w:pPr>
                  <w:r>
                    <w:rPr>
                      <w:rFonts w:hint="eastAsia" w:cs="Times New Roman"/>
                      <w:sz w:val="21"/>
                      <w:szCs w:val="21"/>
                      <w:highlight w:val="none"/>
                      <w:lang w:val="en-US" w:eastAsia="zh-CN"/>
                    </w:rPr>
                    <w:t>+216t/a</w:t>
                  </w:r>
                </w:p>
              </w:tc>
              <w:tc>
                <w:tcPr>
                  <w:tcW w:w="2146" w:type="dxa"/>
                  <w:noWrap w:val="0"/>
                  <w:vAlign w:val="center"/>
                </w:tcPr>
                <w:p>
                  <w:pPr>
                    <w:spacing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废水接入市政污水管网排入</w:t>
                  </w:r>
                  <w:r>
                    <w:rPr>
                      <w:rFonts w:hint="eastAsia" w:cs="Times New Roman"/>
                      <w:sz w:val="21"/>
                      <w:szCs w:val="21"/>
                      <w:highlight w:val="none"/>
                      <w:lang w:val="en-US" w:eastAsia="zh-CN"/>
                    </w:rPr>
                    <w:t>白荡水质净化厂</w:t>
                  </w:r>
                  <w:r>
                    <w:rPr>
                      <w:rFonts w:hint="default" w:ascii="Times New Roman" w:hAnsi="Times New Roman" w:cs="Times New Roman"/>
                      <w:sz w:val="21"/>
                      <w:szCs w:val="21"/>
                      <w:highlight w:val="none"/>
                    </w:rPr>
                    <w:t>处理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39" w:hRule="atLeast"/>
              </w:trPr>
              <w:tc>
                <w:tcPr>
                  <w:tcW w:w="714" w:type="dxa"/>
                  <w:vMerge w:val="restart"/>
                  <w:tcBorders>
                    <w:top w:val="single" w:color="auto" w:sz="4" w:space="0"/>
                  </w:tcBorders>
                  <w:noWrap w:val="0"/>
                  <w:vAlign w:val="center"/>
                </w:tcPr>
                <w:p>
                  <w:pPr>
                    <w:spacing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环保工程</w:t>
                  </w:r>
                </w:p>
              </w:tc>
              <w:tc>
                <w:tcPr>
                  <w:tcW w:w="650" w:type="dxa"/>
                  <w:noWrap w:val="0"/>
                  <w:vAlign w:val="center"/>
                </w:tcPr>
                <w:p>
                  <w:pPr>
                    <w:spacing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废水</w:t>
                  </w:r>
                </w:p>
              </w:tc>
              <w:tc>
                <w:tcPr>
                  <w:tcW w:w="8058" w:type="dxa"/>
                  <w:gridSpan w:val="5"/>
                  <w:noWrap w:val="0"/>
                  <w:vAlign w:val="center"/>
                </w:tcPr>
                <w:p>
                  <w:pPr>
                    <w:spacing w:line="240" w:lineRule="auto"/>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本项目只有生活废水，达标排放</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14" w:type="dxa"/>
                  <w:vMerge w:val="continue"/>
                  <w:noWrap w:val="0"/>
                  <w:vAlign w:val="center"/>
                </w:tcPr>
                <w:p>
                  <w:pPr>
                    <w:spacing w:line="240" w:lineRule="auto"/>
                    <w:jc w:val="center"/>
                    <w:rPr>
                      <w:rFonts w:hint="default" w:ascii="Times New Roman" w:hAnsi="Times New Roman" w:cs="Times New Roman"/>
                      <w:sz w:val="21"/>
                      <w:szCs w:val="21"/>
                      <w:highlight w:val="none"/>
                    </w:rPr>
                  </w:pPr>
                </w:p>
              </w:tc>
              <w:tc>
                <w:tcPr>
                  <w:tcW w:w="650" w:type="dxa"/>
                  <w:vMerge w:val="restart"/>
                  <w:noWrap w:val="0"/>
                  <w:vAlign w:val="center"/>
                </w:tcPr>
                <w:p>
                  <w:pPr>
                    <w:spacing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废气处理</w:t>
                  </w:r>
                </w:p>
              </w:tc>
              <w:tc>
                <w:tcPr>
                  <w:tcW w:w="1225" w:type="dxa"/>
                  <w:noWrap w:val="0"/>
                  <w:vAlign w:val="center"/>
                </w:tcPr>
                <w:p>
                  <w:pPr>
                    <w:spacing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非甲烷总烃</w:t>
                  </w:r>
                </w:p>
              </w:tc>
              <w:tc>
                <w:tcPr>
                  <w:tcW w:w="1562" w:type="dxa"/>
                  <w:tcBorders>
                    <w:right w:val="single" w:color="auto" w:sz="4" w:space="0"/>
                  </w:tcBorders>
                  <w:noWrap w:val="0"/>
                  <w:vAlign w:val="center"/>
                </w:tcPr>
                <w:p>
                  <w:pPr>
                    <w:spacing w:line="240" w:lineRule="auto"/>
                    <w:jc w:val="center"/>
                    <w:rPr>
                      <w:rFonts w:hint="default" w:ascii="Times New Roman" w:hAnsi="Times New Roman" w:cs="Times New Roman"/>
                      <w:sz w:val="21"/>
                      <w:szCs w:val="21"/>
                      <w:highlight w:val="none"/>
                    </w:rPr>
                  </w:pPr>
                  <w:r>
                    <w:rPr>
                      <w:rFonts w:hint="eastAsia" w:cs="Times New Roman"/>
                      <w:sz w:val="21"/>
                      <w:szCs w:val="21"/>
                      <w:highlight w:val="none"/>
                      <w:lang w:val="en-US" w:eastAsia="zh-CN"/>
                    </w:rPr>
                    <w:t>风量</w:t>
                  </w:r>
                  <w:r>
                    <w:rPr>
                      <w:rFonts w:hint="default" w:ascii="Times New Roman" w:hAnsi="Times New Roman" w:cs="Times New Roman"/>
                      <w:sz w:val="21"/>
                      <w:szCs w:val="21"/>
                      <w:highlight w:val="none"/>
                    </w:rPr>
                    <w:t>4000m</w:t>
                  </w:r>
                  <w:r>
                    <w:rPr>
                      <w:rFonts w:hint="default" w:ascii="Times New Roman" w:hAnsi="Times New Roman" w:cs="Times New Roman"/>
                      <w:sz w:val="21"/>
                      <w:szCs w:val="21"/>
                      <w:highlight w:val="none"/>
                      <w:vertAlign w:val="superscript"/>
                    </w:rPr>
                    <w:t>3</w:t>
                  </w:r>
                </w:p>
                <w:p>
                  <w:pPr>
                    <w:spacing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/h 集中通风，一级活性炭，15 米</w:t>
                  </w:r>
                </w:p>
                <w:p>
                  <w:pPr>
                    <w:spacing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外排</w:t>
                  </w:r>
                </w:p>
              </w:tc>
              <w:tc>
                <w:tcPr>
                  <w:tcW w:w="1562" w:type="dxa"/>
                  <w:tcBorders>
                    <w:left w:val="single" w:color="auto" w:sz="4" w:space="0"/>
                    <w:right w:val="single" w:color="auto" w:sz="4" w:space="0"/>
                  </w:tcBorders>
                  <w:noWrap w:val="0"/>
                  <w:vAlign w:val="center"/>
                </w:tcPr>
                <w:p>
                  <w:pPr>
                    <w:spacing w:line="240" w:lineRule="auto"/>
                    <w:jc w:val="center"/>
                    <w:rPr>
                      <w:rFonts w:hint="default" w:ascii="Times New Roman" w:hAnsi="Times New Roman" w:cs="Times New Roman"/>
                      <w:sz w:val="21"/>
                      <w:szCs w:val="21"/>
                      <w:highlight w:val="none"/>
                    </w:rPr>
                  </w:pPr>
                  <w:r>
                    <w:rPr>
                      <w:rFonts w:hint="eastAsia" w:cs="Times New Roman"/>
                      <w:sz w:val="21"/>
                      <w:szCs w:val="21"/>
                      <w:highlight w:val="none"/>
                      <w:lang w:val="en-US" w:eastAsia="zh-CN"/>
                    </w:rPr>
                    <w:t>风量8</w:t>
                  </w:r>
                  <w:r>
                    <w:rPr>
                      <w:rFonts w:hint="default" w:ascii="Times New Roman" w:hAnsi="Times New Roman" w:cs="Times New Roman"/>
                      <w:sz w:val="21"/>
                      <w:szCs w:val="21"/>
                      <w:highlight w:val="none"/>
                    </w:rPr>
                    <w:t>000m</w:t>
                  </w:r>
                  <w:r>
                    <w:rPr>
                      <w:rFonts w:hint="default" w:ascii="Times New Roman" w:hAnsi="Times New Roman" w:cs="Times New Roman"/>
                      <w:sz w:val="21"/>
                      <w:szCs w:val="21"/>
                      <w:highlight w:val="none"/>
                      <w:vertAlign w:val="superscript"/>
                    </w:rPr>
                    <w:t>3</w:t>
                  </w:r>
                </w:p>
                <w:p>
                  <w:pPr>
                    <w:spacing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/h 集中通风，</w:t>
                  </w:r>
                  <w:r>
                    <w:rPr>
                      <w:rFonts w:hint="eastAsia" w:cs="Times New Roman"/>
                      <w:sz w:val="21"/>
                      <w:szCs w:val="21"/>
                      <w:highlight w:val="none"/>
                      <w:lang w:val="en-US" w:eastAsia="zh-CN"/>
                    </w:rPr>
                    <w:t>低温等离子+</w:t>
                  </w:r>
                  <w:r>
                    <w:rPr>
                      <w:rFonts w:hint="default" w:ascii="Times New Roman" w:hAnsi="Times New Roman" w:cs="Times New Roman"/>
                      <w:sz w:val="21"/>
                      <w:szCs w:val="21"/>
                      <w:highlight w:val="none"/>
                    </w:rPr>
                    <w:t>活性炭</w:t>
                  </w:r>
                  <w:r>
                    <w:rPr>
                      <w:rFonts w:hint="eastAsia" w:ascii="Times New Roman" w:hAnsi="Times New Roman" w:cs="Times New Roman"/>
                      <w:sz w:val="21"/>
                      <w:szCs w:val="21"/>
                      <w:highlight w:val="none"/>
                      <w:lang w:val="en-US" w:eastAsia="zh-CN"/>
                    </w:rPr>
                    <w:t>吸附处理</w:t>
                  </w:r>
                  <w:r>
                    <w:rPr>
                      <w:rFonts w:hint="default" w:ascii="Times New Roman" w:hAnsi="Times New Roman" w:cs="Times New Roman"/>
                      <w:sz w:val="21"/>
                      <w:szCs w:val="21"/>
                      <w:highlight w:val="none"/>
                    </w:rPr>
                    <w:t>，15 米</w:t>
                  </w:r>
                </w:p>
                <w:p>
                  <w:pPr>
                    <w:spacing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外排</w:t>
                  </w:r>
                </w:p>
              </w:tc>
              <w:tc>
                <w:tcPr>
                  <w:tcW w:w="1563" w:type="dxa"/>
                  <w:tcBorders>
                    <w:left w:val="single" w:color="auto" w:sz="4" w:space="0"/>
                    <w:right w:val="single" w:color="auto" w:sz="4" w:space="0"/>
                  </w:tcBorders>
                  <w:noWrap w:val="0"/>
                  <w:vAlign w:val="center"/>
                </w:tcPr>
                <w:p>
                  <w:pPr>
                    <w:spacing w:line="240" w:lineRule="auto"/>
                    <w:jc w:val="center"/>
                    <w:rPr>
                      <w:rFonts w:hint="default" w:ascii="Times New Roman" w:hAnsi="Times New Roman" w:cs="Times New Roman"/>
                      <w:sz w:val="21"/>
                      <w:szCs w:val="21"/>
                      <w:highlight w:val="none"/>
                    </w:rPr>
                  </w:pPr>
                  <w:r>
                    <w:rPr>
                      <w:rFonts w:hint="eastAsia" w:cs="Times New Roman"/>
                      <w:sz w:val="21"/>
                      <w:szCs w:val="21"/>
                      <w:highlight w:val="none"/>
                      <w:lang w:val="en-US" w:eastAsia="zh-CN"/>
                    </w:rPr>
                    <w:t>提标改造为低温等离子+活性炭吸附，并且在新增设备处增加一个风量为400</w:t>
                  </w:r>
                  <w:r>
                    <w:rPr>
                      <w:rFonts w:hint="default" w:ascii="Times New Roman" w:hAnsi="Times New Roman" w:cs="Times New Roman"/>
                      <w:sz w:val="21"/>
                      <w:szCs w:val="21"/>
                      <w:highlight w:val="none"/>
                    </w:rPr>
                    <w:t>0m</w:t>
                  </w:r>
                  <w:r>
                    <w:rPr>
                      <w:rFonts w:hint="default" w:ascii="Times New Roman" w:hAnsi="Times New Roman" w:cs="Times New Roman"/>
                      <w:sz w:val="21"/>
                      <w:szCs w:val="21"/>
                      <w:highlight w:val="none"/>
                      <w:vertAlign w:val="superscript"/>
                    </w:rPr>
                    <w:t>3</w:t>
                  </w:r>
                </w:p>
                <w:p>
                  <w:pPr>
                    <w:spacing w:line="240" w:lineRule="auto"/>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rPr>
                    <w:t>/h</w:t>
                  </w:r>
                  <w:r>
                    <w:rPr>
                      <w:rFonts w:hint="eastAsia" w:ascii="Times New Roman" w:hAnsi="Times New Roman" w:cs="Times New Roman"/>
                      <w:sz w:val="21"/>
                      <w:szCs w:val="21"/>
                      <w:highlight w:val="none"/>
                      <w:lang w:val="en-US" w:eastAsia="zh-CN"/>
                    </w:rPr>
                    <w:t>的集气罩</w:t>
                  </w:r>
                </w:p>
              </w:tc>
              <w:tc>
                <w:tcPr>
                  <w:tcW w:w="2146" w:type="dxa"/>
                  <w:vMerge w:val="restart"/>
                  <w:tcBorders>
                    <w:left w:val="single" w:color="auto" w:sz="4" w:space="0"/>
                  </w:tcBorders>
                  <w:noWrap w:val="0"/>
                  <w:vAlign w:val="center"/>
                </w:tcPr>
                <w:p>
                  <w:pPr>
                    <w:spacing w:line="240" w:lineRule="auto"/>
                    <w:jc w:val="center"/>
                    <w:rPr>
                      <w:rFonts w:hint="eastAsia" w:ascii="Times New Roman" w:hAnsi="Times New Roman" w:eastAsia="宋体" w:cs="Times New Roman"/>
                      <w:sz w:val="21"/>
                      <w:szCs w:val="21"/>
                      <w:highlight w:val="none"/>
                      <w:lang w:eastAsia="zh-CN"/>
                    </w:rPr>
                  </w:pPr>
                  <w:r>
                    <w:rPr>
                      <w:rFonts w:hint="eastAsia" w:cs="Times New Roman"/>
                      <w:sz w:val="21"/>
                      <w:szCs w:val="21"/>
                      <w:highlight w:val="none"/>
                      <w:lang w:eastAsia="zh-CN"/>
                    </w:rPr>
                    <w:t>达标排放</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14" w:type="dxa"/>
                  <w:vMerge w:val="continue"/>
                  <w:noWrap w:val="0"/>
                  <w:vAlign w:val="center"/>
                </w:tcPr>
                <w:p>
                  <w:pPr>
                    <w:spacing w:line="240" w:lineRule="auto"/>
                    <w:jc w:val="center"/>
                    <w:rPr>
                      <w:rFonts w:hint="default" w:ascii="Times New Roman" w:hAnsi="Times New Roman" w:cs="Times New Roman"/>
                      <w:sz w:val="21"/>
                      <w:szCs w:val="21"/>
                      <w:highlight w:val="none"/>
                    </w:rPr>
                  </w:pPr>
                </w:p>
              </w:tc>
              <w:tc>
                <w:tcPr>
                  <w:tcW w:w="650" w:type="dxa"/>
                  <w:vMerge w:val="continue"/>
                  <w:noWrap w:val="0"/>
                  <w:vAlign w:val="center"/>
                </w:tcPr>
                <w:p>
                  <w:pPr>
                    <w:spacing w:line="240" w:lineRule="auto"/>
                    <w:jc w:val="center"/>
                    <w:rPr>
                      <w:rFonts w:hint="default" w:ascii="Times New Roman" w:hAnsi="Times New Roman" w:cs="Times New Roman"/>
                      <w:sz w:val="21"/>
                      <w:szCs w:val="21"/>
                      <w:highlight w:val="none"/>
                    </w:rPr>
                  </w:pPr>
                </w:p>
              </w:tc>
              <w:tc>
                <w:tcPr>
                  <w:tcW w:w="1225" w:type="dxa"/>
                  <w:noWrap w:val="0"/>
                  <w:vAlign w:val="center"/>
                </w:tcPr>
                <w:p>
                  <w:pPr>
                    <w:spacing w:line="240" w:lineRule="auto"/>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颗粒物</w:t>
                  </w:r>
                </w:p>
              </w:tc>
              <w:tc>
                <w:tcPr>
                  <w:tcW w:w="1562" w:type="dxa"/>
                  <w:tcBorders>
                    <w:right w:val="single" w:color="auto" w:sz="4" w:space="0"/>
                  </w:tcBorders>
                  <w:noWrap w:val="0"/>
                  <w:vAlign w:val="center"/>
                </w:tcPr>
                <w:p>
                  <w:pPr>
                    <w:spacing w:line="240" w:lineRule="auto"/>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w:t>
                  </w:r>
                </w:p>
              </w:tc>
              <w:tc>
                <w:tcPr>
                  <w:tcW w:w="1562" w:type="dxa"/>
                  <w:tcBorders>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由集气罩收集经布袋除尘工艺处置后由车间无组织排放</w:t>
                  </w:r>
                </w:p>
              </w:tc>
              <w:tc>
                <w:tcPr>
                  <w:tcW w:w="1563" w:type="dxa"/>
                  <w:tcBorders>
                    <w:left w:val="single" w:color="auto" w:sz="4" w:space="0"/>
                    <w:right w:val="single" w:color="auto" w:sz="4" w:space="0"/>
                  </w:tcBorders>
                  <w:noWrap w:val="0"/>
                  <w:vAlign w:val="center"/>
                </w:tcPr>
                <w:p>
                  <w:pPr>
                    <w:spacing w:line="240" w:lineRule="auto"/>
                    <w:jc w:val="center"/>
                    <w:rPr>
                      <w:rFonts w:hint="default" w:ascii="Times New Roman" w:hAnsi="Times New Roman" w:cs="Times New Roman"/>
                      <w:sz w:val="21"/>
                      <w:szCs w:val="21"/>
                      <w:highlight w:val="none"/>
                    </w:rPr>
                  </w:pPr>
                  <w:r>
                    <w:rPr>
                      <w:rFonts w:hint="eastAsia" w:cs="Times New Roman"/>
                      <w:sz w:val="21"/>
                      <w:szCs w:val="21"/>
                      <w:highlight w:val="none"/>
                      <w:lang w:val="en-US" w:eastAsia="zh-CN"/>
                    </w:rPr>
                    <w:t>由集气罩收集经布袋除尘工艺处置后由车间无组织排放</w:t>
                  </w:r>
                </w:p>
              </w:tc>
              <w:tc>
                <w:tcPr>
                  <w:tcW w:w="2146" w:type="dxa"/>
                  <w:vMerge w:val="continue"/>
                  <w:tcBorders>
                    <w:left w:val="single" w:color="auto" w:sz="4" w:space="0"/>
                  </w:tcBorders>
                  <w:noWrap w:val="0"/>
                  <w:vAlign w:val="center"/>
                </w:tcPr>
                <w:p>
                  <w:pPr>
                    <w:spacing w:line="240" w:lineRule="auto"/>
                    <w:jc w:val="center"/>
                    <w:rPr>
                      <w:rFonts w:hint="eastAsia" w:cs="Times New Roman"/>
                      <w:sz w:val="21"/>
                      <w:szCs w:val="21"/>
                      <w:highlight w:val="none"/>
                      <w:lang w:eastAsia="zh-CN"/>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14" w:type="dxa"/>
                  <w:vMerge w:val="continue"/>
                  <w:noWrap w:val="0"/>
                  <w:vAlign w:val="center"/>
                </w:tcPr>
                <w:p>
                  <w:pPr>
                    <w:spacing w:line="240" w:lineRule="auto"/>
                    <w:jc w:val="center"/>
                    <w:rPr>
                      <w:rFonts w:hint="default" w:ascii="Times New Roman" w:hAnsi="Times New Roman" w:cs="Times New Roman"/>
                      <w:sz w:val="21"/>
                      <w:szCs w:val="21"/>
                      <w:highlight w:val="none"/>
                    </w:rPr>
                  </w:pPr>
                </w:p>
              </w:tc>
              <w:tc>
                <w:tcPr>
                  <w:tcW w:w="1875" w:type="dxa"/>
                  <w:gridSpan w:val="2"/>
                  <w:noWrap w:val="0"/>
                  <w:vAlign w:val="center"/>
                </w:tcPr>
                <w:p>
                  <w:pPr>
                    <w:spacing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噪声</w:t>
                  </w:r>
                </w:p>
              </w:tc>
              <w:tc>
                <w:tcPr>
                  <w:tcW w:w="6833" w:type="dxa"/>
                  <w:gridSpan w:val="4"/>
                  <w:noWrap w:val="0"/>
                  <w:vAlign w:val="center"/>
                </w:tcPr>
                <w:p>
                  <w:pPr>
                    <w:spacing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选用低噪声设备，通过减震</w:t>
                  </w:r>
                  <w:r>
                    <w:rPr>
                      <w:rFonts w:hint="default" w:ascii="Times New Roman" w:hAnsi="Times New Roman" w:cs="Times New Roman"/>
                      <w:spacing w:val="-10"/>
                      <w:sz w:val="21"/>
                      <w:szCs w:val="21"/>
                      <w:highlight w:val="none"/>
                    </w:rPr>
                    <w:t>、</w:t>
                  </w:r>
                  <w:r>
                    <w:rPr>
                      <w:rFonts w:hint="default" w:ascii="Times New Roman" w:hAnsi="Times New Roman" w:cs="Times New Roman"/>
                      <w:sz w:val="21"/>
                      <w:szCs w:val="21"/>
                      <w:highlight w:val="none"/>
                    </w:rPr>
                    <w:t>厂房隔声、距离衰减，可达标排放</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14" w:type="dxa"/>
                  <w:vMerge w:val="continue"/>
                  <w:noWrap w:val="0"/>
                  <w:vAlign w:val="center"/>
                </w:tcPr>
                <w:p>
                  <w:pPr>
                    <w:spacing w:line="240" w:lineRule="auto"/>
                    <w:jc w:val="center"/>
                    <w:rPr>
                      <w:rFonts w:hint="default" w:ascii="Times New Roman" w:hAnsi="Times New Roman" w:cs="Times New Roman"/>
                      <w:sz w:val="21"/>
                      <w:szCs w:val="21"/>
                      <w:highlight w:val="none"/>
                    </w:rPr>
                  </w:pPr>
                </w:p>
              </w:tc>
              <w:tc>
                <w:tcPr>
                  <w:tcW w:w="650" w:type="dxa"/>
                  <w:vMerge w:val="restart"/>
                  <w:tcBorders>
                    <w:right w:val="single" w:color="auto" w:sz="4" w:space="0"/>
                  </w:tcBorders>
                  <w:noWrap w:val="0"/>
                  <w:vAlign w:val="center"/>
                </w:tcPr>
                <w:p>
                  <w:pPr>
                    <w:spacing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固废</w:t>
                  </w:r>
                </w:p>
              </w:tc>
              <w:tc>
                <w:tcPr>
                  <w:tcW w:w="1225" w:type="dxa"/>
                  <w:tcBorders>
                    <w:left w:val="single" w:color="auto" w:sz="4" w:space="0"/>
                  </w:tcBorders>
                  <w:noWrap w:val="0"/>
                  <w:vAlign w:val="center"/>
                </w:tcPr>
                <w:p>
                  <w:pPr>
                    <w:spacing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一般固废</w:t>
                  </w:r>
                </w:p>
              </w:tc>
              <w:tc>
                <w:tcPr>
                  <w:tcW w:w="1562" w:type="dxa"/>
                  <w:tcBorders>
                    <w:right w:val="single" w:color="auto" w:sz="4" w:space="0"/>
                  </w:tcBorders>
                  <w:noWrap w:val="0"/>
                  <w:vAlign w:val="center"/>
                </w:tcPr>
                <w:p>
                  <w:pPr>
                    <w:spacing w:line="240" w:lineRule="auto"/>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30m</w:t>
                  </w:r>
                  <w:r>
                    <w:rPr>
                      <w:rFonts w:hint="eastAsia" w:cs="Times New Roman"/>
                      <w:sz w:val="21"/>
                      <w:szCs w:val="21"/>
                      <w:highlight w:val="none"/>
                      <w:vertAlign w:val="superscript"/>
                      <w:lang w:val="en-US" w:eastAsia="zh-CN"/>
                    </w:rPr>
                    <w:t>2</w:t>
                  </w:r>
                </w:p>
              </w:tc>
              <w:tc>
                <w:tcPr>
                  <w:tcW w:w="1562" w:type="dxa"/>
                  <w:tcBorders>
                    <w:left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30m</w:t>
                  </w:r>
                  <w:r>
                    <w:rPr>
                      <w:rFonts w:hint="eastAsia" w:cs="Times New Roman"/>
                      <w:sz w:val="21"/>
                      <w:szCs w:val="21"/>
                      <w:highlight w:val="none"/>
                      <w:vertAlign w:val="superscript"/>
                      <w:lang w:val="en-US" w:eastAsia="zh-CN"/>
                    </w:rPr>
                    <w:t>2</w:t>
                  </w:r>
                </w:p>
              </w:tc>
              <w:tc>
                <w:tcPr>
                  <w:tcW w:w="1563" w:type="dxa"/>
                  <w:tcBorders>
                    <w:left w:val="single" w:color="auto" w:sz="4" w:space="0"/>
                  </w:tcBorders>
                  <w:noWrap w:val="0"/>
                  <w:vAlign w:val="center"/>
                </w:tcPr>
                <w:p>
                  <w:pPr>
                    <w:spacing w:line="240" w:lineRule="auto"/>
                    <w:jc w:val="center"/>
                    <w:rPr>
                      <w:rFonts w:hint="eastAsia" w:ascii="Times New Roman" w:hAnsi="Times New Roman" w:eastAsia="宋体" w:cs="Times New Roman"/>
                      <w:highlight w:val="none"/>
                      <w:lang w:val="en-US" w:eastAsia="zh-CN"/>
                    </w:rPr>
                  </w:pPr>
                  <w:r>
                    <w:rPr>
                      <w:rFonts w:hint="eastAsia" w:cs="Times New Roman"/>
                      <w:highlight w:val="none"/>
                      <w:lang w:val="en-US" w:eastAsia="zh-CN"/>
                    </w:rPr>
                    <w:t>0</w:t>
                  </w:r>
                </w:p>
              </w:tc>
              <w:tc>
                <w:tcPr>
                  <w:tcW w:w="2146" w:type="dxa"/>
                  <w:tcBorders>
                    <w:bottom w:val="single" w:color="auto" w:sz="4" w:space="0"/>
                  </w:tcBorders>
                  <w:noWrap w:val="0"/>
                  <w:vAlign w:val="center"/>
                </w:tcPr>
                <w:p>
                  <w:pPr>
                    <w:spacing w:line="24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49" w:hRule="atLeast"/>
              </w:trPr>
              <w:tc>
                <w:tcPr>
                  <w:tcW w:w="714" w:type="dxa"/>
                  <w:vMerge w:val="continue"/>
                  <w:noWrap w:val="0"/>
                  <w:vAlign w:val="center"/>
                </w:tcPr>
                <w:p>
                  <w:pPr>
                    <w:spacing w:line="240" w:lineRule="auto"/>
                    <w:jc w:val="center"/>
                    <w:rPr>
                      <w:rFonts w:hint="default" w:ascii="Times New Roman" w:hAnsi="Times New Roman" w:cs="Times New Roman"/>
                      <w:sz w:val="21"/>
                      <w:szCs w:val="21"/>
                      <w:highlight w:val="none"/>
                    </w:rPr>
                  </w:pPr>
                </w:p>
              </w:tc>
              <w:tc>
                <w:tcPr>
                  <w:tcW w:w="650" w:type="dxa"/>
                  <w:vMerge w:val="continue"/>
                  <w:tcBorders>
                    <w:right w:val="single" w:color="auto" w:sz="4" w:space="0"/>
                  </w:tcBorders>
                  <w:noWrap w:val="0"/>
                  <w:vAlign w:val="center"/>
                </w:tcPr>
                <w:p>
                  <w:pPr>
                    <w:spacing w:line="240" w:lineRule="auto"/>
                    <w:jc w:val="center"/>
                    <w:rPr>
                      <w:rFonts w:hint="default" w:ascii="Times New Roman" w:hAnsi="Times New Roman" w:cs="Times New Roman"/>
                      <w:sz w:val="21"/>
                      <w:szCs w:val="21"/>
                      <w:highlight w:val="none"/>
                    </w:rPr>
                  </w:pPr>
                </w:p>
              </w:tc>
              <w:tc>
                <w:tcPr>
                  <w:tcW w:w="1225" w:type="dxa"/>
                  <w:tcBorders>
                    <w:left w:val="single" w:color="auto" w:sz="4" w:space="0"/>
                  </w:tcBorders>
                  <w:noWrap w:val="0"/>
                  <w:vAlign w:val="center"/>
                </w:tcPr>
                <w:p>
                  <w:pPr>
                    <w:spacing w:line="240" w:lineRule="auto"/>
                    <w:jc w:val="center"/>
                    <w:rPr>
                      <w:rFonts w:hint="default"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lang w:eastAsia="zh-CN"/>
                    </w:rPr>
                    <w:t>危废仓库</w:t>
                  </w:r>
                </w:p>
              </w:tc>
              <w:tc>
                <w:tcPr>
                  <w:tcW w:w="1562" w:type="dxa"/>
                  <w:tcBorders>
                    <w:right w:val="single" w:color="auto" w:sz="4" w:space="0"/>
                  </w:tcBorders>
                  <w:noWrap w:val="0"/>
                  <w:vAlign w:val="center"/>
                </w:tcPr>
                <w:p>
                  <w:pPr>
                    <w:spacing w:line="240" w:lineRule="auto"/>
                    <w:jc w:val="center"/>
                    <w:rPr>
                      <w:rFonts w:hint="eastAsia"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15m</w:t>
                  </w:r>
                  <w:r>
                    <w:rPr>
                      <w:rFonts w:hint="eastAsia" w:cs="Times New Roman"/>
                      <w:sz w:val="21"/>
                      <w:szCs w:val="21"/>
                      <w:highlight w:val="none"/>
                      <w:vertAlign w:val="superscript"/>
                      <w:lang w:val="en-US" w:eastAsia="zh-CN"/>
                    </w:rPr>
                    <w:t>2</w:t>
                  </w:r>
                </w:p>
              </w:tc>
              <w:tc>
                <w:tcPr>
                  <w:tcW w:w="1562" w:type="dxa"/>
                  <w:tcBorders>
                    <w:left w:val="single" w:color="auto" w:sz="4" w:space="0"/>
                    <w:right w:val="single" w:color="auto" w:sz="4" w:space="0"/>
                  </w:tcBorders>
                  <w:noWrap w:val="0"/>
                  <w:vAlign w:val="center"/>
                </w:tcPr>
                <w:p>
                  <w:pPr>
                    <w:spacing w:line="240" w:lineRule="auto"/>
                    <w:jc w:val="center"/>
                    <w:rPr>
                      <w:rFonts w:hint="eastAsia"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15m</w:t>
                  </w:r>
                  <w:r>
                    <w:rPr>
                      <w:rFonts w:hint="eastAsia" w:cs="Times New Roman"/>
                      <w:sz w:val="21"/>
                      <w:szCs w:val="21"/>
                      <w:highlight w:val="none"/>
                      <w:vertAlign w:val="superscript"/>
                      <w:lang w:val="en-US" w:eastAsia="zh-CN"/>
                    </w:rPr>
                    <w:t>2</w:t>
                  </w:r>
                </w:p>
              </w:tc>
              <w:tc>
                <w:tcPr>
                  <w:tcW w:w="1563" w:type="dxa"/>
                  <w:tcBorders>
                    <w:left w:val="single" w:color="auto" w:sz="4" w:space="0"/>
                  </w:tcBorders>
                  <w:noWrap w:val="0"/>
                  <w:vAlign w:val="center"/>
                </w:tcPr>
                <w:p>
                  <w:pPr>
                    <w:spacing w:line="240" w:lineRule="auto"/>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0</w:t>
                  </w:r>
                </w:p>
              </w:tc>
              <w:tc>
                <w:tcPr>
                  <w:tcW w:w="2146" w:type="dxa"/>
                  <w:tcBorders>
                    <w:top w:val="single" w:color="auto" w:sz="4" w:space="0"/>
                  </w:tcBorders>
                  <w:noWrap w:val="0"/>
                  <w:vAlign w:val="center"/>
                </w:tcPr>
                <w:p>
                  <w:pPr>
                    <w:spacing w:line="240" w:lineRule="auto"/>
                    <w:jc w:val="center"/>
                    <w:rPr>
                      <w:rFonts w:hint="default" w:ascii="Times New Roman" w:hAnsi="Times New Roman" w:cs="Times New Roman"/>
                      <w:color w:val="FF0000"/>
                      <w:sz w:val="21"/>
                      <w:szCs w:val="21"/>
                      <w:highlight w:val="none"/>
                    </w:rPr>
                  </w:pPr>
                  <w:r>
                    <w:rPr>
                      <w:rFonts w:hint="default" w:ascii="Times New Roman" w:hAnsi="Times New Roman" w:cs="Times New Roman"/>
                      <w:sz w:val="21"/>
                      <w:szCs w:val="21"/>
                      <w:highlight w:val="none"/>
                    </w:rPr>
                    <w:t>做好防</w:t>
                  </w:r>
                  <w:r>
                    <w:rPr>
                      <w:rFonts w:hint="default" w:ascii="Times New Roman" w:hAnsi="Times New Roman" w:cs="Times New Roman"/>
                      <w:sz w:val="21"/>
                      <w:szCs w:val="21"/>
                      <w:highlight w:val="none"/>
                      <w:lang w:val="en-US" w:eastAsia="zh-CN"/>
                    </w:rPr>
                    <w:t>风</w:t>
                  </w:r>
                  <w:r>
                    <w:rPr>
                      <w:rFonts w:hint="default" w:ascii="Times New Roman" w:hAnsi="Times New Roman" w:cs="Times New Roman"/>
                      <w:sz w:val="21"/>
                      <w:szCs w:val="21"/>
                      <w:highlight w:val="none"/>
                    </w:rPr>
                    <w:t>、防渗、防爆</w:t>
                  </w:r>
                </w:p>
              </w:tc>
            </w:tr>
          </w:tbl>
          <w:p>
            <w:pPr>
              <w:pStyle w:val="2"/>
            </w:pPr>
          </w:p>
          <w:p>
            <w:pPr>
              <w:rPr>
                <w:b/>
                <w:bCs/>
                <w:color w:val="auto"/>
              </w:rPr>
            </w:pPr>
            <w:r>
              <w:rPr>
                <w:b/>
                <w:bCs/>
                <w:color w:val="auto"/>
              </w:rPr>
              <w:t>5、项目地理位置及周边情况</w:t>
            </w:r>
          </w:p>
          <w:p>
            <w:pPr>
              <w:autoSpaceDE w:val="0"/>
              <w:autoSpaceDN w:val="0"/>
              <w:adjustRightInd w:val="0"/>
              <w:ind w:firstLine="480" w:firstLineChars="200"/>
              <w:jc w:val="left"/>
              <w:rPr>
                <w:color w:val="auto"/>
              </w:rPr>
            </w:pPr>
            <w:r>
              <w:rPr>
                <w:color w:val="auto"/>
              </w:rPr>
              <w:t>本项目位于</w:t>
            </w:r>
            <w:r>
              <w:rPr>
                <w:rFonts w:hint="eastAsia"/>
                <w:color w:val="auto"/>
                <w:highlight w:val="none"/>
              </w:rPr>
              <w:t>苏州高新区浒关分区东金芝路 56 号</w:t>
            </w:r>
            <w:r>
              <w:rPr>
                <w:color w:val="auto"/>
              </w:rPr>
              <w:t>，东侧是</w:t>
            </w:r>
            <w:r>
              <w:rPr>
                <w:rFonts w:hint="eastAsia"/>
                <w:color w:val="auto"/>
                <w:lang w:val="en-US" w:eastAsia="zh-CN"/>
              </w:rPr>
              <w:t>永恩恒塑料包装印刷有限公司</w:t>
            </w:r>
            <w:r>
              <w:rPr>
                <w:color w:val="auto"/>
              </w:rPr>
              <w:t>；南侧是</w:t>
            </w:r>
            <w:r>
              <w:rPr>
                <w:rFonts w:hint="eastAsia"/>
                <w:color w:val="auto"/>
                <w:lang w:val="en-US" w:eastAsia="zh-CN"/>
              </w:rPr>
              <w:t>东金芝路</w:t>
            </w:r>
            <w:r>
              <w:rPr>
                <w:color w:val="auto"/>
              </w:rPr>
              <w:t>；西侧是</w:t>
            </w:r>
            <w:r>
              <w:rPr>
                <w:rFonts w:hint="eastAsia"/>
                <w:color w:val="auto"/>
                <w:lang w:val="en-US" w:eastAsia="zh-CN"/>
              </w:rPr>
              <w:t>苏州市立得印刷厂</w:t>
            </w:r>
            <w:r>
              <w:rPr>
                <w:color w:val="auto"/>
              </w:rPr>
              <w:t>；北侧是</w:t>
            </w:r>
            <w:r>
              <w:rPr>
                <w:rFonts w:hint="eastAsia"/>
                <w:color w:val="auto"/>
                <w:lang w:val="en-US" w:eastAsia="zh-CN"/>
              </w:rPr>
              <w:t>京杭运河支流</w:t>
            </w:r>
            <w:r>
              <w:rPr>
                <w:color w:val="auto"/>
              </w:rPr>
              <w:t xml:space="preserve">。 </w:t>
            </w:r>
          </w:p>
          <w:p>
            <w:pPr>
              <w:autoSpaceDE w:val="0"/>
              <w:autoSpaceDN w:val="0"/>
              <w:adjustRightInd w:val="0"/>
              <w:ind w:firstLine="480" w:firstLineChars="200"/>
              <w:jc w:val="left"/>
              <w:rPr>
                <w:color w:val="auto"/>
              </w:rPr>
            </w:pPr>
            <w:r>
              <w:rPr>
                <w:color w:val="auto"/>
              </w:rPr>
              <w:t>本项目具体地理位置见附图1，周围环境概况见附图2。</w:t>
            </w:r>
          </w:p>
          <w:p>
            <w:pPr>
              <w:rPr>
                <w:b/>
                <w:bCs/>
                <w:color w:val="auto"/>
              </w:rPr>
            </w:pPr>
            <w:r>
              <w:rPr>
                <w:b/>
                <w:bCs/>
                <w:color w:val="auto"/>
              </w:rPr>
              <w:t>6、项目平面布置</w:t>
            </w:r>
          </w:p>
          <w:p>
            <w:pPr>
              <w:ind w:firstLine="480" w:firstLineChars="200"/>
              <w:rPr>
                <w:color w:val="auto"/>
              </w:rPr>
            </w:pPr>
            <w:r>
              <w:rPr>
                <w:color w:val="auto"/>
              </w:rPr>
              <w:t>厂区平面布置图详见附图3</w:t>
            </w:r>
          </w:p>
          <w:p>
            <w:pPr>
              <w:rPr>
                <w:b/>
                <w:bCs/>
                <w:color w:val="auto"/>
              </w:rPr>
            </w:pPr>
            <w:r>
              <w:rPr>
                <w:b/>
                <w:bCs/>
                <w:color w:val="auto"/>
              </w:rPr>
              <w:t>7、“三线一单”相符性分析</w:t>
            </w:r>
          </w:p>
          <w:p>
            <w:pPr>
              <w:pStyle w:val="2"/>
              <w:ind w:firstLine="530" w:firstLineChars="221"/>
              <w:jc w:val="left"/>
              <w:rPr>
                <w:color w:val="auto"/>
              </w:rPr>
            </w:pPr>
            <w:r>
              <w:rPr>
                <w:rFonts w:hint="eastAsia"/>
                <w:color w:val="auto"/>
              </w:rPr>
              <w:t>①</w:t>
            </w:r>
            <w:r>
              <w:rPr>
                <w:color w:val="auto"/>
              </w:rPr>
              <w:t>生态红线</w:t>
            </w:r>
          </w:p>
          <w:p>
            <w:pPr>
              <w:pStyle w:val="2"/>
              <w:ind w:firstLine="530" w:firstLineChars="221"/>
              <w:jc w:val="left"/>
              <w:rPr>
                <w:color w:val="auto"/>
              </w:rPr>
            </w:pPr>
            <w:r>
              <w:rPr>
                <w:color w:val="auto"/>
              </w:rPr>
              <w:t>本项目位于苏州高新区</w:t>
            </w:r>
            <w:r>
              <w:rPr>
                <w:rFonts w:hint="eastAsia"/>
                <w:color w:val="auto"/>
                <w:highlight w:val="none"/>
              </w:rPr>
              <w:t>东金芝路 56 号</w:t>
            </w:r>
            <w:r>
              <w:rPr>
                <w:color w:val="auto"/>
              </w:rPr>
              <w:t>，根据《江苏省生态红线区域保护规划》（苏政发[2013]113号），本项目与附近的生态红线保护区域相对位置如下表所示。</w:t>
            </w:r>
          </w:p>
          <w:p>
            <w:pPr>
              <w:jc w:val="center"/>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表1-</w:t>
            </w:r>
            <w:r>
              <w:rPr>
                <w:rFonts w:hint="eastAsia" w:ascii="Times New Roman" w:hAnsi="Times New Roman" w:eastAsia="宋体" w:cs="Times New Roman"/>
                <w:b/>
                <w:bCs/>
                <w:sz w:val="24"/>
                <w:szCs w:val="24"/>
                <w:lang w:val="en-US" w:eastAsia="zh-CN"/>
              </w:rPr>
              <w:t>5</w:t>
            </w:r>
            <w:r>
              <w:rPr>
                <w:rFonts w:hint="default" w:ascii="Times New Roman" w:hAnsi="Times New Roman" w:eastAsia="宋体" w:cs="Times New Roman"/>
                <w:b/>
                <w:bCs/>
                <w:sz w:val="24"/>
                <w:szCs w:val="24"/>
              </w:rPr>
              <w:t>苏州市重要生态功能保护区</w:t>
            </w:r>
          </w:p>
          <w:tbl>
            <w:tblPr>
              <w:tblStyle w:val="26"/>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864"/>
              <w:gridCol w:w="868"/>
              <w:gridCol w:w="2129"/>
              <w:gridCol w:w="2033"/>
              <w:gridCol w:w="922"/>
              <w:gridCol w:w="922"/>
              <w:gridCol w:w="926"/>
              <w:gridCol w:w="76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458" w:type="pct"/>
                  <w:vMerge w:val="restart"/>
                  <w:tcBorders>
                    <w:bottom w:val="single" w:color="auto" w:sz="12" w:space="0"/>
                  </w:tcBorders>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名称</w:t>
                  </w:r>
                </w:p>
              </w:tc>
              <w:tc>
                <w:tcPr>
                  <w:tcW w:w="460" w:type="pct"/>
                  <w:vMerge w:val="restart"/>
                  <w:tcBorders>
                    <w:bottom w:val="single" w:color="auto" w:sz="12" w:space="0"/>
                  </w:tcBorders>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主导生态功能</w:t>
                  </w:r>
                </w:p>
              </w:tc>
              <w:tc>
                <w:tcPr>
                  <w:tcW w:w="2207" w:type="pct"/>
                  <w:gridSpan w:val="2"/>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红线区域范围</w:t>
                  </w:r>
                </w:p>
              </w:tc>
              <w:tc>
                <w:tcPr>
                  <w:tcW w:w="1469" w:type="pct"/>
                  <w:gridSpan w:val="3"/>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面积（平方公里）</w:t>
                  </w:r>
                </w:p>
              </w:tc>
              <w:tc>
                <w:tcPr>
                  <w:tcW w:w="403" w:type="pct"/>
                  <w:vMerge w:val="restart"/>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相对位置及距离（m）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04" w:hRule="atLeast"/>
                <w:jc w:val="center"/>
              </w:trPr>
              <w:tc>
                <w:tcPr>
                  <w:tcW w:w="458" w:type="pct"/>
                  <w:vMerge w:val="continue"/>
                  <w:tcBorders>
                    <w:top w:val="single" w:color="auto" w:sz="12" w:space="0"/>
                    <w:bottom w:val="single" w:color="auto" w:sz="12" w:space="0"/>
                  </w:tcBorders>
                  <w:noWrap w:val="0"/>
                  <w:vAlign w:val="center"/>
                </w:tcPr>
                <w:p>
                  <w:pPr>
                    <w:spacing w:line="240" w:lineRule="auto"/>
                    <w:jc w:val="center"/>
                    <w:rPr>
                      <w:rFonts w:hint="default" w:ascii="Times New Roman" w:hAnsi="Times New Roman" w:eastAsia="宋体" w:cs="Times New Roman"/>
                      <w:sz w:val="21"/>
                      <w:szCs w:val="21"/>
                    </w:rPr>
                  </w:pPr>
                </w:p>
              </w:tc>
              <w:tc>
                <w:tcPr>
                  <w:tcW w:w="460" w:type="pct"/>
                  <w:vMerge w:val="continue"/>
                  <w:tcBorders>
                    <w:top w:val="single" w:color="auto" w:sz="12" w:space="0"/>
                    <w:bottom w:val="single" w:color="auto" w:sz="12" w:space="0"/>
                  </w:tcBorders>
                  <w:noWrap w:val="0"/>
                  <w:vAlign w:val="center"/>
                </w:tcPr>
                <w:p>
                  <w:pPr>
                    <w:spacing w:line="240" w:lineRule="auto"/>
                    <w:jc w:val="center"/>
                    <w:rPr>
                      <w:rFonts w:hint="default" w:ascii="Times New Roman" w:hAnsi="Times New Roman" w:eastAsia="宋体" w:cs="Times New Roman"/>
                      <w:sz w:val="21"/>
                      <w:szCs w:val="21"/>
                    </w:rPr>
                  </w:pPr>
                </w:p>
              </w:tc>
              <w:tc>
                <w:tcPr>
                  <w:tcW w:w="1129" w:type="pct"/>
                  <w:tcBorders>
                    <w:bottom w:val="single" w:color="auto" w:sz="12" w:space="0"/>
                  </w:tcBorders>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国家级生态保护红线范围</w:t>
                  </w:r>
                </w:p>
              </w:tc>
              <w:tc>
                <w:tcPr>
                  <w:tcW w:w="1078" w:type="pct"/>
                  <w:tcBorders>
                    <w:bottom w:val="single" w:color="auto" w:sz="12" w:space="0"/>
                  </w:tcBorders>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生态空间管控区域范围</w:t>
                  </w:r>
                </w:p>
              </w:tc>
              <w:tc>
                <w:tcPr>
                  <w:tcW w:w="489" w:type="pct"/>
                  <w:tcBorders>
                    <w:bottom w:val="single" w:color="auto" w:sz="12" w:space="0"/>
                  </w:tcBorders>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国家级生态红线保护面积</w:t>
                  </w:r>
                </w:p>
              </w:tc>
              <w:tc>
                <w:tcPr>
                  <w:tcW w:w="489" w:type="pct"/>
                  <w:tcBorders>
                    <w:bottom w:val="single" w:color="auto" w:sz="12" w:space="0"/>
                  </w:tcBorders>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生态空间管控区域面积</w:t>
                  </w:r>
                </w:p>
              </w:tc>
              <w:tc>
                <w:tcPr>
                  <w:tcW w:w="490" w:type="pct"/>
                  <w:tcBorders>
                    <w:bottom w:val="single" w:color="auto" w:sz="12" w:space="0"/>
                  </w:tcBorders>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总面积</w:t>
                  </w:r>
                </w:p>
              </w:tc>
              <w:tc>
                <w:tcPr>
                  <w:tcW w:w="403" w:type="pct"/>
                  <w:vMerge w:val="continue"/>
                  <w:tcBorders>
                    <w:bottom w:val="single" w:color="auto" w:sz="12" w:space="0"/>
                  </w:tcBorders>
                  <w:noWrap w:val="0"/>
                  <w:vAlign w:val="center"/>
                </w:tcPr>
                <w:p>
                  <w:pPr>
                    <w:spacing w:line="240" w:lineRule="auto"/>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58" w:type="pct"/>
                  <w:tcBorders>
                    <w:top w:val="single" w:color="auto" w:sz="12" w:space="0"/>
                  </w:tcBorders>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江苏大阳山国家森林公园</w:t>
                  </w:r>
                </w:p>
              </w:tc>
              <w:tc>
                <w:tcPr>
                  <w:tcW w:w="460" w:type="pct"/>
                  <w:tcBorders>
                    <w:top w:val="single" w:color="auto" w:sz="12" w:space="0"/>
                  </w:tcBorders>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自然与人文景观保护</w:t>
                  </w:r>
                </w:p>
              </w:tc>
              <w:tc>
                <w:tcPr>
                  <w:tcW w:w="1129" w:type="pct"/>
                  <w:tcBorders>
                    <w:top w:val="single" w:color="auto" w:sz="12" w:space="0"/>
                  </w:tcBorders>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阳山环路以西，兴贤路以南，太湖大道以北，阳山环路西线以东，区域内包括浒关分区、东渚镇、通安镇、阳山林场，涉及新民村、石林村、观山村、香桥村、树山村、青峰村、宝山村、阳山村</w:t>
                  </w:r>
                </w:p>
              </w:tc>
              <w:tc>
                <w:tcPr>
                  <w:tcW w:w="1078" w:type="pct"/>
                  <w:tcBorders>
                    <w:top w:val="single" w:color="auto" w:sz="12" w:space="0"/>
                  </w:tcBorders>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489" w:type="pct"/>
                  <w:tcBorders>
                    <w:top w:val="single" w:color="auto" w:sz="12" w:space="0"/>
                  </w:tcBorders>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10.3</w:t>
                  </w:r>
                </w:p>
              </w:tc>
              <w:tc>
                <w:tcPr>
                  <w:tcW w:w="489" w:type="pct"/>
                  <w:tcBorders>
                    <w:top w:val="single" w:color="auto" w:sz="12" w:space="0"/>
                  </w:tcBorders>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490" w:type="pct"/>
                  <w:tcBorders>
                    <w:top w:val="single" w:color="auto" w:sz="12" w:space="0"/>
                  </w:tcBorders>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10.30</w:t>
                  </w:r>
                </w:p>
              </w:tc>
              <w:tc>
                <w:tcPr>
                  <w:tcW w:w="403" w:type="pct"/>
                  <w:tcBorders>
                    <w:top w:val="single" w:color="auto" w:sz="12" w:space="0"/>
                  </w:tcBorders>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172" w:hRule="atLeast"/>
                <w:jc w:val="center"/>
              </w:trPr>
              <w:tc>
                <w:tcPr>
                  <w:tcW w:w="458" w:type="pct"/>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太湖（高新区）重要保护区</w:t>
                  </w:r>
                </w:p>
              </w:tc>
              <w:tc>
                <w:tcPr>
                  <w:tcW w:w="460" w:type="pct"/>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湿地生态系统保护</w:t>
                  </w:r>
                </w:p>
              </w:tc>
              <w:tc>
                <w:tcPr>
                  <w:tcW w:w="1129" w:type="pct"/>
                  <w:noWrap w:val="0"/>
                  <w:vAlign w:val="center"/>
                </w:tcPr>
                <w:p>
                  <w:pPr>
                    <w:spacing w:line="240" w:lineRule="auto"/>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w:t>
                  </w:r>
                </w:p>
              </w:tc>
              <w:tc>
                <w:tcPr>
                  <w:tcW w:w="1078" w:type="pct"/>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分为两部分：湖体和湖岸。湖体为高新区内太湖水体（不包括金墅港、镇湖饮用水源保护区和太湖梅鲚河蚬国家级水产种质资源保护区的核心区）。湖岸部分为高新区太湖大堤以东1公里生态林带范围</w:t>
                  </w:r>
                </w:p>
              </w:tc>
              <w:tc>
                <w:tcPr>
                  <w:tcW w:w="489" w:type="pct"/>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489" w:type="pct"/>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126.62</w:t>
                  </w:r>
                </w:p>
              </w:tc>
              <w:tc>
                <w:tcPr>
                  <w:tcW w:w="490" w:type="pct"/>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126.62</w:t>
                  </w:r>
                </w:p>
              </w:tc>
              <w:tc>
                <w:tcPr>
                  <w:tcW w:w="403" w:type="pct"/>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9000</w:t>
                  </w:r>
                </w:p>
              </w:tc>
            </w:tr>
          </w:tbl>
          <w:p>
            <w:pPr>
              <w:ind w:firstLine="480" w:firstLineChars="200"/>
              <w:rPr>
                <w:color w:val="auto"/>
              </w:rPr>
            </w:pPr>
            <w:r>
              <w:rPr>
                <w:rFonts w:hint="default" w:ascii="Times New Roman" w:hAnsi="Times New Roman" w:eastAsia="宋体" w:cs="Times New Roman"/>
              </w:rPr>
              <w:t>本项目位于苏州高新区富春江路188号，对照《江苏省生态空间管控区域规划》，离本项目最近的国家级生态保护红线区域为项目</w:t>
            </w:r>
            <w:r>
              <w:rPr>
                <w:rFonts w:hint="default" w:ascii="Times New Roman" w:hAnsi="Times New Roman" w:eastAsia="宋体" w:cs="Times New Roman"/>
                <w:lang w:val="en-US" w:eastAsia="zh-CN"/>
              </w:rPr>
              <w:t>东</w:t>
            </w:r>
            <w:r>
              <w:rPr>
                <w:rFonts w:hint="default" w:ascii="Times New Roman" w:hAnsi="Times New Roman" w:eastAsia="宋体" w:cs="Times New Roman"/>
              </w:rPr>
              <w:t>侧</w:t>
            </w:r>
            <w:r>
              <w:rPr>
                <w:rFonts w:hint="eastAsia" w:ascii="Times New Roman" w:hAnsi="Times New Roman" w:eastAsia="宋体" w:cs="Times New Roman"/>
                <w:lang w:val="en-US" w:eastAsia="zh-CN"/>
              </w:rPr>
              <w:t>1000m</w:t>
            </w:r>
            <w:r>
              <w:rPr>
                <w:rFonts w:hint="default" w:ascii="Times New Roman" w:hAnsi="Times New Roman" w:eastAsia="宋体" w:cs="Times New Roman"/>
              </w:rPr>
              <w:t>江苏大阳山国家森林公园，本项目不在其生态保护红线区域范围内，符合《江苏省生态空间管控区域规划》的相关要求。离本项目最近的生态空间管控区域为项目西侧</w:t>
            </w:r>
            <w:r>
              <w:rPr>
                <w:rFonts w:hint="eastAsia" w:ascii="Times New Roman" w:hAnsi="Times New Roman" w:eastAsia="宋体" w:cs="Times New Roman"/>
                <w:lang w:val="en-US" w:eastAsia="zh-CN"/>
              </w:rPr>
              <w:t>9000</w:t>
            </w:r>
            <w:r>
              <w:rPr>
                <w:rFonts w:hint="default" w:ascii="Times New Roman" w:hAnsi="Times New Roman" w:eastAsia="宋体" w:cs="Times New Roman"/>
              </w:rPr>
              <w:t>m的太湖（高新区）重要保护区，本项目不在其生态空间管控区域内，符合《江苏省生态空间管控区域规划》相关要求。</w:t>
            </w:r>
          </w:p>
          <w:p>
            <w:pPr>
              <w:ind w:firstLine="480" w:firstLineChars="200"/>
              <w:rPr>
                <w:color w:val="auto"/>
              </w:rPr>
            </w:pPr>
            <w:r>
              <w:rPr>
                <w:rFonts w:hint="eastAsia"/>
                <w:color w:val="auto"/>
              </w:rPr>
              <w:t>②</w:t>
            </w:r>
            <w:r>
              <w:rPr>
                <w:color w:val="auto"/>
              </w:rPr>
              <w:t>环境质量底线</w:t>
            </w:r>
          </w:p>
          <w:p>
            <w:pPr>
              <w:ind w:firstLine="480" w:firstLineChars="200"/>
              <w:rPr>
                <w:color w:val="auto"/>
              </w:rPr>
            </w:pPr>
            <w:r>
              <w:rPr>
                <w:color w:val="auto"/>
              </w:rPr>
              <w:t>项目所在区域环境空气指数为90，空气质量状况为良，环境空气质量优良率为67.1%。PM</w:t>
            </w:r>
            <w:r>
              <w:rPr>
                <w:color w:val="auto"/>
                <w:vertAlign w:val="subscript"/>
              </w:rPr>
              <w:t>10</w:t>
            </w:r>
            <w:r>
              <w:rPr>
                <w:color w:val="auto"/>
              </w:rPr>
              <w:t>、SO</w:t>
            </w:r>
            <w:r>
              <w:rPr>
                <w:color w:val="auto"/>
                <w:vertAlign w:val="subscript"/>
              </w:rPr>
              <w:t>2</w:t>
            </w:r>
            <w:r>
              <w:rPr>
                <w:color w:val="auto"/>
              </w:rPr>
              <w:t>指标年均值达到国家《环境空气质量标准》（GB3095-2012）及其修改单中年均值的二级标准，NO</w:t>
            </w:r>
            <w:r>
              <w:rPr>
                <w:color w:val="auto"/>
                <w:vertAlign w:val="subscript"/>
              </w:rPr>
              <w:t>2</w:t>
            </w:r>
            <w:r>
              <w:rPr>
                <w:color w:val="auto"/>
              </w:rPr>
              <w:t>和PM</w:t>
            </w:r>
            <w:r>
              <w:rPr>
                <w:color w:val="auto"/>
                <w:vertAlign w:val="subscript"/>
              </w:rPr>
              <w:t>2.5</w:t>
            </w:r>
            <w:r>
              <w:rPr>
                <w:color w:val="auto"/>
              </w:rPr>
              <w:t>二项指标的年均值未达到国家《环境空气质量标准》（GB3095-2012）及其修改单中年均值的二级标准。为进一步改善环境质量，根据《市政府办公室关于印发苏州市“十三五”生态环境保护规划的通知》（苏府办[2016]210号），苏州市以2020年为规划年，以空气质量达到优良天数的比例为大于73.9%约束性指标，PM2.5年均浓度总体下降比例≥20%约束性指标，氮氧化物排放量削减比例完成省下达任务约束性指标等，通过加快产业转型升级、严格环境准入、强化排污许可证制度、促进节能减排低碳、推进污染减排精细化管理、强化煤炭消费总量控制、加强工业废气污染协同治理、深化交通污染防治、严格控制扬尘污染、强化油烟污染防治、推进区域联防联控等措施，提升大气污染精细化防控能力。届时，苏州高新区的环境空气质量将得到极大的改善；地表水（纳污河流京杭运河）符合《地表水环境质量标准》（GB3838-2002）</w:t>
            </w:r>
            <w:r>
              <w:rPr>
                <w:rFonts w:hint="eastAsia"/>
                <w:color w:val="auto"/>
              </w:rPr>
              <w:t>Ⅳ</w:t>
            </w:r>
            <w:r>
              <w:rPr>
                <w:color w:val="auto"/>
              </w:rPr>
              <w:t>类标准；所在区域环境噪声达到《声环境质量标准》（GB3096-2008）3类标准。本项目生活废水达到接管标准后接入镇湖污水处理厂进行处理，废气、固废均得到合理处置，噪声对周边影响较小，不会降低项目所在地的环境功能质量。因此本项目的建设不会突破环境质量底线。</w:t>
            </w:r>
          </w:p>
          <w:p>
            <w:pPr>
              <w:ind w:firstLine="480" w:firstLineChars="200"/>
              <w:rPr>
                <w:color w:val="auto"/>
              </w:rPr>
            </w:pPr>
            <w:r>
              <w:rPr>
                <w:color w:val="auto"/>
              </w:rPr>
              <w:fldChar w:fldCharType="begin"/>
            </w:r>
            <w:r>
              <w:rPr>
                <w:color w:val="auto"/>
              </w:rPr>
              <w:instrText xml:space="preserve"> = 3 \* GB3 </w:instrText>
            </w:r>
            <w:r>
              <w:rPr>
                <w:color w:val="auto"/>
              </w:rPr>
              <w:fldChar w:fldCharType="separate"/>
            </w:r>
            <w:r>
              <w:rPr>
                <w:rFonts w:hint="eastAsia"/>
                <w:color w:val="auto"/>
              </w:rPr>
              <w:t>③</w:t>
            </w:r>
            <w:r>
              <w:rPr>
                <w:color w:val="auto"/>
              </w:rPr>
              <w:fldChar w:fldCharType="end"/>
            </w:r>
            <w:r>
              <w:rPr>
                <w:color w:val="auto"/>
              </w:rPr>
              <w:t>资源利用上线</w:t>
            </w:r>
          </w:p>
          <w:p>
            <w:pPr>
              <w:ind w:firstLine="480" w:firstLineChars="200"/>
              <w:rPr>
                <w:color w:val="auto"/>
              </w:rPr>
            </w:pPr>
            <w:r>
              <w:rPr>
                <w:color w:val="auto"/>
              </w:rPr>
              <w:t>本项目用水取自当地自来水，且用水量较小，不会达到资源利用上线；项目占地符合当地规划要求，亦不会达到资源利用上线。</w:t>
            </w:r>
          </w:p>
          <w:p>
            <w:pPr>
              <w:ind w:firstLine="480" w:firstLineChars="200"/>
              <w:rPr>
                <w:color w:val="auto"/>
              </w:rPr>
            </w:pPr>
            <w:r>
              <w:rPr>
                <w:rFonts w:hint="eastAsia"/>
                <w:color w:val="auto"/>
              </w:rPr>
              <w:t>④</w:t>
            </w:r>
            <w:r>
              <w:rPr>
                <w:color w:val="auto"/>
              </w:rPr>
              <w:t>环境准入负面清单</w:t>
            </w:r>
          </w:p>
          <w:p>
            <w:pPr>
              <w:ind w:firstLine="480" w:firstLineChars="200"/>
              <w:rPr>
                <w:color w:val="auto"/>
              </w:rPr>
            </w:pPr>
            <w:r>
              <w:rPr>
                <w:color w:val="auto"/>
              </w:rPr>
              <w:t>本项目所在地没有环境负面准入清单。本次环评对照国家及地方产业政策和《市场准入负面清单（2018年版）》进行说明，具体见表1-</w:t>
            </w:r>
            <w:r>
              <w:rPr>
                <w:rFonts w:hint="eastAsia"/>
                <w:color w:val="auto"/>
                <w:lang w:val="en-US" w:eastAsia="zh-CN"/>
              </w:rPr>
              <w:t>6</w:t>
            </w:r>
            <w:r>
              <w:rPr>
                <w:color w:val="auto"/>
              </w:rPr>
              <w:t>。</w:t>
            </w:r>
          </w:p>
          <w:p>
            <w:pPr>
              <w:ind w:firstLine="422" w:firstLineChars="200"/>
              <w:jc w:val="center"/>
              <w:rPr>
                <w:b/>
                <w:bCs/>
                <w:color w:val="auto"/>
                <w:sz w:val="21"/>
                <w:szCs w:val="21"/>
              </w:rPr>
            </w:pPr>
            <w:r>
              <w:rPr>
                <w:b/>
                <w:bCs/>
                <w:color w:val="auto"/>
                <w:sz w:val="21"/>
                <w:szCs w:val="21"/>
              </w:rPr>
              <w:t>表1-</w:t>
            </w:r>
            <w:r>
              <w:rPr>
                <w:rFonts w:hint="eastAsia"/>
                <w:b/>
                <w:bCs/>
                <w:color w:val="auto"/>
                <w:sz w:val="21"/>
                <w:szCs w:val="21"/>
                <w:lang w:val="en-US" w:eastAsia="zh-CN"/>
              </w:rPr>
              <w:t>6</w:t>
            </w:r>
            <w:r>
              <w:rPr>
                <w:b/>
                <w:bCs/>
                <w:color w:val="auto"/>
                <w:sz w:val="21"/>
                <w:szCs w:val="21"/>
              </w:rPr>
              <w:t>本项目与国家及地方产业政策和《市场准入负面清单（2018年版）》相符性分析</w:t>
            </w:r>
          </w:p>
          <w:tbl>
            <w:tblPr>
              <w:tblStyle w:val="26"/>
              <w:tblW w:w="9412"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37"/>
              <w:gridCol w:w="3280"/>
              <w:gridCol w:w="529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837" w:type="dxa"/>
                  <w:tcBorders>
                    <w:top w:val="single" w:color="auto" w:sz="4" w:space="0"/>
                    <w:bottom w:val="single" w:color="auto" w:sz="4" w:space="0"/>
                    <w:right w:val="single" w:color="auto" w:sz="4" w:space="0"/>
                  </w:tcBorders>
                  <w:vAlign w:val="center"/>
                </w:tcPr>
                <w:p>
                  <w:pPr>
                    <w:pStyle w:val="95"/>
                    <w:rPr>
                      <w:color w:val="auto"/>
                      <w:sz w:val="21"/>
                      <w:szCs w:val="21"/>
                    </w:rPr>
                  </w:pPr>
                  <w:r>
                    <w:rPr>
                      <w:color w:val="auto"/>
                      <w:sz w:val="21"/>
                      <w:szCs w:val="21"/>
                    </w:rPr>
                    <w:t>序号</w:t>
                  </w:r>
                </w:p>
              </w:tc>
              <w:tc>
                <w:tcPr>
                  <w:tcW w:w="3280" w:type="dxa"/>
                  <w:tcBorders>
                    <w:top w:val="single" w:color="auto" w:sz="4" w:space="0"/>
                    <w:left w:val="single" w:color="auto" w:sz="4" w:space="0"/>
                    <w:bottom w:val="single" w:color="auto" w:sz="4" w:space="0"/>
                    <w:right w:val="single" w:color="auto" w:sz="4" w:space="0"/>
                  </w:tcBorders>
                  <w:vAlign w:val="center"/>
                </w:tcPr>
                <w:p>
                  <w:pPr>
                    <w:pStyle w:val="95"/>
                    <w:rPr>
                      <w:color w:val="auto"/>
                      <w:sz w:val="21"/>
                      <w:szCs w:val="21"/>
                    </w:rPr>
                  </w:pPr>
                  <w:r>
                    <w:rPr>
                      <w:color w:val="auto"/>
                      <w:sz w:val="21"/>
                      <w:szCs w:val="21"/>
                    </w:rPr>
                    <w:t>内容</w:t>
                  </w:r>
                </w:p>
              </w:tc>
              <w:tc>
                <w:tcPr>
                  <w:tcW w:w="5295" w:type="dxa"/>
                  <w:tcBorders>
                    <w:top w:val="single" w:color="auto" w:sz="4" w:space="0"/>
                    <w:left w:val="single" w:color="auto" w:sz="4" w:space="0"/>
                    <w:bottom w:val="single" w:color="auto" w:sz="4" w:space="0"/>
                  </w:tcBorders>
                  <w:vAlign w:val="center"/>
                </w:tcPr>
                <w:p>
                  <w:pPr>
                    <w:pStyle w:val="95"/>
                    <w:rPr>
                      <w:color w:val="auto"/>
                      <w:sz w:val="21"/>
                      <w:szCs w:val="21"/>
                    </w:rPr>
                  </w:pPr>
                  <w:r>
                    <w:rPr>
                      <w:color w:val="auto"/>
                      <w:sz w:val="21"/>
                      <w:szCs w:val="21"/>
                    </w:rPr>
                    <w:t>相符性分析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837" w:type="dxa"/>
                  <w:tcBorders>
                    <w:top w:val="single" w:color="auto" w:sz="4" w:space="0"/>
                    <w:bottom w:val="single" w:color="auto" w:sz="4" w:space="0"/>
                    <w:right w:val="single" w:color="auto" w:sz="4" w:space="0"/>
                  </w:tcBorders>
                  <w:vAlign w:val="center"/>
                </w:tcPr>
                <w:p>
                  <w:pPr>
                    <w:pStyle w:val="95"/>
                    <w:rPr>
                      <w:color w:val="auto"/>
                      <w:sz w:val="21"/>
                      <w:szCs w:val="21"/>
                    </w:rPr>
                  </w:pPr>
                  <w:r>
                    <w:rPr>
                      <w:color w:val="auto"/>
                      <w:sz w:val="21"/>
                      <w:szCs w:val="21"/>
                    </w:rPr>
                    <w:t>1</w:t>
                  </w:r>
                </w:p>
              </w:tc>
              <w:tc>
                <w:tcPr>
                  <w:tcW w:w="3280" w:type="dxa"/>
                  <w:tcBorders>
                    <w:top w:val="single" w:color="auto" w:sz="4" w:space="0"/>
                    <w:left w:val="single" w:color="auto" w:sz="4" w:space="0"/>
                    <w:bottom w:val="single" w:color="auto" w:sz="4" w:space="0"/>
                    <w:right w:val="single" w:color="auto" w:sz="4" w:space="0"/>
                  </w:tcBorders>
                  <w:vAlign w:val="center"/>
                </w:tcPr>
                <w:p>
                  <w:pPr>
                    <w:pStyle w:val="95"/>
                    <w:rPr>
                      <w:color w:val="auto"/>
                      <w:sz w:val="21"/>
                      <w:szCs w:val="21"/>
                    </w:rPr>
                  </w:pPr>
                  <w:r>
                    <w:rPr>
                      <w:color w:val="auto"/>
                      <w:sz w:val="21"/>
                      <w:szCs w:val="21"/>
                    </w:rPr>
                    <w:t>《产业结构调整指导目录（2011年本）》（2013年修正）</w:t>
                  </w:r>
                </w:p>
              </w:tc>
              <w:tc>
                <w:tcPr>
                  <w:tcW w:w="5295" w:type="dxa"/>
                  <w:tcBorders>
                    <w:top w:val="single" w:color="auto" w:sz="4" w:space="0"/>
                    <w:left w:val="single" w:color="auto" w:sz="4" w:space="0"/>
                    <w:bottom w:val="single" w:color="auto" w:sz="4" w:space="0"/>
                  </w:tcBorders>
                  <w:vAlign w:val="center"/>
                </w:tcPr>
                <w:p>
                  <w:pPr>
                    <w:pStyle w:val="95"/>
                    <w:rPr>
                      <w:color w:val="auto"/>
                      <w:sz w:val="21"/>
                      <w:szCs w:val="21"/>
                    </w:rPr>
                  </w:pPr>
                  <w:r>
                    <w:rPr>
                      <w:color w:val="auto"/>
                      <w:sz w:val="21"/>
                      <w:szCs w:val="21"/>
                    </w:rPr>
                    <w:t>经查《产业结构调整指导目录（2011年本）》（2013年修正），项目不在《产业结构调整指导目录（2011年本）》（2013年修正）限制类和淘汰类中，为允许类，符合该文件的要求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837" w:type="dxa"/>
                  <w:tcBorders>
                    <w:top w:val="single" w:color="auto" w:sz="4" w:space="0"/>
                    <w:bottom w:val="single" w:color="auto" w:sz="4" w:space="0"/>
                    <w:right w:val="single" w:color="auto" w:sz="4" w:space="0"/>
                  </w:tcBorders>
                  <w:vAlign w:val="center"/>
                </w:tcPr>
                <w:p>
                  <w:pPr>
                    <w:pStyle w:val="95"/>
                    <w:rPr>
                      <w:color w:val="auto"/>
                      <w:sz w:val="21"/>
                      <w:szCs w:val="21"/>
                    </w:rPr>
                  </w:pPr>
                  <w:r>
                    <w:rPr>
                      <w:color w:val="auto"/>
                      <w:sz w:val="21"/>
                      <w:szCs w:val="21"/>
                    </w:rPr>
                    <w:t>2</w:t>
                  </w:r>
                </w:p>
              </w:tc>
              <w:tc>
                <w:tcPr>
                  <w:tcW w:w="3280" w:type="dxa"/>
                  <w:tcBorders>
                    <w:top w:val="single" w:color="auto" w:sz="4" w:space="0"/>
                    <w:left w:val="single" w:color="auto" w:sz="4" w:space="0"/>
                    <w:bottom w:val="single" w:color="auto" w:sz="4" w:space="0"/>
                    <w:right w:val="single" w:color="auto" w:sz="4" w:space="0"/>
                  </w:tcBorders>
                  <w:vAlign w:val="center"/>
                </w:tcPr>
                <w:p>
                  <w:pPr>
                    <w:pStyle w:val="95"/>
                    <w:rPr>
                      <w:color w:val="auto"/>
                      <w:sz w:val="21"/>
                      <w:szCs w:val="21"/>
                    </w:rPr>
                  </w:pPr>
                  <w:r>
                    <w:rPr>
                      <w:color w:val="auto"/>
                      <w:sz w:val="21"/>
                      <w:szCs w:val="21"/>
                    </w:rPr>
                    <w:t>《江苏省工业和信息产业结构调整指导目录》（2012年本）</w:t>
                  </w:r>
                </w:p>
              </w:tc>
              <w:tc>
                <w:tcPr>
                  <w:tcW w:w="5295" w:type="dxa"/>
                  <w:tcBorders>
                    <w:top w:val="single" w:color="auto" w:sz="4" w:space="0"/>
                    <w:left w:val="single" w:color="auto" w:sz="4" w:space="0"/>
                    <w:bottom w:val="single" w:color="auto" w:sz="4" w:space="0"/>
                  </w:tcBorders>
                  <w:vAlign w:val="center"/>
                </w:tcPr>
                <w:p>
                  <w:pPr>
                    <w:pStyle w:val="95"/>
                    <w:rPr>
                      <w:color w:val="auto"/>
                      <w:sz w:val="21"/>
                      <w:szCs w:val="21"/>
                    </w:rPr>
                  </w:pPr>
                  <w:r>
                    <w:rPr>
                      <w:color w:val="auto"/>
                      <w:sz w:val="21"/>
                      <w:szCs w:val="21"/>
                    </w:rPr>
                    <w:t>经查《江苏省工业和信息产业结构调整指导目录》（2012年本），项目不在《江苏省工业和信息产业结构调整指导目录》（2012年本）中的限制及淘汰类，为允许类，符合该文件的要求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837" w:type="dxa"/>
                  <w:tcBorders>
                    <w:top w:val="single" w:color="auto" w:sz="4" w:space="0"/>
                    <w:bottom w:val="single" w:color="auto" w:sz="4" w:space="0"/>
                    <w:right w:val="single" w:color="auto" w:sz="4" w:space="0"/>
                  </w:tcBorders>
                  <w:vAlign w:val="center"/>
                </w:tcPr>
                <w:p>
                  <w:pPr>
                    <w:pStyle w:val="95"/>
                    <w:rPr>
                      <w:color w:val="auto"/>
                      <w:sz w:val="21"/>
                      <w:szCs w:val="21"/>
                    </w:rPr>
                  </w:pPr>
                  <w:r>
                    <w:rPr>
                      <w:color w:val="auto"/>
                      <w:sz w:val="21"/>
                      <w:szCs w:val="21"/>
                    </w:rPr>
                    <w:t>3</w:t>
                  </w:r>
                </w:p>
              </w:tc>
              <w:tc>
                <w:tcPr>
                  <w:tcW w:w="3280" w:type="dxa"/>
                  <w:tcBorders>
                    <w:top w:val="single" w:color="auto" w:sz="4" w:space="0"/>
                    <w:left w:val="single" w:color="auto" w:sz="4" w:space="0"/>
                    <w:bottom w:val="single" w:color="auto" w:sz="4" w:space="0"/>
                    <w:right w:val="single" w:color="auto" w:sz="4" w:space="0"/>
                  </w:tcBorders>
                  <w:vAlign w:val="center"/>
                </w:tcPr>
                <w:p>
                  <w:pPr>
                    <w:pStyle w:val="95"/>
                    <w:rPr>
                      <w:color w:val="auto"/>
                      <w:sz w:val="21"/>
                      <w:szCs w:val="21"/>
                    </w:rPr>
                  </w:pPr>
                  <w:r>
                    <w:rPr>
                      <w:color w:val="auto"/>
                      <w:sz w:val="21"/>
                      <w:szCs w:val="21"/>
                    </w:rPr>
                    <w:t>《江苏省工业和信息产业结构调整限制淘汰目录和能耗限额的通知》（苏政办发[2015]118号）</w:t>
                  </w:r>
                </w:p>
              </w:tc>
              <w:tc>
                <w:tcPr>
                  <w:tcW w:w="5295" w:type="dxa"/>
                  <w:tcBorders>
                    <w:top w:val="single" w:color="auto" w:sz="4" w:space="0"/>
                    <w:left w:val="single" w:color="auto" w:sz="4" w:space="0"/>
                    <w:bottom w:val="single" w:color="auto" w:sz="4" w:space="0"/>
                  </w:tcBorders>
                  <w:vAlign w:val="center"/>
                </w:tcPr>
                <w:p>
                  <w:pPr>
                    <w:pStyle w:val="95"/>
                    <w:rPr>
                      <w:color w:val="auto"/>
                      <w:sz w:val="21"/>
                      <w:szCs w:val="21"/>
                    </w:rPr>
                  </w:pPr>
                  <w:r>
                    <w:rPr>
                      <w:color w:val="auto"/>
                      <w:sz w:val="21"/>
                      <w:szCs w:val="21"/>
                    </w:rPr>
                    <w:t>经查《江苏省工业和信息产业结构调整限制淘汰目录和能耗限额的通知》（苏政办发[2015]118号），项目不在《省发展改革委江苏省工业和信息产业结构调整限制淘汰目录和能耗限额的通知》（苏政办发[2015]118号）中淘汰类和限制类，符合该文件的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837" w:type="dxa"/>
                  <w:tcBorders>
                    <w:top w:val="single" w:color="auto" w:sz="4" w:space="0"/>
                    <w:bottom w:val="single" w:color="auto" w:sz="4" w:space="0"/>
                    <w:right w:val="single" w:color="auto" w:sz="4" w:space="0"/>
                  </w:tcBorders>
                  <w:vAlign w:val="center"/>
                </w:tcPr>
                <w:p>
                  <w:pPr>
                    <w:pStyle w:val="95"/>
                    <w:rPr>
                      <w:color w:val="auto"/>
                      <w:sz w:val="21"/>
                      <w:szCs w:val="21"/>
                    </w:rPr>
                  </w:pPr>
                  <w:r>
                    <w:rPr>
                      <w:color w:val="auto"/>
                      <w:sz w:val="21"/>
                      <w:szCs w:val="21"/>
                    </w:rPr>
                    <w:t>4</w:t>
                  </w:r>
                </w:p>
              </w:tc>
              <w:tc>
                <w:tcPr>
                  <w:tcW w:w="3280" w:type="dxa"/>
                  <w:tcBorders>
                    <w:top w:val="single" w:color="auto" w:sz="4" w:space="0"/>
                    <w:left w:val="single" w:color="auto" w:sz="4" w:space="0"/>
                    <w:bottom w:val="single" w:color="auto" w:sz="4" w:space="0"/>
                    <w:right w:val="single" w:color="auto" w:sz="4" w:space="0"/>
                  </w:tcBorders>
                  <w:vAlign w:val="center"/>
                </w:tcPr>
                <w:p>
                  <w:pPr>
                    <w:pStyle w:val="95"/>
                    <w:rPr>
                      <w:color w:val="auto"/>
                      <w:sz w:val="21"/>
                      <w:szCs w:val="21"/>
                    </w:rPr>
                  </w:pPr>
                  <w:r>
                    <w:rPr>
                      <w:color w:val="auto"/>
                      <w:sz w:val="21"/>
                      <w:szCs w:val="21"/>
                    </w:rPr>
                    <w:t>《限制用地项目目录（2012年本）》《禁止用地项目目录（2012年本）》</w:t>
                  </w:r>
                </w:p>
              </w:tc>
              <w:tc>
                <w:tcPr>
                  <w:tcW w:w="5295" w:type="dxa"/>
                  <w:tcBorders>
                    <w:top w:val="single" w:color="auto" w:sz="4" w:space="0"/>
                    <w:left w:val="single" w:color="auto" w:sz="4" w:space="0"/>
                    <w:bottom w:val="single" w:color="auto" w:sz="4" w:space="0"/>
                  </w:tcBorders>
                  <w:vAlign w:val="center"/>
                </w:tcPr>
                <w:p>
                  <w:pPr>
                    <w:pStyle w:val="95"/>
                    <w:rPr>
                      <w:color w:val="auto"/>
                      <w:sz w:val="21"/>
                      <w:szCs w:val="21"/>
                    </w:rPr>
                  </w:pPr>
                  <w:r>
                    <w:rPr>
                      <w:color w:val="auto"/>
                      <w:sz w:val="21"/>
                      <w:szCs w:val="21"/>
                    </w:rPr>
                    <w:t>本项目不在《限制用地项目目录（2012年本）》、《禁止用地项目目录（2012年本）》中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837" w:type="dxa"/>
                  <w:tcBorders>
                    <w:top w:val="single" w:color="auto" w:sz="4" w:space="0"/>
                    <w:bottom w:val="single" w:color="auto" w:sz="4" w:space="0"/>
                    <w:right w:val="single" w:color="auto" w:sz="4" w:space="0"/>
                  </w:tcBorders>
                  <w:vAlign w:val="center"/>
                </w:tcPr>
                <w:p>
                  <w:pPr>
                    <w:pStyle w:val="95"/>
                    <w:rPr>
                      <w:color w:val="auto"/>
                      <w:sz w:val="21"/>
                      <w:szCs w:val="21"/>
                    </w:rPr>
                  </w:pPr>
                  <w:r>
                    <w:rPr>
                      <w:color w:val="auto"/>
                      <w:sz w:val="21"/>
                      <w:szCs w:val="21"/>
                    </w:rPr>
                    <w:t>5</w:t>
                  </w:r>
                </w:p>
              </w:tc>
              <w:tc>
                <w:tcPr>
                  <w:tcW w:w="3280" w:type="dxa"/>
                  <w:tcBorders>
                    <w:top w:val="single" w:color="auto" w:sz="4" w:space="0"/>
                    <w:left w:val="single" w:color="auto" w:sz="4" w:space="0"/>
                    <w:bottom w:val="single" w:color="auto" w:sz="4" w:space="0"/>
                    <w:right w:val="single" w:color="auto" w:sz="4" w:space="0"/>
                  </w:tcBorders>
                  <w:vAlign w:val="center"/>
                </w:tcPr>
                <w:p>
                  <w:pPr>
                    <w:pStyle w:val="95"/>
                    <w:rPr>
                      <w:color w:val="auto"/>
                      <w:sz w:val="21"/>
                      <w:szCs w:val="21"/>
                    </w:rPr>
                  </w:pPr>
                  <w:r>
                    <w:rPr>
                      <w:color w:val="auto"/>
                      <w:sz w:val="21"/>
                      <w:szCs w:val="21"/>
                    </w:rPr>
                    <w:t>《江苏省限制用地项目目录（2013年本）》、《江苏省禁止用地项目目录（2013年本）》</w:t>
                  </w:r>
                </w:p>
              </w:tc>
              <w:tc>
                <w:tcPr>
                  <w:tcW w:w="5295" w:type="dxa"/>
                  <w:tcBorders>
                    <w:top w:val="single" w:color="auto" w:sz="4" w:space="0"/>
                    <w:left w:val="single" w:color="auto" w:sz="4" w:space="0"/>
                    <w:bottom w:val="single" w:color="auto" w:sz="4" w:space="0"/>
                  </w:tcBorders>
                  <w:vAlign w:val="center"/>
                </w:tcPr>
                <w:p>
                  <w:pPr>
                    <w:pStyle w:val="95"/>
                    <w:rPr>
                      <w:color w:val="auto"/>
                      <w:sz w:val="21"/>
                      <w:szCs w:val="21"/>
                    </w:rPr>
                  </w:pPr>
                  <w:r>
                    <w:rPr>
                      <w:color w:val="auto"/>
                      <w:sz w:val="21"/>
                      <w:szCs w:val="21"/>
                    </w:rPr>
                    <w:t>本项目不在《江苏省限制用地项目目录（2013年本）》、《江苏省禁止用地项目目录（2013年本）》中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37" w:type="dxa"/>
                  <w:tcBorders>
                    <w:top w:val="single" w:color="auto" w:sz="4" w:space="0"/>
                    <w:bottom w:val="single" w:color="auto" w:sz="4" w:space="0"/>
                    <w:right w:val="single" w:color="auto" w:sz="4" w:space="0"/>
                  </w:tcBorders>
                  <w:vAlign w:val="center"/>
                </w:tcPr>
                <w:p>
                  <w:pPr>
                    <w:pStyle w:val="95"/>
                    <w:rPr>
                      <w:color w:val="auto"/>
                      <w:sz w:val="21"/>
                      <w:szCs w:val="21"/>
                    </w:rPr>
                  </w:pPr>
                  <w:r>
                    <w:rPr>
                      <w:color w:val="auto"/>
                      <w:sz w:val="21"/>
                      <w:szCs w:val="21"/>
                    </w:rPr>
                    <w:t>6</w:t>
                  </w:r>
                </w:p>
              </w:tc>
              <w:tc>
                <w:tcPr>
                  <w:tcW w:w="3280" w:type="dxa"/>
                  <w:tcBorders>
                    <w:top w:val="single" w:color="auto" w:sz="4" w:space="0"/>
                    <w:left w:val="single" w:color="auto" w:sz="4" w:space="0"/>
                    <w:bottom w:val="single" w:color="auto" w:sz="4" w:space="0"/>
                    <w:right w:val="single" w:color="auto" w:sz="4" w:space="0"/>
                  </w:tcBorders>
                  <w:vAlign w:val="center"/>
                </w:tcPr>
                <w:p>
                  <w:pPr>
                    <w:pStyle w:val="95"/>
                    <w:rPr>
                      <w:color w:val="auto"/>
                      <w:sz w:val="21"/>
                      <w:szCs w:val="21"/>
                    </w:rPr>
                  </w:pPr>
                  <w:r>
                    <w:rPr>
                      <w:color w:val="auto"/>
                      <w:sz w:val="21"/>
                      <w:szCs w:val="21"/>
                    </w:rPr>
                    <w:t>《市场准入负面清单（2018版本）》</w:t>
                  </w:r>
                </w:p>
              </w:tc>
              <w:tc>
                <w:tcPr>
                  <w:tcW w:w="5295" w:type="dxa"/>
                  <w:tcBorders>
                    <w:top w:val="single" w:color="auto" w:sz="4" w:space="0"/>
                    <w:left w:val="single" w:color="auto" w:sz="4" w:space="0"/>
                    <w:bottom w:val="single" w:color="auto" w:sz="4" w:space="0"/>
                  </w:tcBorders>
                  <w:vAlign w:val="center"/>
                </w:tcPr>
                <w:p>
                  <w:pPr>
                    <w:pStyle w:val="95"/>
                    <w:rPr>
                      <w:color w:val="auto"/>
                      <w:sz w:val="21"/>
                      <w:szCs w:val="21"/>
                    </w:rPr>
                  </w:pPr>
                  <w:r>
                    <w:rPr>
                      <w:color w:val="auto"/>
                      <w:sz w:val="21"/>
                      <w:szCs w:val="21"/>
                    </w:rPr>
                    <w:t>经查《市场准入负面清单（2018版本）》，本项目不在其禁止准入类和限制准入类中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837" w:type="dxa"/>
                  <w:tcBorders>
                    <w:top w:val="single" w:color="auto" w:sz="4" w:space="0"/>
                    <w:bottom w:val="single" w:color="auto" w:sz="4" w:space="0"/>
                    <w:right w:val="single" w:color="auto" w:sz="4" w:space="0"/>
                  </w:tcBorders>
                  <w:vAlign w:val="center"/>
                </w:tcPr>
                <w:p>
                  <w:pPr>
                    <w:pStyle w:val="95"/>
                    <w:rPr>
                      <w:color w:val="auto"/>
                      <w:sz w:val="21"/>
                      <w:szCs w:val="21"/>
                    </w:rPr>
                  </w:pPr>
                  <w:r>
                    <w:rPr>
                      <w:color w:val="auto"/>
                      <w:sz w:val="21"/>
                      <w:szCs w:val="21"/>
                    </w:rPr>
                    <w:t>7</w:t>
                  </w:r>
                </w:p>
              </w:tc>
              <w:tc>
                <w:tcPr>
                  <w:tcW w:w="3280" w:type="dxa"/>
                  <w:tcBorders>
                    <w:top w:val="single" w:color="auto" w:sz="4" w:space="0"/>
                    <w:left w:val="single" w:color="auto" w:sz="4" w:space="0"/>
                    <w:bottom w:val="single" w:color="auto" w:sz="4" w:space="0"/>
                    <w:right w:val="single" w:color="auto" w:sz="4" w:space="0"/>
                  </w:tcBorders>
                  <w:vAlign w:val="center"/>
                </w:tcPr>
                <w:p>
                  <w:pPr>
                    <w:pStyle w:val="95"/>
                    <w:rPr>
                      <w:color w:val="auto"/>
                      <w:sz w:val="21"/>
                      <w:szCs w:val="21"/>
                    </w:rPr>
                  </w:pPr>
                  <w:r>
                    <w:rPr>
                      <w:color w:val="auto"/>
                      <w:sz w:val="21"/>
                      <w:szCs w:val="21"/>
                    </w:rPr>
                    <w:t>《江苏省太湖水污染防治条例》（2018年修订）</w:t>
                  </w:r>
                </w:p>
              </w:tc>
              <w:tc>
                <w:tcPr>
                  <w:tcW w:w="5295" w:type="dxa"/>
                  <w:tcBorders>
                    <w:top w:val="single" w:color="auto" w:sz="4" w:space="0"/>
                    <w:left w:val="single" w:color="auto" w:sz="4" w:space="0"/>
                    <w:bottom w:val="single" w:color="auto" w:sz="4" w:space="0"/>
                  </w:tcBorders>
                  <w:vAlign w:val="center"/>
                </w:tcPr>
                <w:p>
                  <w:pPr>
                    <w:pStyle w:val="95"/>
                    <w:rPr>
                      <w:color w:val="auto"/>
                      <w:sz w:val="21"/>
                      <w:szCs w:val="21"/>
                    </w:rPr>
                  </w:pPr>
                  <w:r>
                    <w:rPr>
                      <w:color w:val="auto"/>
                      <w:sz w:val="21"/>
                      <w:szCs w:val="21"/>
                    </w:rPr>
                    <w:t>根据《江苏省太湖水污染防治条例》（2018年修订）第四十三条规定：太湖流域一、二、三级保护区禁止下列行为：“（一）新建、改建、扩建化学制浆造纸、制革、酿造、染料、印染、电镀以及其他排放含磷、氮等污染物的企业和项目，城镇污水集中处理等环境基础设施项目和第四十六条规定的情形除外……”本项目位于太湖流域三级保护区，项目属于环境保护专用设备制造，不在上述禁止和限制行业范围内，并且无生产废水排放，因此符合该条例规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37" w:type="dxa"/>
                  <w:tcBorders>
                    <w:top w:val="single" w:color="auto" w:sz="4" w:space="0"/>
                    <w:bottom w:val="single" w:color="auto" w:sz="4" w:space="0"/>
                    <w:right w:val="single" w:color="auto" w:sz="4" w:space="0"/>
                  </w:tcBorders>
                  <w:vAlign w:val="center"/>
                </w:tcPr>
                <w:p>
                  <w:pPr>
                    <w:pStyle w:val="95"/>
                    <w:rPr>
                      <w:color w:val="auto"/>
                      <w:sz w:val="21"/>
                      <w:szCs w:val="21"/>
                    </w:rPr>
                  </w:pPr>
                  <w:r>
                    <w:rPr>
                      <w:color w:val="auto"/>
                      <w:sz w:val="21"/>
                      <w:szCs w:val="21"/>
                    </w:rPr>
                    <w:t>8</w:t>
                  </w:r>
                </w:p>
              </w:tc>
              <w:tc>
                <w:tcPr>
                  <w:tcW w:w="3280" w:type="dxa"/>
                  <w:tcBorders>
                    <w:top w:val="single" w:color="auto" w:sz="4" w:space="0"/>
                    <w:left w:val="single" w:color="auto" w:sz="4" w:space="0"/>
                    <w:bottom w:val="single" w:color="auto" w:sz="4" w:space="0"/>
                    <w:right w:val="single" w:color="auto" w:sz="4" w:space="0"/>
                  </w:tcBorders>
                  <w:vAlign w:val="center"/>
                </w:tcPr>
                <w:p>
                  <w:pPr>
                    <w:pStyle w:val="95"/>
                    <w:rPr>
                      <w:color w:val="auto"/>
                      <w:sz w:val="21"/>
                      <w:szCs w:val="21"/>
                    </w:rPr>
                  </w:pPr>
                  <w:r>
                    <w:rPr>
                      <w:color w:val="auto"/>
                      <w:sz w:val="21"/>
                      <w:szCs w:val="21"/>
                    </w:rPr>
                    <w:t>《苏州市主体功能区实施意见》</w:t>
                  </w:r>
                </w:p>
              </w:tc>
              <w:tc>
                <w:tcPr>
                  <w:tcW w:w="5295" w:type="dxa"/>
                  <w:tcBorders>
                    <w:top w:val="single" w:color="auto" w:sz="4" w:space="0"/>
                    <w:left w:val="single" w:color="auto" w:sz="4" w:space="0"/>
                    <w:bottom w:val="single" w:color="auto" w:sz="4" w:space="0"/>
                  </w:tcBorders>
                  <w:vAlign w:val="center"/>
                </w:tcPr>
                <w:p>
                  <w:pPr>
                    <w:pStyle w:val="95"/>
                    <w:rPr>
                      <w:color w:val="auto"/>
                      <w:sz w:val="21"/>
                      <w:szCs w:val="21"/>
                    </w:rPr>
                  </w:pPr>
                  <w:r>
                    <w:rPr>
                      <w:color w:val="auto"/>
                      <w:sz w:val="21"/>
                      <w:szCs w:val="21"/>
                    </w:rPr>
                    <w:t>经查《苏州市主体功能区实施意见》，本项目不在其限制开发区域和禁止开发区域内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37" w:type="dxa"/>
                  <w:tcBorders>
                    <w:top w:val="single" w:color="auto" w:sz="4" w:space="0"/>
                    <w:bottom w:val="single" w:color="auto" w:sz="4" w:space="0"/>
                    <w:right w:val="single" w:color="auto" w:sz="4" w:space="0"/>
                  </w:tcBorders>
                  <w:vAlign w:val="center"/>
                </w:tcPr>
                <w:p>
                  <w:pPr>
                    <w:pStyle w:val="95"/>
                    <w:rPr>
                      <w:color w:val="auto"/>
                      <w:sz w:val="21"/>
                      <w:szCs w:val="21"/>
                    </w:rPr>
                  </w:pPr>
                  <w:r>
                    <w:rPr>
                      <w:color w:val="auto"/>
                      <w:sz w:val="21"/>
                      <w:szCs w:val="21"/>
                    </w:rPr>
                    <w:t>9</w:t>
                  </w:r>
                </w:p>
              </w:tc>
              <w:tc>
                <w:tcPr>
                  <w:tcW w:w="3280" w:type="dxa"/>
                  <w:tcBorders>
                    <w:top w:val="single" w:color="auto" w:sz="4" w:space="0"/>
                    <w:left w:val="single" w:color="auto" w:sz="4" w:space="0"/>
                    <w:bottom w:val="single" w:color="auto" w:sz="4" w:space="0"/>
                    <w:right w:val="single" w:color="auto" w:sz="4" w:space="0"/>
                  </w:tcBorders>
                  <w:vAlign w:val="center"/>
                </w:tcPr>
                <w:p>
                  <w:pPr>
                    <w:pStyle w:val="95"/>
                    <w:rPr>
                      <w:color w:val="auto"/>
                      <w:sz w:val="21"/>
                      <w:szCs w:val="21"/>
                    </w:rPr>
                  </w:pPr>
                  <w:r>
                    <w:rPr>
                      <w:color w:val="auto"/>
                      <w:sz w:val="21"/>
                      <w:szCs w:val="21"/>
                    </w:rPr>
                    <w:t>《苏州市产业发展导向目录（2007年本）》</w:t>
                  </w:r>
                </w:p>
              </w:tc>
              <w:tc>
                <w:tcPr>
                  <w:tcW w:w="5295" w:type="dxa"/>
                  <w:tcBorders>
                    <w:top w:val="single" w:color="auto" w:sz="4" w:space="0"/>
                    <w:left w:val="single" w:color="auto" w:sz="4" w:space="0"/>
                    <w:bottom w:val="single" w:color="auto" w:sz="4" w:space="0"/>
                  </w:tcBorders>
                  <w:vAlign w:val="center"/>
                </w:tcPr>
                <w:p>
                  <w:pPr>
                    <w:pStyle w:val="95"/>
                    <w:rPr>
                      <w:color w:val="auto"/>
                      <w:sz w:val="21"/>
                      <w:szCs w:val="21"/>
                    </w:rPr>
                  </w:pPr>
                  <w:r>
                    <w:rPr>
                      <w:color w:val="auto"/>
                      <w:sz w:val="21"/>
                      <w:szCs w:val="21"/>
                    </w:rPr>
                    <w:t>本项目不属于《苏州市产业发展导向目录（2007年本）》中限制、禁止类、淘汰类，属于允许类。</w:t>
                  </w:r>
                </w:p>
              </w:tc>
            </w:tr>
          </w:tbl>
          <w:p>
            <w:pPr>
              <w:ind w:firstLine="480" w:firstLineChars="200"/>
              <w:rPr>
                <w:color w:val="auto"/>
              </w:rPr>
            </w:pPr>
            <w:r>
              <w:rPr>
                <w:color w:val="auto"/>
              </w:rPr>
              <w:t>综上所述，本项目符合“三线一单”要求。</w:t>
            </w:r>
          </w:p>
          <w:p>
            <w:pPr>
              <w:rPr>
                <w:color w:val="auto"/>
                <w:highlight w:val="none"/>
              </w:rPr>
            </w:pPr>
            <w:r>
              <w:rPr>
                <w:color w:val="auto"/>
              </w:rPr>
              <w:t>8、与《太湖流域管理条例》、</w:t>
            </w:r>
            <w:r>
              <w:rPr>
                <w:color w:val="auto"/>
                <w:highlight w:val="none"/>
              </w:rPr>
              <w:t>《江苏省太湖水污染防治条例》相符性</w:t>
            </w:r>
          </w:p>
          <w:p>
            <w:pPr>
              <w:ind w:firstLine="480" w:firstLineChars="200"/>
              <w:rPr>
                <w:color w:val="auto"/>
                <w:highlight w:val="none"/>
              </w:rPr>
            </w:pPr>
            <w:r>
              <w:rPr>
                <w:color w:val="auto"/>
                <w:highlight w:val="none"/>
              </w:rPr>
              <w:t>本项目地距离太湖最近距离</w:t>
            </w:r>
            <w:r>
              <w:rPr>
                <w:rFonts w:hint="eastAsia"/>
                <w:color w:val="auto"/>
                <w:highlight w:val="none"/>
                <w:lang w:val="en-US" w:eastAsia="zh-CN"/>
              </w:rPr>
              <w:t>9000</w:t>
            </w:r>
            <w:r>
              <w:rPr>
                <w:color w:val="auto"/>
                <w:highlight w:val="none"/>
              </w:rPr>
              <w:t>m，根据江苏省人民政府办公厅文件《省政府办公厅关于公布江苏省太湖流域三级保护区范围的通知》（苏政办发[2012]221号），本项目位于太湖重要保护区三级保护区范围内。</w:t>
            </w:r>
          </w:p>
          <w:p>
            <w:pPr>
              <w:ind w:firstLine="480" w:firstLineChars="200"/>
              <w:rPr>
                <w:color w:val="auto"/>
              </w:rPr>
            </w:pPr>
            <w:r>
              <w:rPr>
                <w:color w:val="auto"/>
              </w:rPr>
              <w:t>对照《太湖流域管理条例》、《江苏省太湖水污染防治条例》（2018年1月24日江苏省第十二届人民代表大会常务委员会第三十四次会议修正），本项目相符性分析如下表。</w:t>
            </w:r>
          </w:p>
          <w:p>
            <w:pPr>
              <w:ind w:firstLine="422" w:firstLineChars="200"/>
              <w:jc w:val="center"/>
              <w:rPr>
                <w:b/>
                <w:bCs/>
                <w:color w:val="auto"/>
                <w:sz w:val="21"/>
                <w:szCs w:val="21"/>
              </w:rPr>
            </w:pPr>
            <w:r>
              <w:rPr>
                <w:b/>
                <w:bCs/>
                <w:color w:val="auto"/>
                <w:sz w:val="21"/>
                <w:szCs w:val="21"/>
              </w:rPr>
              <w:t>表1-</w:t>
            </w:r>
            <w:r>
              <w:rPr>
                <w:rFonts w:hint="eastAsia"/>
                <w:b/>
                <w:bCs/>
                <w:color w:val="auto"/>
                <w:sz w:val="21"/>
                <w:szCs w:val="21"/>
                <w:lang w:val="en-US" w:eastAsia="zh-CN"/>
              </w:rPr>
              <w:t>7</w:t>
            </w:r>
            <w:r>
              <w:rPr>
                <w:b/>
                <w:bCs/>
                <w:color w:val="auto"/>
                <w:sz w:val="21"/>
                <w:szCs w:val="21"/>
              </w:rPr>
              <w:t>《太湖流域管理条例》及《江苏省太湖水污染防治条例》有关条例及相符性分析一览表</w:t>
            </w:r>
          </w:p>
          <w:tbl>
            <w:tblPr>
              <w:tblStyle w:val="26"/>
              <w:tblW w:w="9412" w:type="dxa"/>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57" w:type="dxa"/>
                <w:bottom w:w="0" w:type="dxa"/>
                <w:right w:w="57" w:type="dxa"/>
              </w:tblCellMar>
            </w:tblPr>
            <w:tblGrid>
              <w:gridCol w:w="1235"/>
              <w:gridCol w:w="4871"/>
              <w:gridCol w:w="2251"/>
              <w:gridCol w:w="105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1235" w:type="dxa"/>
                  <w:vAlign w:val="center"/>
                </w:tcPr>
                <w:p>
                  <w:pPr>
                    <w:spacing w:line="320" w:lineRule="exact"/>
                    <w:jc w:val="center"/>
                    <w:rPr>
                      <w:color w:val="auto"/>
                      <w:sz w:val="21"/>
                      <w:szCs w:val="21"/>
                    </w:rPr>
                  </w:pPr>
                  <w:r>
                    <w:rPr>
                      <w:color w:val="auto"/>
                      <w:sz w:val="21"/>
                      <w:szCs w:val="21"/>
                    </w:rPr>
                    <w:t>条例名称</w:t>
                  </w:r>
                </w:p>
              </w:tc>
              <w:tc>
                <w:tcPr>
                  <w:tcW w:w="4871" w:type="dxa"/>
                  <w:vAlign w:val="center"/>
                </w:tcPr>
                <w:p>
                  <w:pPr>
                    <w:spacing w:line="276" w:lineRule="auto"/>
                    <w:jc w:val="center"/>
                    <w:rPr>
                      <w:color w:val="auto"/>
                      <w:sz w:val="21"/>
                      <w:szCs w:val="21"/>
                    </w:rPr>
                  </w:pPr>
                  <w:r>
                    <w:rPr>
                      <w:color w:val="auto"/>
                      <w:sz w:val="21"/>
                      <w:szCs w:val="21"/>
                    </w:rPr>
                    <w:t>管理要求</w:t>
                  </w:r>
                </w:p>
              </w:tc>
              <w:tc>
                <w:tcPr>
                  <w:tcW w:w="2251" w:type="dxa"/>
                  <w:vAlign w:val="center"/>
                </w:tcPr>
                <w:p>
                  <w:pPr>
                    <w:spacing w:line="276" w:lineRule="auto"/>
                    <w:jc w:val="center"/>
                    <w:rPr>
                      <w:color w:val="auto"/>
                      <w:sz w:val="21"/>
                      <w:szCs w:val="21"/>
                    </w:rPr>
                  </w:pPr>
                  <w:r>
                    <w:rPr>
                      <w:color w:val="auto"/>
                      <w:sz w:val="21"/>
                      <w:szCs w:val="21"/>
                    </w:rPr>
                    <w:t>本项目管理要求</w:t>
                  </w:r>
                </w:p>
              </w:tc>
              <w:tc>
                <w:tcPr>
                  <w:tcW w:w="1055" w:type="dxa"/>
                  <w:vAlign w:val="center"/>
                </w:tcPr>
                <w:p>
                  <w:pPr>
                    <w:spacing w:line="276" w:lineRule="auto"/>
                    <w:jc w:val="center"/>
                    <w:rPr>
                      <w:color w:val="auto"/>
                      <w:sz w:val="21"/>
                      <w:szCs w:val="21"/>
                    </w:rPr>
                  </w:pPr>
                  <w:r>
                    <w:rPr>
                      <w:color w:val="auto"/>
                      <w:sz w:val="21"/>
                      <w:szCs w:val="21"/>
                    </w:rPr>
                    <w:t>相符性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1235" w:type="dxa"/>
                  <w:vMerge w:val="restart"/>
                  <w:vAlign w:val="center"/>
                </w:tcPr>
                <w:p>
                  <w:pPr>
                    <w:spacing w:line="320" w:lineRule="exact"/>
                    <w:jc w:val="center"/>
                    <w:rPr>
                      <w:color w:val="auto"/>
                      <w:sz w:val="21"/>
                      <w:szCs w:val="21"/>
                    </w:rPr>
                  </w:pPr>
                  <w:r>
                    <w:rPr>
                      <w:color w:val="auto"/>
                      <w:sz w:val="21"/>
                      <w:szCs w:val="21"/>
                    </w:rPr>
                    <w:t>《江苏省太湖水污染防治条例》（2018年5月1日）</w:t>
                  </w:r>
                </w:p>
              </w:tc>
              <w:tc>
                <w:tcPr>
                  <w:tcW w:w="4871" w:type="dxa"/>
                  <w:vAlign w:val="center"/>
                </w:tcPr>
                <w:p>
                  <w:pPr>
                    <w:spacing w:line="276" w:lineRule="auto"/>
                    <w:jc w:val="center"/>
                    <w:rPr>
                      <w:color w:val="auto"/>
                      <w:sz w:val="21"/>
                      <w:szCs w:val="21"/>
                    </w:rPr>
                  </w:pPr>
                  <w:r>
                    <w:rPr>
                      <w:color w:val="auto"/>
                      <w:sz w:val="21"/>
                      <w:szCs w:val="21"/>
                    </w:rPr>
                    <w:t>第四十三条：太湖流域一、二、三级保护区禁止下列行为：</w:t>
                  </w:r>
                </w:p>
              </w:tc>
              <w:tc>
                <w:tcPr>
                  <w:tcW w:w="2251" w:type="dxa"/>
                  <w:vAlign w:val="center"/>
                </w:tcPr>
                <w:p>
                  <w:pPr>
                    <w:spacing w:line="276" w:lineRule="auto"/>
                    <w:jc w:val="center"/>
                    <w:rPr>
                      <w:color w:val="auto"/>
                      <w:sz w:val="21"/>
                      <w:szCs w:val="21"/>
                    </w:rPr>
                  </w:pPr>
                  <w:r>
                    <w:rPr>
                      <w:color w:val="auto"/>
                      <w:sz w:val="21"/>
                      <w:szCs w:val="21"/>
                    </w:rPr>
                    <w:t>/</w:t>
                  </w:r>
                </w:p>
              </w:tc>
              <w:tc>
                <w:tcPr>
                  <w:tcW w:w="1055" w:type="dxa"/>
                  <w:vAlign w:val="center"/>
                </w:tcPr>
                <w:p>
                  <w:pPr>
                    <w:spacing w:line="276" w:lineRule="auto"/>
                    <w:jc w:val="center"/>
                    <w:rPr>
                      <w:color w:val="auto"/>
                      <w:sz w:val="21"/>
                      <w:szCs w:val="21"/>
                    </w:rPr>
                  </w:pPr>
                  <w:r>
                    <w:rPr>
                      <w:color w:val="auto"/>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1235" w:type="dxa"/>
                  <w:vMerge w:val="continue"/>
                  <w:vAlign w:val="center"/>
                </w:tcPr>
                <w:p>
                  <w:pPr>
                    <w:spacing w:line="320" w:lineRule="exact"/>
                    <w:jc w:val="center"/>
                    <w:rPr>
                      <w:color w:val="auto"/>
                      <w:sz w:val="21"/>
                      <w:szCs w:val="21"/>
                    </w:rPr>
                  </w:pPr>
                </w:p>
              </w:tc>
              <w:tc>
                <w:tcPr>
                  <w:tcW w:w="4871" w:type="dxa"/>
                  <w:vAlign w:val="center"/>
                </w:tcPr>
                <w:p>
                  <w:pPr>
                    <w:spacing w:line="276" w:lineRule="auto"/>
                    <w:jc w:val="center"/>
                    <w:rPr>
                      <w:color w:val="auto"/>
                      <w:sz w:val="21"/>
                      <w:szCs w:val="21"/>
                    </w:rPr>
                  </w:pPr>
                  <w:r>
                    <w:rPr>
                      <w:color w:val="auto"/>
                      <w:sz w:val="21"/>
                      <w:szCs w:val="21"/>
                    </w:rPr>
                    <w:t>（一）新建、改建、扩建化学纸浆造纸、制革、酿造、染料、印染、电镀以及其他排放含磷、氮等污染物的企业和项目，城镇污水集中处理等环境基础设施项目和第四十六条规定的情形除外；</w:t>
                  </w:r>
                </w:p>
              </w:tc>
              <w:tc>
                <w:tcPr>
                  <w:tcW w:w="2251" w:type="dxa"/>
                  <w:vAlign w:val="center"/>
                </w:tcPr>
                <w:p>
                  <w:pPr>
                    <w:spacing w:line="276" w:lineRule="auto"/>
                    <w:jc w:val="center"/>
                    <w:rPr>
                      <w:color w:val="auto"/>
                      <w:sz w:val="21"/>
                      <w:szCs w:val="21"/>
                    </w:rPr>
                  </w:pPr>
                  <w:r>
                    <w:rPr>
                      <w:color w:val="auto"/>
                      <w:sz w:val="21"/>
                      <w:szCs w:val="21"/>
                    </w:rPr>
                    <w:t>本项目建设内容为环境保护专用设备制造，无生产废水产生。</w:t>
                  </w:r>
                </w:p>
              </w:tc>
              <w:tc>
                <w:tcPr>
                  <w:tcW w:w="1055" w:type="dxa"/>
                  <w:vAlign w:val="center"/>
                </w:tcPr>
                <w:p>
                  <w:pPr>
                    <w:spacing w:line="276" w:lineRule="auto"/>
                    <w:jc w:val="center"/>
                    <w:rPr>
                      <w:color w:val="auto"/>
                      <w:sz w:val="21"/>
                      <w:szCs w:val="21"/>
                    </w:rPr>
                  </w:pPr>
                  <w:r>
                    <w:rPr>
                      <w:color w:val="auto"/>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1235" w:type="dxa"/>
                  <w:vMerge w:val="continue"/>
                  <w:vAlign w:val="center"/>
                </w:tcPr>
                <w:p>
                  <w:pPr>
                    <w:spacing w:line="320" w:lineRule="exact"/>
                    <w:jc w:val="center"/>
                    <w:rPr>
                      <w:color w:val="auto"/>
                      <w:sz w:val="21"/>
                      <w:szCs w:val="21"/>
                    </w:rPr>
                  </w:pPr>
                </w:p>
              </w:tc>
              <w:tc>
                <w:tcPr>
                  <w:tcW w:w="4871" w:type="dxa"/>
                  <w:vAlign w:val="center"/>
                </w:tcPr>
                <w:p>
                  <w:pPr>
                    <w:spacing w:line="276" w:lineRule="auto"/>
                    <w:jc w:val="center"/>
                    <w:rPr>
                      <w:color w:val="auto"/>
                      <w:sz w:val="21"/>
                      <w:szCs w:val="21"/>
                    </w:rPr>
                  </w:pPr>
                  <w:r>
                    <w:rPr>
                      <w:color w:val="auto"/>
                      <w:sz w:val="21"/>
                      <w:szCs w:val="21"/>
                    </w:rPr>
                    <w:t>（二）销售、使用含磷洗涤用品；</w:t>
                  </w:r>
                </w:p>
              </w:tc>
              <w:tc>
                <w:tcPr>
                  <w:tcW w:w="2251" w:type="dxa"/>
                  <w:vAlign w:val="center"/>
                </w:tcPr>
                <w:p>
                  <w:pPr>
                    <w:spacing w:line="276" w:lineRule="auto"/>
                    <w:jc w:val="center"/>
                    <w:rPr>
                      <w:color w:val="auto"/>
                      <w:sz w:val="21"/>
                      <w:szCs w:val="21"/>
                    </w:rPr>
                  </w:pPr>
                  <w:r>
                    <w:rPr>
                      <w:color w:val="auto"/>
                      <w:sz w:val="21"/>
                      <w:szCs w:val="21"/>
                    </w:rPr>
                    <w:t>本项目不销售、使用含磷洗涤用品。</w:t>
                  </w:r>
                </w:p>
              </w:tc>
              <w:tc>
                <w:tcPr>
                  <w:tcW w:w="1055" w:type="dxa"/>
                  <w:vAlign w:val="center"/>
                </w:tcPr>
                <w:p>
                  <w:pPr>
                    <w:jc w:val="center"/>
                    <w:rPr>
                      <w:color w:val="auto"/>
                      <w:sz w:val="21"/>
                      <w:szCs w:val="21"/>
                    </w:rPr>
                  </w:pPr>
                  <w:r>
                    <w:rPr>
                      <w:color w:val="auto"/>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1235" w:type="dxa"/>
                  <w:vMerge w:val="continue"/>
                  <w:vAlign w:val="center"/>
                </w:tcPr>
                <w:p>
                  <w:pPr>
                    <w:spacing w:line="320" w:lineRule="exact"/>
                    <w:jc w:val="center"/>
                    <w:rPr>
                      <w:color w:val="auto"/>
                      <w:sz w:val="21"/>
                      <w:szCs w:val="21"/>
                    </w:rPr>
                  </w:pPr>
                </w:p>
              </w:tc>
              <w:tc>
                <w:tcPr>
                  <w:tcW w:w="4871" w:type="dxa"/>
                  <w:vAlign w:val="center"/>
                </w:tcPr>
                <w:p>
                  <w:pPr>
                    <w:spacing w:line="276" w:lineRule="auto"/>
                    <w:jc w:val="center"/>
                    <w:rPr>
                      <w:color w:val="auto"/>
                      <w:sz w:val="21"/>
                      <w:szCs w:val="21"/>
                    </w:rPr>
                  </w:pPr>
                  <w:r>
                    <w:rPr>
                      <w:color w:val="auto"/>
                      <w:sz w:val="21"/>
                      <w:szCs w:val="21"/>
                    </w:rPr>
                    <w:t>（三）向水体排放或者倾倒油类、酸液、碱液、剧毒废渣废液、含放射性废渣废液、含病原体污水、工业废渣以及其他废弃物；</w:t>
                  </w:r>
                </w:p>
              </w:tc>
              <w:tc>
                <w:tcPr>
                  <w:tcW w:w="2251" w:type="dxa"/>
                  <w:vAlign w:val="center"/>
                </w:tcPr>
                <w:p>
                  <w:pPr>
                    <w:spacing w:line="276" w:lineRule="auto"/>
                    <w:jc w:val="center"/>
                    <w:rPr>
                      <w:color w:val="auto"/>
                      <w:sz w:val="21"/>
                      <w:szCs w:val="21"/>
                    </w:rPr>
                  </w:pPr>
                  <w:r>
                    <w:rPr>
                      <w:color w:val="auto"/>
                      <w:sz w:val="21"/>
                      <w:szCs w:val="21"/>
                    </w:rPr>
                    <w:t>本项目不向水体排放污染物。</w:t>
                  </w:r>
                </w:p>
              </w:tc>
              <w:tc>
                <w:tcPr>
                  <w:tcW w:w="1055" w:type="dxa"/>
                  <w:vAlign w:val="center"/>
                </w:tcPr>
                <w:p>
                  <w:pPr>
                    <w:jc w:val="center"/>
                    <w:rPr>
                      <w:color w:val="auto"/>
                      <w:sz w:val="21"/>
                      <w:szCs w:val="21"/>
                    </w:rPr>
                  </w:pPr>
                  <w:r>
                    <w:rPr>
                      <w:color w:val="auto"/>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1235" w:type="dxa"/>
                  <w:vMerge w:val="continue"/>
                  <w:vAlign w:val="center"/>
                </w:tcPr>
                <w:p>
                  <w:pPr>
                    <w:spacing w:line="320" w:lineRule="exact"/>
                    <w:jc w:val="center"/>
                    <w:rPr>
                      <w:color w:val="auto"/>
                      <w:sz w:val="21"/>
                      <w:szCs w:val="21"/>
                    </w:rPr>
                  </w:pPr>
                </w:p>
              </w:tc>
              <w:tc>
                <w:tcPr>
                  <w:tcW w:w="4871" w:type="dxa"/>
                  <w:vAlign w:val="center"/>
                </w:tcPr>
                <w:p>
                  <w:pPr>
                    <w:spacing w:line="276" w:lineRule="auto"/>
                    <w:jc w:val="center"/>
                    <w:rPr>
                      <w:color w:val="auto"/>
                      <w:sz w:val="21"/>
                      <w:szCs w:val="21"/>
                    </w:rPr>
                  </w:pPr>
                  <w:r>
                    <w:rPr>
                      <w:color w:val="auto"/>
                      <w:sz w:val="21"/>
                      <w:szCs w:val="21"/>
                    </w:rPr>
                    <w:t>（四）在水体清洗装贮过油类或者有毒有害污染物的车辆、船舶和容器等；</w:t>
                  </w:r>
                </w:p>
              </w:tc>
              <w:tc>
                <w:tcPr>
                  <w:tcW w:w="2251" w:type="dxa"/>
                  <w:vAlign w:val="center"/>
                </w:tcPr>
                <w:p>
                  <w:pPr>
                    <w:spacing w:line="276" w:lineRule="auto"/>
                    <w:jc w:val="center"/>
                    <w:rPr>
                      <w:color w:val="auto"/>
                      <w:sz w:val="21"/>
                      <w:szCs w:val="21"/>
                    </w:rPr>
                  </w:pPr>
                  <w:r>
                    <w:rPr>
                      <w:color w:val="auto"/>
                      <w:sz w:val="21"/>
                      <w:szCs w:val="21"/>
                    </w:rPr>
                    <w:t>本项目不向水体排放污染物。</w:t>
                  </w:r>
                </w:p>
              </w:tc>
              <w:tc>
                <w:tcPr>
                  <w:tcW w:w="1055" w:type="dxa"/>
                  <w:vAlign w:val="center"/>
                </w:tcPr>
                <w:p>
                  <w:pPr>
                    <w:jc w:val="center"/>
                    <w:rPr>
                      <w:color w:val="auto"/>
                      <w:sz w:val="21"/>
                      <w:szCs w:val="21"/>
                    </w:rPr>
                  </w:pPr>
                  <w:r>
                    <w:rPr>
                      <w:color w:val="auto"/>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1235" w:type="dxa"/>
                  <w:vMerge w:val="continue"/>
                  <w:vAlign w:val="center"/>
                </w:tcPr>
                <w:p>
                  <w:pPr>
                    <w:spacing w:line="320" w:lineRule="exact"/>
                    <w:jc w:val="center"/>
                    <w:rPr>
                      <w:color w:val="auto"/>
                      <w:sz w:val="21"/>
                      <w:szCs w:val="21"/>
                    </w:rPr>
                  </w:pPr>
                </w:p>
              </w:tc>
              <w:tc>
                <w:tcPr>
                  <w:tcW w:w="4871" w:type="dxa"/>
                  <w:vAlign w:val="center"/>
                </w:tcPr>
                <w:p>
                  <w:pPr>
                    <w:spacing w:line="276" w:lineRule="auto"/>
                    <w:jc w:val="center"/>
                    <w:rPr>
                      <w:color w:val="auto"/>
                      <w:sz w:val="21"/>
                      <w:szCs w:val="21"/>
                    </w:rPr>
                  </w:pPr>
                  <w:r>
                    <w:rPr>
                      <w:color w:val="auto"/>
                      <w:sz w:val="21"/>
                      <w:szCs w:val="21"/>
                    </w:rPr>
                    <w:t>（五）使用农药等有毒物毒杀水生生物；</w:t>
                  </w:r>
                </w:p>
              </w:tc>
              <w:tc>
                <w:tcPr>
                  <w:tcW w:w="2251" w:type="dxa"/>
                  <w:vAlign w:val="center"/>
                </w:tcPr>
                <w:p>
                  <w:pPr>
                    <w:spacing w:line="276" w:lineRule="auto"/>
                    <w:jc w:val="center"/>
                    <w:rPr>
                      <w:color w:val="auto"/>
                      <w:sz w:val="21"/>
                      <w:szCs w:val="21"/>
                    </w:rPr>
                  </w:pPr>
                  <w:r>
                    <w:rPr>
                      <w:color w:val="auto"/>
                      <w:sz w:val="21"/>
                      <w:szCs w:val="21"/>
                    </w:rPr>
                    <w:t>本项目不使用农药。</w:t>
                  </w:r>
                </w:p>
              </w:tc>
              <w:tc>
                <w:tcPr>
                  <w:tcW w:w="1055" w:type="dxa"/>
                  <w:vAlign w:val="center"/>
                </w:tcPr>
                <w:p>
                  <w:pPr>
                    <w:jc w:val="center"/>
                    <w:rPr>
                      <w:color w:val="auto"/>
                      <w:sz w:val="21"/>
                      <w:szCs w:val="21"/>
                    </w:rPr>
                  </w:pPr>
                  <w:r>
                    <w:rPr>
                      <w:color w:val="auto"/>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1235" w:type="dxa"/>
                  <w:vMerge w:val="continue"/>
                  <w:vAlign w:val="center"/>
                </w:tcPr>
                <w:p>
                  <w:pPr>
                    <w:spacing w:line="320" w:lineRule="exact"/>
                    <w:jc w:val="center"/>
                    <w:rPr>
                      <w:color w:val="auto"/>
                      <w:sz w:val="21"/>
                      <w:szCs w:val="21"/>
                    </w:rPr>
                  </w:pPr>
                </w:p>
              </w:tc>
              <w:tc>
                <w:tcPr>
                  <w:tcW w:w="4871" w:type="dxa"/>
                  <w:vAlign w:val="center"/>
                </w:tcPr>
                <w:p>
                  <w:pPr>
                    <w:spacing w:line="276" w:lineRule="auto"/>
                    <w:jc w:val="center"/>
                    <w:rPr>
                      <w:color w:val="auto"/>
                      <w:sz w:val="21"/>
                      <w:szCs w:val="21"/>
                    </w:rPr>
                  </w:pPr>
                  <w:r>
                    <w:rPr>
                      <w:color w:val="auto"/>
                      <w:sz w:val="21"/>
                      <w:szCs w:val="21"/>
                    </w:rPr>
                    <w:t>（六）向水体直接排放人畜粪便、倾倒垃圾；</w:t>
                  </w:r>
                </w:p>
              </w:tc>
              <w:tc>
                <w:tcPr>
                  <w:tcW w:w="2251" w:type="dxa"/>
                  <w:vAlign w:val="center"/>
                </w:tcPr>
                <w:p>
                  <w:pPr>
                    <w:spacing w:line="276" w:lineRule="auto"/>
                    <w:jc w:val="center"/>
                    <w:rPr>
                      <w:color w:val="auto"/>
                      <w:sz w:val="21"/>
                      <w:szCs w:val="21"/>
                    </w:rPr>
                  </w:pPr>
                  <w:r>
                    <w:rPr>
                      <w:color w:val="auto"/>
                      <w:sz w:val="21"/>
                      <w:szCs w:val="21"/>
                    </w:rPr>
                    <w:t>本项目不向水体排放污染物。生活污水接管至镇湖污水处理厂</w:t>
                  </w:r>
                </w:p>
              </w:tc>
              <w:tc>
                <w:tcPr>
                  <w:tcW w:w="1055" w:type="dxa"/>
                  <w:vAlign w:val="center"/>
                </w:tcPr>
                <w:p>
                  <w:pPr>
                    <w:jc w:val="center"/>
                    <w:rPr>
                      <w:color w:val="auto"/>
                      <w:sz w:val="21"/>
                      <w:szCs w:val="21"/>
                    </w:rPr>
                  </w:pPr>
                  <w:r>
                    <w:rPr>
                      <w:color w:val="auto"/>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1235" w:type="dxa"/>
                  <w:vMerge w:val="continue"/>
                  <w:vAlign w:val="center"/>
                </w:tcPr>
                <w:p>
                  <w:pPr>
                    <w:spacing w:line="320" w:lineRule="exact"/>
                    <w:jc w:val="center"/>
                    <w:rPr>
                      <w:color w:val="auto"/>
                      <w:sz w:val="21"/>
                      <w:szCs w:val="21"/>
                    </w:rPr>
                  </w:pPr>
                </w:p>
              </w:tc>
              <w:tc>
                <w:tcPr>
                  <w:tcW w:w="4871" w:type="dxa"/>
                  <w:vAlign w:val="center"/>
                </w:tcPr>
                <w:p>
                  <w:pPr>
                    <w:spacing w:line="276" w:lineRule="auto"/>
                    <w:jc w:val="center"/>
                    <w:rPr>
                      <w:color w:val="auto"/>
                      <w:sz w:val="21"/>
                      <w:szCs w:val="21"/>
                    </w:rPr>
                  </w:pPr>
                  <w:r>
                    <w:rPr>
                      <w:color w:val="auto"/>
                      <w:sz w:val="21"/>
                      <w:szCs w:val="21"/>
                    </w:rPr>
                    <w:t>（七）围湖造地；</w:t>
                  </w:r>
                </w:p>
              </w:tc>
              <w:tc>
                <w:tcPr>
                  <w:tcW w:w="2251" w:type="dxa"/>
                  <w:vAlign w:val="center"/>
                </w:tcPr>
                <w:p>
                  <w:pPr>
                    <w:spacing w:line="276" w:lineRule="auto"/>
                    <w:jc w:val="center"/>
                    <w:rPr>
                      <w:color w:val="auto"/>
                      <w:sz w:val="21"/>
                      <w:szCs w:val="21"/>
                    </w:rPr>
                  </w:pPr>
                  <w:r>
                    <w:rPr>
                      <w:color w:val="auto"/>
                      <w:sz w:val="21"/>
                      <w:szCs w:val="21"/>
                    </w:rPr>
                    <w:t>本项目不围湖造地。</w:t>
                  </w:r>
                </w:p>
              </w:tc>
              <w:tc>
                <w:tcPr>
                  <w:tcW w:w="1055" w:type="dxa"/>
                  <w:vAlign w:val="center"/>
                </w:tcPr>
                <w:p>
                  <w:pPr>
                    <w:jc w:val="center"/>
                    <w:rPr>
                      <w:color w:val="auto"/>
                      <w:sz w:val="21"/>
                      <w:szCs w:val="21"/>
                    </w:rPr>
                  </w:pPr>
                  <w:r>
                    <w:rPr>
                      <w:color w:val="auto"/>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1235" w:type="dxa"/>
                  <w:vMerge w:val="continue"/>
                  <w:vAlign w:val="center"/>
                </w:tcPr>
                <w:p>
                  <w:pPr>
                    <w:spacing w:line="320" w:lineRule="exact"/>
                    <w:jc w:val="center"/>
                    <w:rPr>
                      <w:color w:val="auto"/>
                      <w:sz w:val="21"/>
                      <w:szCs w:val="21"/>
                    </w:rPr>
                  </w:pPr>
                </w:p>
              </w:tc>
              <w:tc>
                <w:tcPr>
                  <w:tcW w:w="4871" w:type="dxa"/>
                  <w:vAlign w:val="center"/>
                </w:tcPr>
                <w:p>
                  <w:pPr>
                    <w:spacing w:line="276" w:lineRule="auto"/>
                    <w:jc w:val="center"/>
                    <w:rPr>
                      <w:color w:val="auto"/>
                      <w:sz w:val="21"/>
                      <w:szCs w:val="21"/>
                    </w:rPr>
                  </w:pPr>
                  <w:r>
                    <w:rPr>
                      <w:color w:val="auto"/>
                      <w:sz w:val="21"/>
                      <w:szCs w:val="21"/>
                    </w:rPr>
                    <w:t>（八）违法开山采石，或者进行破坏林木、植被、水生生物的活动；</w:t>
                  </w:r>
                </w:p>
              </w:tc>
              <w:tc>
                <w:tcPr>
                  <w:tcW w:w="2251" w:type="dxa"/>
                  <w:vAlign w:val="center"/>
                </w:tcPr>
                <w:p>
                  <w:pPr>
                    <w:spacing w:line="276" w:lineRule="auto"/>
                    <w:jc w:val="center"/>
                    <w:rPr>
                      <w:color w:val="auto"/>
                      <w:sz w:val="21"/>
                      <w:szCs w:val="21"/>
                    </w:rPr>
                  </w:pPr>
                  <w:r>
                    <w:rPr>
                      <w:color w:val="auto"/>
                      <w:sz w:val="21"/>
                      <w:szCs w:val="21"/>
                    </w:rPr>
                    <w:t>本项目不会进行开山采石、破坏林木、植被、水生生物的活动。</w:t>
                  </w:r>
                </w:p>
              </w:tc>
              <w:tc>
                <w:tcPr>
                  <w:tcW w:w="1055" w:type="dxa"/>
                  <w:vAlign w:val="center"/>
                </w:tcPr>
                <w:p>
                  <w:pPr>
                    <w:jc w:val="center"/>
                    <w:rPr>
                      <w:color w:val="auto"/>
                      <w:sz w:val="21"/>
                      <w:szCs w:val="21"/>
                    </w:rPr>
                  </w:pPr>
                  <w:r>
                    <w:rPr>
                      <w:color w:val="auto"/>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1235" w:type="dxa"/>
                  <w:vMerge w:val="continue"/>
                  <w:vAlign w:val="center"/>
                </w:tcPr>
                <w:p>
                  <w:pPr>
                    <w:spacing w:line="320" w:lineRule="exact"/>
                    <w:jc w:val="center"/>
                    <w:rPr>
                      <w:color w:val="auto"/>
                      <w:sz w:val="21"/>
                      <w:szCs w:val="21"/>
                    </w:rPr>
                  </w:pPr>
                </w:p>
              </w:tc>
              <w:tc>
                <w:tcPr>
                  <w:tcW w:w="4871" w:type="dxa"/>
                  <w:vAlign w:val="center"/>
                </w:tcPr>
                <w:p>
                  <w:pPr>
                    <w:spacing w:line="276" w:lineRule="auto"/>
                    <w:jc w:val="center"/>
                    <w:rPr>
                      <w:color w:val="auto"/>
                      <w:sz w:val="21"/>
                      <w:szCs w:val="21"/>
                    </w:rPr>
                  </w:pPr>
                  <w:r>
                    <w:rPr>
                      <w:color w:val="auto"/>
                      <w:sz w:val="21"/>
                      <w:szCs w:val="21"/>
                    </w:rPr>
                    <w:t>（九）法律、法规禁止的其他行为。</w:t>
                  </w:r>
                </w:p>
              </w:tc>
              <w:tc>
                <w:tcPr>
                  <w:tcW w:w="2251" w:type="dxa"/>
                  <w:vAlign w:val="center"/>
                </w:tcPr>
                <w:p>
                  <w:pPr>
                    <w:spacing w:line="276" w:lineRule="auto"/>
                    <w:jc w:val="center"/>
                    <w:rPr>
                      <w:color w:val="auto"/>
                      <w:sz w:val="21"/>
                      <w:szCs w:val="21"/>
                    </w:rPr>
                  </w:pPr>
                  <w:r>
                    <w:rPr>
                      <w:color w:val="auto"/>
                      <w:sz w:val="21"/>
                      <w:szCs w:val="21"/>
                    </w:rPr>
                    <w:t>本项目不进行法律、法规禁止的其他行为。</w:t>
                  </w:r>
                </w:p>
              </w:tc>
              <w:tc>
                <w:tcPr>
                  <w:tcW w:w="1055" w:type="dxa"/>
                  <w:vAlign w:val="center"/>
                </w:tcPr>
                <w:p>
                  <w:pPr>
                    <w:jc w:val="center"/>
                    <w:rPr>
                      <w:color w:val="auto"/>
                      <w:sz w:val="21"/>
                      <w:szCs w:val="21"/>
                    </w:rPr>
                  </w:pPr>
                  <w:r>
                    <w:rPr>
                      <w:color w:val="auto"/>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1235" w:type="dxa"/>
                  <w:vMerge w:val="restart"/>
                  <w:vAlign w:val="center"/>
                </w:tcPr>
                <w:p>
                  <w:pPr>
                    <w:spacing w:line="320" w:lineRule="exact"/>
                    <w:jc w:val="center"/>
                    <w:rPr>
                      <w:color w:val="auto"/>
                      <w:sz w:val="21"/>
                      <w:szCs w:val="21"/>
                    </w:rPr>
                  </w:pPr>
                  <w:r>
                    <w:rPr>
                      <w:color w:val="auto"/>
                      <w:sz w:val="21"/>
                      <w:szCs w:val="21"/>
                    </w:rPr>
                    <w:t>《太湖流域管理条例》</w:t>
                  </w:r>
                </w:p>
              </w:tc>
              <w:tc>
                <w:tcPr>
                  <w:tcW w:w="4871" w:type="dxa"/>
                  <w:vAlign w:val="center"/>
                </w:tcPr>
                <w:p>
                  <w:pPr>
                    <w:spacing w:line="276" w:lineRule="auto"/>
                    <w:jc w:val="center"/>
                    <w:rPr>
                      <w:color w:val="auto"/>
                      <w:sz w:val="21"/>
                      <w:szCs w:val="21"/>
                    </w:rPr>
                  </w:pPr>
                  <w:r>
                    <w:rPr>
                      <w:color w:val="auto"/>
                      <w:sz w:val="21"/>
                      <w:szCs w:val="21"/>
                    </w:rPr>
                    <w:t>第二十八条  排污单位排放水污染物，不得超过经核定的水污染物排放总量，并应当按照规定设置便于检查、采样的规范化排污口，悬挂标志牌；不得私设暗管或者采取其他规避监管的方式排放水污染物。</w:t>
                  </w:r>
                </w:p>
              </w:tc>
              <w:tc>
                <w:tcPr>
                  <w:tcW w:w="2251" w:type="dxa"/>
                  <w:vAlign w:val="center"/>
                </w:tcPr>
                <w:p>
                  <w:pPr>
                    <w:spacing w:line="276" w:lineRule="auto"/>
                    <w:jc w:val="center"/>
                    <w:rPr>
                      <w:color w:val="auto"/>
                      <w:sz w:val="21"/>
                      <w:szCs w:val="21"/>
                    </w:rPr>
                  </w:pPr>
                  <w:r>
                    <w:rPr>
                      <w:color w:val="auto"/>
                      <w:sz w:val="21"/>
                      <w:szCs w:val="21"/>
                    </w:rPr>
                    <w:t>本项目建成后设置便于检查、采样的规范化排污口。</w:t>
                  </w:r>
                </w:p>
              </w:tc>
              <w:tc>
                <w:tcPr>
                  <w:tcW w:w="1055" w:type="dxa"/>
                  <w:vAlign w:val="center"/>
                </w:tcPr>
                <w:p>
                  <w:pPr>
                    <w:spacing w:line="276" w:lineRule="auto"/>
                    <w:jc w:val="center"/>
                    <w:rPr>
                      <w:color w:val="auto"/>
                      <w:sz w:val="21"/>
                      <w:szCs w:val="21"/>
                    </w:rPr>
                  </w:pPr>
                  <w:r>
                    <w:rPr>
                      <w:color w:val="auto"/>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1235" w:type="dxa"/>
                  <w:vMerge w:val="continue"/>
                  <w:vAlign w:val="center"/>
                </w:tcPr>
                <w:p>
                  <w:pPr>
                    <w:spacing w:line="320" w:lineRule="exact"/>
                    <w:jc w:val="center"/>
                    <w:rPr>
                      <w:color w:val="auto"/>
                      <w:sz w:val="21"/>
                      <w:szCs w:val="21"/>
                    </w:rPr>
                  </w:pPr>
                </w:p>
              </w:tc>
              <w:tc>
                <w:tcPr>
                  <w:tcW w:w="4871" w:type="dxa"/>
                  <w:vAlign w:val="center"/>
                </w:tcPr>
                <w:p>
                  <w:pPr>
                    <w:spacing w:line="276" w:lineRule="auto"/>
                    <w:jc w:val="center"/>
                    <w:rPr>
                      <w:color w:val="auto"/>
                      <w:sz w:val="21"/>
                      <w:szCs w:val="21"/>
                    </w:rPr>
                  </w:pPr>
                  <w:r>
                    <w:rPr>
                      <w:color w:val="auto"/>
                      <w:sz w:val="21"/>
                      <w:szCs w:val="21"/>
                    </w:rPr>
                    <w:t>禁止在太湖流域设置不符合国家产业政策和水环境综合治理要求的造纸、制革、酒精、淀粉、冶金、酿造、印染、电镀等排放水污染物的生产项目，现有的生产项目不能实现达标排放的，应当依法关闭。</w:t>
                  </w:r>
                </w:p>
              </w:tc>
              <w:tc>
                <w:tcPr>
                  <w:tcW w:w="2251" w:type="dxa"/>
                  <w:vAlign w:val="center"/>
                </w:tcPr>
                <w:p>
                  <w:pPr>
                    <w:spacing w:line="276" w:lineRule="auto"/>
                    <w:jc w:val="center"/>
                    <w:rPr>
                      <w:color w:val="auto"/>
                      <w:sz w:val="21"/>
                      <w:szCs w:val="21"/>
                    </w:rPr>
                  </w:pPr>
                  <w:r>
                    <w:rPr>
                      <w:color w:val="auto"/>
                      <w:sz w:val="21"/>
                      <w:szCs w:val="21"/>
                    </w:rPr>
                    <w:t>本项目建设内容为环境保护专用设备制造，无生产废水产生。产生的生活污水接管至镇湖污水处理厂。不属于造纸、制革、酒精、淀粉、冶金、酿造、印染、电镀等排放水污染物的生产项目。</w:t>
                  </w:r>
                </w:p>
              </w:tc>
              <w:tc>
                <w:tcPr>
                  <w:tcW w:w="1055" w:type="dxa"/>
                  <w:vAlign w:val="center"/>
                </w:tcPr>
                <w:p>
                  <w:pPr>
                    <w:spacing w:line="276" w:lineRule="auto"/>
                    <w:jc w:val="center"/>
                    <w:rPr>
                      <w:color w:val="auto"/>
                      <w:sz w:val="21"/>
                      <w:szCs w:val="21"/>
                    </w:rPr>
                  </w:pPr>
                  <w:r>
                    <w:rPr>
                      <w:color w:val="auto"/>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1235" w:type="dxa"/>
                  <w:vMerge w:val="continue"/>
                  <w:vAlign w:val="center"/>
                </w:tcPr>
                <w:p>
                  <w:pPr>
                    <w:spacing w:line="320" w:lineRule="exact"/>
                    <w:jc w:val="center"/>
                    <w:rPr>
                      <w:color w:val="auto"/>
                      <w:sz w:val="21"/>
                      <w:szCs w:val="21"/>
                    </w:rPr>
                  </w:pPr>
                </w:p>
              </w:tc>
              <w:tc>
                <w:tcPr>
                  <w:tcW w:w="4871" w:type="dxa"/>
                  <w:vAlign w:val="center"/>
                </w:tcPr>
                <w:p>
                  <w:pPr>
                    <w:spacing w:line="276" w:lineRule="auto"/>
                    <w:jc w:val="center"/>
                    <w:rPr>
                      <w:color w:val="auto"/>
                      <w:sz w:val="21"/>
                      <w:szCs w:val="21"/>
                    </w:rPr>
                  </w:pPr>
                  <w:r>
                    <w:rPr>
                      <w:color w:val="auto"/>
                      <w:sz w:val="21"/>
                      <w:szCs w:val="21"/>
                    </w:rPr>
                    <w:t>在太湖流域新设企业应当符合国家规定的清洁生产要求，现有的企业尚未达到清洁生产要求的，应当按照清洁生产规划要求进行技术改造，两省一市人民政府应当加强监督检查。</w:t>
                  </w:r>
                </w:p>
              </w:tc>
              <w:tc>
                <w:tcPr>
                  <w:tcW w:w="2251" w:type="dxa"/>
                  <w:vAlign w:val="center"/>
                </w:tcPr>
                <w:p>
                  <w:pPr>
                    <w:spacing w:line="276" w:lineRule="auto"/>
                    <w:jc w:val="center"/>
                    <w:rPr>
                      <w:color w:val="auto"/>
                      <w:sz w:val="21"/>
                      <w:szCs w:val="21"/>
                    </w:rPr>
                  </w:pPr>
                  <w:r>
                    <w:rPr>
                      <w:color w:val="auto"/>
                      <w:sz w:val="21"/>
                      <w:szCs w:val="21"/>
                    </w:rPr>
                    <w:t>本项目建设符合国家规定的清洁生产要求。</w:t>
                  </w:r>
                </w:p>
              </w:tc>
              <w:tc>
                <w:tcPr>
                  <w:tcW w:w="1055" w:type="dxa"/>
                  <w:vAlign w:val="center"/>
                </w:tcPr>
                <w:p>
                  <w:pPr>
                    <w:spacing w:line="276" w:lineRule="auto"/>
                    <w:jc w:val="center"/>
                    <w:rPr>
                      <w:color w:val="auto"/>
                      <w:sz w:val="21"/>
                      <w:szCs w:val="21"/>
                    </w:rPr>
                  </w:pPr>
                  <w:r>
                    <w:rPr>
                      <w:color w:val="auto"/>
                      <w:sz w:val="21"/>
                      <w:szCs w:val="21"/>
                    </w:rPr>
                    <w:t>符合</w:t>
                  </w:r>
                </w:p>
              </w:tc>
            </w:tr>
          </w:tbl>
          <w:p>
            <w:pPr>
              <w:ind w:firstLine="480" w:firstLineChars="200"/>
              <w:rPr>
                <w:color w:val="auto"/>
              </w:rPr>
            </w:pPr>
            <w:r>
              <w:rPr>
                <w:color w:val="auto"/>
              </w:rPr>
              <w:t>综上所述，本项目生产过程中无含氮、磷的工业废水排放，</w:t>
            </w:r>
            <w:r>
              <w:rPr>
                <w:rFonts w:hint="eastAsia"/>
                <w:color w:val="auto"/>
              </w:rPr>
              <w:t>项目</w:t>
            </w:r>
            <w:r>
              <w:rPr>
                <w:color w:val="auto"/>
              </w:rPr>
              <w:t>废水</w:t>
            </w:r>
            <w:r>
              <w:rPr>
                <w:rFonts w:hint="eastAsia"/>
                <w:color w:val="auto"/>
              </w:rPr>
              <w:t>无工业废水，只有生活污水，</w:t>
            </w:r>
            <w:r>
              <w:rPr>
                <w:color w:val="auto"/>
              </w:rPr>
              <w:t>经市政污水管网进入</w:t>
            </w:r>
            <w:r>
              <w:rPr>
                <w:rFonts w:hint="eastAsia"/>
                <w:color w:val="auto"/>
                <w:lang w:val="en-US" w:eastAsia="zh-CN"/>
              </w:rPr>
              <w:t>白荡水质净化厂</w:t>
            </w:r>
            <w:r>
              <w:rPr>
                <w:color w:val="auto"/>
              </w:rPr>
              <w:t>处理后排放，符合《太湖流域管理条例》及《江苏省太湖水污染防治条例》相关要求。</w:t>
            </w:r>
          </w:p>
          <w:p>
            <w:pPr>
              <w:rPr>
                <w:color w:val="auto"/>
              </w:rPr>
            </w:pPr>
            <w:r>
              <w:rPr>
                <w:color w:val="auto"/>
              </w:rPr>
              <w:t>9、与“两减六治三提升”专项行动方案的相符性分析</w:t>
            </w:r>
          </w:p>
          <w:p>
            <w:pPr>
              <w:pStyle w:val="9"/>
              <w:spacing w:after="0"/>
              <w:ind w:firstLine="480" w:firstLineChars="200"/>
              <w:rPr>
                <w:color w:val="auto"/>
              </w:rPr>
            </w:pPr>
            <w:r>
              <w:rPr>
                <w:color w:val="auto"/>
              </w:rPr>
              <w:t>根据《省政府办公厅关于印发江苏省“两减六治三提升”专项行动实施方案的通知》（苏政办发[2017]30号）、《中共江苏省委江苏省人民政府关于印发“两减六治三提升”专项行动方案的通知》（苏发[2016]47号）、《市政府办公室关于印发苏州市“两减六治三提升”13个专项行动实施方案的通知》（苏府办[2017]108号）及《关于印发《苏州高新区“两减六治三提升”专项行动实施方案》的通知》（苏高新委[2017]33号）：</w:t>
            </w:r>
          </w:p>
          <w:p>
            <w:pPr>
              <w:pStyle w:val="9"/>
              <w:spacing w:after="0"/>
              <w:ind w:firstLine="480" w:firstLineChars="200"/>
              <w:rPr>
                <w:color w:val="auto"/>
              </w:rPr>
            </w:pPr>
            <w:r>
              <w:rPr>
                <w:color w:val="auto"/>
              </w:rPr>
              <w:t>“两减”，即以减少煤炭消费总量和减少落后化工产能为重点，调整江苏省长期以来形成的煤炭型能源结构、重化型产业结构，从源头上为生态环境减负。</w:t>
            </w:r>
          </w:p>
          <w:p>
            <w:pPr>
              <w:pStyle w:val="9"/>
              <w:spacing w:after="0"/>
              <w:ind w:firstLine="480" w:firstLineChars="200"/>
              <w:rPr>
                <w:color w:val="auto"/>
              </w:rPr>
            </w:pPr>
            <w:r>
              <w:rPr>
                <w:color w:val="auto"/>
              </w:rPr>
              <w:t>“六治”，即针对当前生态文明建设问题最突出、与群众生活联系最紧密、百姓反映最强烈的六方面问题，重点治理太湖水环境、生活垃圾、黑臭水体、畜禽养殖污染、挥发性有机物污染和环境隐患。</w:t>
            </w:r>
          </w:p>
          <w:p>
            <w:pPr>
              <w:pStyle w:val="2"/>
              <w:ind w:firstLine="480"/>
              <w:jc w:val="left"/>
              <w:rPr>
                <w:color w:val="auto"/>
              </w:rPr>
            </w:pPr>
            <w:r>
              <w:rPr>
                <w:color w:val="auto"/>
              </w:rPr>
              <w:t>“三提升”，则是提升生态保护水平、提升环境经济政策调控水平、提升环境监管执法水平，为生态文明建设提供坚实保障。</w:t>
            </w:r>
          </w:p>
          <w:p>
            <w:pPr>
              <w:pStyle w:val="2"/>
              <w:ind w:firstLine="480"/>
              <w:jc w:val="left"/>
              <w:rPr>
                <w:color w:val="auto"/>
              </w:rPr>
            </w:pPr>
            <w:r>
              <w:rPr>
                <w:color w:val="auto"/>
              </w:rPr>
              <w:t>相关要求对照分析如下：</w:t>
            </w:r>
          </w:p>
          <w:p>
            <w:pPr>
              <w:jc w:val="center"/>
              <w:rPr>
                <w:b/>
                <w:bCs/>
                <w:color w:val="auto"/>
                <w:sz w:val="21"/>
                <w:szCs w:val="21"/>
              </w:rPr>
            </w:pPr>
            <w:r>
              <w:rPr>
                <w:b/>
                <w:bCs/>
                <w:color w:val="auto"/>
                <w:sz w:val="21"/>
                <w:szCs w:val="21"/>
              </w:rPr>
              <w:t>表1-</w:t>
            </w:r>
            <w:r>
              <w:rPr>
                <w:rFonts w:hint="eastAsia"/>
                <w:b/>
                <w:bCs/>
                <w:color w:val="auto"/>
                <w:sz w:val="21"/>
                <w:szCs w:val="21"/>
                <w:lang w:val="en-US" w:eastAsia="zh-CN"/>
              </w:rPr>
              <w:t>8</w:t>
            </w:r>
            <w:r>
              <w:rPr>
                <w:b/>
                <w:bCs/>
                <w:color w:val="auto"/>
                <w:sz w:val="21"/>
                <w:szCs w:val="21"/>
              </w:rPr>
              <w:t>“两减六治三提升”专项行动方案对照表</w:t>
            </w:r>
          </w:p>
          <w:tbl>
            <w:tblPr>
              <w:tblStyle w:val="26"/>
              <w:tblW w:w="9422"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591"/>
              <w:gridCol w:w="2143"/>
              <w:gridCol w:w="5893"/>
              <w:gridCol w:w="79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91" w:type="dxa"/>
                  <w:vAlign w:val="center"/>
                </w:tcPr>
                <w:p>
                  <w:pPr>
                    <w:jc w:val="center"/>
                    <w:rPr>
                      <w:color w:val="auto"/>
                      <w:sz w:val="21"/>
                      <w:szCs w:val="21"/>
                    </w:rPr>
                  </w:pPr>
                  <w:r>
                    <w:rPr>
                      <w:color w:val="auto"/>
                      <w:sz w:val="21"/>
                      <w:szCs w:val="21"/>
                    </w:rPr>
                    <w:t>序号</w:t>
                  </w:r>
                </w:p>
              </w:tc>
              <w:tc>
                <w:tcPr>
                  <w:tcW w:w="2143" w:type="dxa"/>
                  <w:vAlign w:val="center"/>
                </w:tcPr>
                <w:p>
                  <w:pPr>
                    <w:jc w:val="center"/>
                    <w:rPr>
                      <w:color w:val="auto"/>
                      <w:sz w:val="21"/>
                      <w:szCs w:val="21"/>
                    </w:rPr>
                  </w:pPr>
                  <w:r>
                    <w:rPr>
                      <w:color w:val="auto"/>
                      <w:sz w:val="21"/>
                      <w:szCs w:val="21"/>
                    </w:rPr>
                    <w:t>相关要求</w:t>
                  </w:r>
                </w:p>
              </w:tc>
              <w:tc>
                <w:tcPr>
                  <w:tcW w:w="5893" w:type="dxa"/>
                  <w:vAlign w:val="center"/>
                </w:tcPr>
                <w:p>
                  <w:pPr>
                    <w:jc w:val="center"/>
                    <w:rPr>
                      <w:color w:val="auto"/>
                      <w:sz w:val="21"/>
                      <w:szCs w:val="21"/>
                    </w:rPr>
                  </w:pPr>
                  <w:r>
                    <w:rPr>
                      <w:color w:val="auto"/>
                      <w:sz w:val="21"/>
                      <w:szCs w:val="21"/>
                    </w:rPr>
                    <w:t>项目情况</w:t>
                  </w:r>
                </w:p>
              </w:tc>
              <w:tc>
                <w:tcPr>
                  <w:tcW w:w="795" w:type="dxa"/>
                  <w:vAlign w:val="center"/>
                </w:tcPr>
                <w:p>
                  <w:pPr>
                    <w:jc w:val="center"/>
                    <w:rPr>
                      <w:color w:val="auto"/>
                      <w:sz w:val="21"/>
                      <w:szCs w:val="21"/>
                    </w:rPr>
                  </w:pPr>
                  <w:r>
                    <w:rPr>
                      <w:color w:val="auto"/>
                      <w:sz w:val="21"/>
                      <w:szCs w:val="21"/>
                    </w:rPr>
                    <w:t>是否满足要求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0" w:hRule="atLeast"/>
                <w:jc w:val="center"/>
              </w:trPr>
              <w:tc>
                <w:tcPr>
                  <w:tcW w:w="591" w:type="dxa"/>
                  <w:vAlign w:val="center"/>
                </w:tcPr>
                <w:p>
                  <w:pPr>
                    <w:jc w:val="center"/>
                    <w:rPr>
                      <w:color w:val="auto"/>
                      <w:sz w:val="21"/>
                      <w:szCs w:val="21"/>
                    </w:rPr>
                  </w:pPr>
                  <w:r>
                    <w:rPr>
                      <w:color w:val="auto"/>
                      <w:sz w:val="21"/>
                      <w:szCs w:val="21"/>
                    </w:rPr>
                    <w:t>1</w:t>
                  </w:r>
                </w:p>
              </w:tc>
              <w:tc>
                <w:tcPr>
                  <w:tcW w:w="2143" w:type="dxa"/>
                  <w:vAlign w:val="center"/>
                </w:tcPr>
                <w:p>
                  <w:pPr>
                    <w:jc w:val="center"/>
                    <w:rPr>
                      <w:color w:val="auto"/>
                      <w:sz w:val="21"/>
                      <w:szCs w:val="21"/>
                    </w:rPr>
                  </w:pPr>
                  <w:r>
                    <w:rPr>
                      <w:color w:val="auto"/>
                      <w:sz w:val="21"/>
                      <w:szCs w:val="21"/>
                    </w:rPr>
                    <w:t>减少煤炭消费总量</w:t>
                  </w:r>
                </w:p>
              </w:tc>
              <w:tc>
                <w:tcPr>
                  <w:tcW w:w="5893" w:type="dxa"/>
                  <w:vAlign w:val="center"/>
                </w:tcPr>
                <w:p>
                  <w:pPr>
                    <w:jc w:val="center"/>
                    <w:rPr>
                      <w:color w:val="auto"/>
                      <w:sz w:val="21"/>
                      <w:szCs w:val="21"/>
                    </w:rPr>
                  </w:pPr>
                  <w:r>
                    <w:rPr>
                      <w:color w:val="auto"/>
                      <w:sz w:val="21"/>
                      <w:szCs w:val="21"/>
                    </w:rPr>
                    <w:t>本项目采用电能为能源，不使用煤炭能源</w:t>
                  </w:r>
                </w:p>
              </w:tc>
              <w:tc>
                <w:tcPr>
                  <w:tcW w:w="795" w:type="dxa"/>
                  <w:vAlign w:val="center"/>
                </w:tcPr>
                <w:p>
                  <w:pPr>
                    <w:jc w:val="center"/>
                    <w:rPr>
                      <w:color w:val="auto"/>
                      <w:sz w:val="21"/>
                      <w:szCs w:val="21"/>
                    </w:rPr>
                  </w:pPr>
                  <w:r>
                    <w:rPr>
                      <w:color w:val="auto"/>
                      <w:sz w:val="21"/>
                      <w:szCs w:val="21"/>
                    </w:rPr>
                    <w:t>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91" w:type="dxa"/>
                  <w:vAlign w:val="center"/>
                </w:tcPr>
                <w:p>
                  <w:pPr>
                    <w:jc w:val="center"/>
                    <w:rPr>
                      <w:color w:val="auto"/>
                      <w:sz w:val="21"/>
                      <w:szCs w:val="21"/>
                    </w:rPr>
                  </w:pPr>
                  <w:r>
                    <w:rPr>
                      <w:color w:val="auto"/>
                      <w:sz w:val="21"/>
                      <w:szCs w:val="21"/>
                    </w:rPr>
                    <w:t>2</w:t>
                  </w:r>
                </w:p>
              </w:tc>
              <w:tc>
                <w:tcPr>
                  <w:tcW w:w="2143" w:type="dxa"/>
                  <w:vAlign w:val="center"/>
                </w:tcPr>
                <w:p>
                  <w:pPr>
                    <w:jc w:val="center"/>
                    <w:rPr>
                      <w:color w:val="auto"/>
                      <w:sz w:val="21"/>
                      <w:szCs w:val="21"/>
                    </w:rPr>
                  </w:pPr>
                  <w:r>
                    <w:rPr>
                      <w:color w:val="auto"/>
                      <w:sz w:val="21"/>
                      <w:szCs w:val="21"/>
                    </w:rPr>
                    <w:t>减少落后化工产能</w:t>
                  </w:r>
                </w:p>
              </w:tc>
              <w:tc>
                <w:tcPr>
                  <w:tcW w:w="5893" w:type="dxa"/>
                  <w:vAlign w:val="center"/>
                </w:tcPr>
                <w:p>
                  <w:pPr>
                    <w:jc w:val="center"/>
                    <w:rPr>
                      <w:color w:val="auto"/>
                      <w:sz w:val="21"/>
                      <w:szCs w:val="21"/>
                    </w:rPr>
                  </w:pPr>
                  <w:r>
                    <w:rPr>
                      <w:color w:val="auto"/>
                      <w:sz w:val="21"/>
                      <w:szCs w:val="21"/>
                    </w:rPr>
                    <w:t>本项目为环境保护专用设备制造，不涉及电镀及化工工艺</w:t>
                  </w:r>
                </w:p>
              </w:tc>
              <w:tc>
                <w:tcPr>
                  <w:tcW w:w="795" w:type="dxa"/>
                  <w:vAlign w:val="center"/>
                </w:tcPr>
                <w:p>
                  <w:pPr>
                    <w:jc w:val="center"/>
                    <w:rPr>
                      <w:color w:val="auto"/>
                      <w:sz w:val="21"/>
                      <w:szCs w:val="21"/>
                    </w:rPr>
                  </w:pPr>
                  <w:r>
                    <w:rPr>
                      <w:color w:val="auto"/>
                      <w:sz w:val="21"/>
                      <w:szCs w:val="21"/>
                    </w:rPr>
                    <w:t>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91" w:type="dxa"/>
                  <w:vAlign w:val="center"/>
                </w:tcPr>
                <w:p>
                  <w:pPr>
                    <w:jc w:val="center"/>
                    <w:rPr>
                      <w:color w:val="auto"/>
                      <w:sz w:val="21"/>
                      <w:szCs w:val="21"/>
                    </w:rPr>
                  </w:pPr>
                  <w:r>
                    <w:rPr>
                      <w:color w:val="auto"/>
                      <w:sz w:val="21"/>
                      <w:szCs w:val="21"/>
                    </w:rPr>
                    <w:t>3</w:t>
                  </w:r>
                </w:p>
              </w:tc>
              <w:tc>
                <w:tcPr>
                  <w:tcW w:w="2143" w:type="dxa"/>
                  <w:vAlign w:val="center"/>
                </w:tcPr>
                <w:p>
                  <w:pPr>
                    <w:jc w:val="center"/>
                    <w:rPr>
                      <w:color w:val="auto"/>
                      <w:sz w:val="21"/>
                      <w:szCs w:val="21"/>
                    </w:rPr>
                  </w:pPr>
                  <w:r>
                    <w:rPr>
                      <w:color w:val="auto"/>
                      <w:sz w:val="21"/>
                      <w:szCs w:val="21"/>
                    </w:rPr>
                    <w:t>治理太湖水环境</w:t>
                  </w:r>
                </w:p>
              </w:tc>
              <w:tc>
                <w:tcPr>
                  <w:tcW w:w="5893" w:type="dxa"/>
                  <w:vAlign w:val="center"/>
                </w:tcPr>
                <w:p>
                  <w:pPr>
                    <w:jc w:val="center"/>
                    <w:rPr>
                      <w:color w:val="auto"/>
                      <w:sz w:val="21"/>
                      <w:szCs w:val="21"/>
                    </w:rPr>
                  </w:pPr>
                  <w:r>
                    <w:rPr>
                      <w:color w:val="auto"/>
                      <w:sz w:val="21"/>
                      <w:szCs w:val="21"/>
                    </w:rPr>
                    <w:t>本项目生活污水经市政污水管网进入镇湖污水处理厂处理达标后排入京杭运河。无含氮、磷生产废水排放。</w:t>
                  </w:r>
                </w:p>
              </w:tc>
              <w:tc>
                <w:tcPr>
                  <w:tcW w:w="795" w:type="dxa"/>
                  <w:vAlign w:val="center"/>
                </w:tcPr>
                <w:p>
                  <w:pPr>
                    <w:jc w:val="center"/>
                    <w:rPr>
                      <w:color w:val="auto"/>
                      <w:sz w:val="21"/>
                      <w:szCs w:val="21"/>
                    </w:rPr>
                  </w:pPr>
                  <w:r>
                    <w:rPr>
                      <w:color w:val="auto"/>
                      <w:sz w:val="21"/>
                      <w:szCs w:val="21"/>
                    </w:rPr>
                    <w:t>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591" w:type="dxa"/>
                  <w:vAlign w:val="center"/>
                </w:tcPr>
                <w:p>
                  <w:pPr>
                    <w:jc w:val="center"/>
                    <w:rPr>
                      <w:color w:val="auto"/>
                      <w:sz w:val="21"/>
                      <w:szCs w:val="21"/>
                    </w:rPr>
                  </w:pPr>
                  <w:r>
                    <w:rPr>
                      <w:color w:val="auto"/>
                      <w:sz w:val="21"/>
                      <w:szCs w:val="21"/>
                    </w:rPr>
                    <w:t>4</w:t>
                  </w:r>
                </w:p>
              </w:tc>
              <w:tc>
                <w:tcPr>
                  <w:tcW w:w="2143" w:type="dxa"/>
                  <w:vAlign w:val="center"/>
                </w:tcPr>
                <w:p>
                  <w:pPr>
                    <w:jc w:val="center"/>
                    <w:rPr>
                      <w:color w:val="auto"/>
                      <w:sz w:val="21"/>
                      <w:szCs w:val="21"/>
                    </w:rPr>
                  </w:pPr>
                  <w:r>
                    <w:rPr>
                      <w:color w:val="auto"/>
                      <w:sz w:val="21"/>
                      <w:szCs w:val="21"/>
                    </w:rPr>
                    <w:t>治理挥发性有机物污染，强制使用水性涂料</w:t>
                  </w:r>
                </w:p>
              </w:tc>
              <w:tc>
                <w:tcPr>
                  <w:tcW w:w="5893" w:type="dxa"/>
                  <w:vAlign w:val="center"/>
                </w:tcPr>
                <w:p>
                  <w:pPr>
                    <w:jc w:val="center"/>
                    <w:rPr>
                      <w:color w:val="auto"/>
                      <w:sz w:val="21"/>
                      <w:szCs w:val="21"/>
                    </w:rPr>
                  </w:pPr>
                  <w:r>
                    <w:rPr>
                      <w:color w:val="auto"/>
                      <w:sz w:val="21"/>
                      <w:szCs w:val="21"/>
                    </w:rPr>
                    <w:t>本项目生产过程中不使用挥发性有机物。</w:t>
                  </w:r>
                </w:p>
              </w:tc>
              <w:tc>
                <w:tcPr>
                  <w:tcW w:w="795" w:type="dxa"/>
                  <w:vAlign w:val="center"/>
                </w:tcPr>
                <w:p>
                  <w:pPr>
                    <w:jc w:val="center"/>
                    <w:rPr>
                      <w:color w:val="auto"/>
                      <w:sz w:val="21"/>
                      <w:szCs w:val="21"/>
                    </w:rPr>
                  </w:pPr>
                  <w:r>
                    <w:rPr>
                      <w:color w:val="auto"/>
                      <w:sz w:val="21"/>
                      <w:szCs w:val="21"/>
                    </w:rPr>
                    <w:t>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91" w:type="dxa"/>
                  <w:vAlign w:val="center"/>
                </w:tcPr>
                <w:p>
                  <w:pPr>
                    <w:jc w:val="center"/>
                    <w:rPr>
                      <w:color w:val="auto"/>
                      <w:sz w:val="21"/>
                      <w:szCs w:val="21"/>
                    </w:rPr>
                  </w:pPr>
                  <w:r>
                    <w:rPr>
                      <w:color w:val="auto"/>
                      <w:sz w:val="21"/>
                      <w:szCs w:val="21"/>
                    </w:rPr>
                    <w:t>5</w:t>
                  </w:r>
                </w:p>
              </w:tc>
              <w:tc>
                <w:tcPr>
                  <w:tcW w:w="2143" w:type="dxa"/>
                  <w:vAlign w:val="center"/>
                </w:tcPr>
                <w:p>
                  <w:pPr>
                    <w:jc w:val="center"/>
                    <w:rPr>
                      <w:color w:val="auto"/>
                      <w:sz w:val="21"/>
                      <w:szCs w:val="21"/>
                    </w:rPr>
                  </w:pPr>
                  <w:r>
                    <w:rPr>
                      <w:color w:val="auto"/>
                      <w:sz w:val="21"/>
                      <w:szCs w:val="21"/>
                    </w:rPr>
                    <w:t>提升生态保护水平</w:t>
                  </w:r>
                </w:p>
              </w:tc>
              <w:tc>
                <w:tcPr>
                  <w:tcW w:w="5893" w:type="dxa"/>
                  <w:vAlign w:val="center"/>
                </w:tcPr>
                <w:p>
                  <w:pPr>
                    <w:jc w:val="center"/>
                    <w:rPr>
                      <w:color w:val="auto"/>
                      <w:sz w:val="21"/>
                      <w:szCs w:val="21"/>
                    </w:rPr>
                  </w:pPr>
                  <w:r>
                    <w:rPr>
                      <w:color w:val="auto"/>
                      <w:sz w:val="21"/>
                      <w:szCs w:val="21"/>
                    </w:rPr>
                    <w:t>本项目选址不在生态红线管控区内，各项目污染物均得到有效控制。</w:t>
                  </w:r>
                </w:p>
              </w:tc>
              <w:tc>
                <w:tcPr>
                  <w:tcW w:w="795" w:type="dxa"/>
                  <w:vAlign w:val="center"/>
                </w:tcPr>
                <w:p>
                  <w:pPr>
                    <w:jc w:val="center"/>
                    <w:rPr>
                      <w:color w:val="auto"/>
                      <w:sz w:val="21"/>
                      <w:szCs w:val="21"/>
                    </w:rPr>
                  </w:pPr>
                  <w:r>
                    <w:rPr>
                      <w:color w:val="auto"/>
                      <w:sz w:val="21"/>
                      <w:szCs w:val="21"/>
                    </w:rPr>
                    <w:t>是</w:t>
                  </w:r>
                </w:p>
              </w:tc>
            </w:tr>
          </w:tbl>
          <w:p>
            <w:pPr>
              <w:ind w:firstLine="480" w:firstLineChars="200"/>
              <w:rPr>
                <w:color w:val="auto"/>
              </w:rPr>
            </w:pPr>
            <w:r>
              <w:rPr>
                <w:color w:val="auto"/>
              </w:rPr>
              <w:t>综上所述，本项目与“两减六治三提升”专项行动方案相符。</w:t>
            </w:r>
          </w:p>
          <w:p>
            <w:pPr>
              <w:pStyle w:val="2"/>
              <w:ind w:firstLine="0" w:firstLineChars="0"/>
              <w:rPr>
                <w:b/>
                <w:bCs/>
                <w:color w:val="auto"/>
              </w:rPr>
            </w:pPr>
            <w:r>
              <w:rPr>
                <w:rFonts w:hint="eastAsia"/>
                <w:b/>
                <w:bCs/>
                <w:color w:val="auto"/>
              </w:rPr>
              <w:t>8、与《苏州高新区工业挥发性有机废气整治提升三年行动方案的通知》的相符性</w:t>
            </w:r>
          </w:p>
          <w:p>
            <w:pPr>
              <w:pStyle w:val="2"/>
              <w:ind w:firstLine="480" w:firstLineChars="200"/>
              <w:rPr>
                <w:color w:val="auto"/>
              </w:rPr>
            </w:pPr>
            <w:r>
              <w:rPr>
                <w:rFonts w:hint="eastAsia"/>
                <w:color w:val="auto"/>
              </w:rPr>
              <w:t>苏州国家高新技术产业开发区管理委员会于 2018 年 4 月通过了《苏州高新区工业挥发性有机废气整治提升三年行动方案》，本项目建设性质为新建，故本项目与该文件的相符性分析见下表：</w:t>
            </w:r>
          </w:p>
          <w:p>
            <w:pPr>
              <w:pStyle w:val="2"/>
              <w:ind w:firstLine="0" w:firstLineChars="0"/>
              <w:jc w:val="center"/>
              <w:rPr>
                <w:b/>
                <w:bCs/>
                <w:color w:val="auto"/>
                <w:sz w:val="21"/>
                <w:szCs w:val="21"/>
              </w:rPr>
            </w:pPr>
            <w:r>
              <w:rPr>
                <w:rFonts w:hint="eastAsia"/>
                <w:b/>
                <w:bCs/>
                <w:color w:val="auto"/>
                <w:sz w:val="21"/>
                <w:szCs w:val="21"/>
              </w:rPr>
              <w:t>表1-</w:t>
            </w:r>
            <w:r>
              <w:rPr>
                <w:rFonts w:hint="eastAsia"/>
                <w:b/>
                <w:bCs/>
                <w:color w:val="auto"/>
                <w:sz w:val="21"/>
                <w:szCs w:val="21"/>
                <w:lang w:val="en-US" w:eastAsia="zh-CN"/>
              </w:rPr>
              <w:t>9</w:t>
            </w:r>
            <w:r>
              <w:rPr>
                <w:rFonts w:hint="eastAsia"/>
                <w:b/>
                <w:bCs/>
                <w:color w:val="auto"/>
                <w:sz w:val="21"/>
                <w:szCs w:val="21"/>
              </w:rPr>
              <w:t>与《苏州高新区工业挥发性有机废气整治提升三年行动方案》的相符性</w:t>
            </w:r>
          </w:p>
          <w:tbl>
            <w:tblPr>
              <w:tblStyle w:val="26"/>
              <w:tblW w:w="9422"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704"/>
              <w:gridCol w:w="1220"/>
              <w:gridCol w:w="4999"/>
              <w:gridCol w:w="1372"/>
              <w:gridCol w:w="112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704" w:type="dxa"/>
                  <w:noWrap/>
                </w:tcPr>
                <w:p>
                  <w:pPr>
                    <w:spacing w:line="240" w:lineRule="auto"/>
                    <w:ind w:left="120" w:leftChars="50" w:right="120" w:rightChars="50"/>
                    <w:jc w:val="center"/>
                    <w:rPr>
                      <w:color w:val="auto"/>
                      <w:sz w:val="21"/>
                      <w:szCs w:val="21"/>
                    </w:rPr>
                  </w:pPr>
                  <w:r>
                    <w:rPr>
                      <w:color w:val="auto"/>
                      <w:sz w:val="21"/>
                      <w:szCs w:val="21"/>
                    </w:rPr>
                    <w:t>序号</w:t>
                  </w:r>
                </w:p>
              </w:tc>
              <w:tc>
                <w:tcPr>
                  <w:tcW w:w="6219" w:type="dxa"/>
                  <w:gridSpan w:val="2"/>
                  <w:noWrap/>
                  <w:vAlign w:val="center"/>
                </w:tcPr>
                <w:p>
                  <w:pPr>
                    <w:spacing w:line="240" w:lineRule="auto"/>
                    <w:ind w:right="120" w:rightChars="50"/>
                    <w:jc w:val="center"/>
                    <w:rPr>
                      <w:color w:val="auto"/>
                      <w:sz w:val="21"/>
                      <w:szCs w:val="21"/>
                    </w:rPr>
                  </w:pPr>
                  <w:r>
                    <w:rPr>
                      <w:color w:val="auto"/>
                      <w:sz w:val="21"/>
                      <w:szCs w:val="21"/>
                    </w:rPr>
                    <w:t>苏高新管〔2018〕74 号要求</w:t>
                  </w:r>
                </w:p>
              </w:tc>
              <w:tc>
                <w:tcPr>
                  <w:tcW w:w="1372" w:type="dxa"/>
                  <w:noWrap/>
                  <w:vAlign w:val="center"/>
                </w:tcPr>
                <w:p>
                  <w:pPr>
                    <w:spacing w:line="240" w:lineRule="auto"/>
                    <w:ind w:right="120" w:rightChars="50"/>
                    <w:jc w:val="center"/>
                    <w:rPr>
                      <w:color w:val="auto"/>
                      <w:sz w:val="21"/>
                      <w:szCs w:val="21"/>
                    </w:rPr>
                  </w:pPr>
                  <w:r>
                    <w:rPr>
                      <w:color w:val="auto"/>
                      <w:sz w:val="21"/>
                      <w:szCs w:val="21"/>
                    </w:rPr>
                    <w:t>项目情况</w:t>
                  </w:r>
                </w:p>
              </w:tc>
              <w:tc>
                <w:tcPr>
                  <w:tcW w:w="1127" w:type="dxa"/>
                  <w:noWrap/>
                  <w:vAlign w:val="center"/>
                </w:tcPr>
                <w:p>
                  <w:pPr>
                    <w:spacing w:line="240" w:lineRule="auto"/>
                    <w:ind w:right="120" w:rightChars="50"/>
                    <w:jc w:val="center"/>
                    <w:rPr>
                      <w:color w:val="auto"/>
                      <w:sz w:val="21"/>
                      <w:szCs w:val="21"/>
                    </w:rPr>
                  </w:pPr>
                  <w:r>
                    <w:rPr>
                      <w:color w:val="auto"/>
                      <w:sz w:val="21"/>
                      <w:szCs w:val="21"/>
                    </w:rPr>
                    <w:t>是否相符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restart"/>
                  <w:noWrap/>
                  <w:vAlign w:val="center"/>
                </w:tcPr>
                <w:p>
                  <w:pPr>
                    <w:spacing w:line="240" w:lineRule="auto"/>
                    <w:ind w:right="120" w:rightChars="50"/>
                    <w:jc w:val="center"/>
                    <w:rPr>
                      <w:color w:val="auto"/>
                      <w:sz w:val="21"/>
                      <w:szCs w:val="21"/>
                    </w:rPr>
                  </w:pPr>
                  <w:r>
                    <w:rPr>
                      <w:color w:val="auto"/>
                      <w:sz w:val="21"/>
                      <w:szCs w:val="21"/>
                    </w:rPr>
                    <w:t>1</w:t>
                  </w:r>
                </w:p>
              </w:tc>
              <w:tc>
                <w:tcPr>
                  <w:tcW w:w="1220" w:type="dxa"/>
                  <w:vMerge w:val="restart"/>
                  <w:noWrap/>
                  <w:vAlign w:val="center"/>
                </w:tcPr>
                <w:p>
                  <w:pPr>
                    <w:spacing w:line="240" w:lineRule="auto"/>
                    <w:ind w:right="120" w:rightChars="50"/>
                    <w:jc w:val="center"/>
                    <w:rPr>
                      <w:color w:val="auto"/>
                      <w:sz w:val="21"/>
                      <w:szCs w:val="21"/>
                    </w:rPr>
                  </w:pPr>
                  <w:r>
                    <w:rPr>
                      <w:color w:val="auto"/>
                      <w:sz w:val="21"/>
                      <w:szCs w:val="21"/>
                    </w:rPr>
                    <w:t>严格新建项目准入门槛，控制VOCs排放增量</w:t>
                  </w:r>
                </w:p>
              </w:tc>
              <w:tc>
                <w:tcPr>
                  <w:tcW w:w="4999" w:type="dxa"/>
                  <w:noWrap/>
                  <w:vAlign w:val="center"/>
                </w:tcPr>
                <w:p>
                  <w:pPr>
                    <w:spacing w:line="240" w:lineRule="auto"/>
                    <w:ind w:left="120" w:leftChars="50" w:right="120" w:rightChars="50"/>
                    <w:jc w:val="center"/>
                    <w:rPr>
                      <w:color w:val="auto"/>
                      <w:sz w:val="21"/>
                      <w:szCs w:val="21"/>
                    </w:rPr>
                  </w:pPr>
                  <w:r>
                    <w:rPr>
                      <w:color w:val="auto"/>
                      <w:sz w:val="21"/>
                      <w:szCs w:val="21"/>
                    </w:rPr>
                    <w:t>1、喷涂、电泳等表面涂装和涉有机溶剂的印刷、涂布、清洗、浸渍等排放 VOCs 的处理工艺，除为主体项目配套外，原则一律不予准入</w:t>
                  </w:r>
                </w:p>
              </w:tc>
              <w:tc>
                <w:tcPr>
                  <w:tcW w:w="1372" w:type="dxa"/>
                  <w:noWrap/>
                  <w:vAlign w:val="center"/>
                </w:tcPr>
                <w:p>
                  <w:pPr>
                    <w:spacing w:line="240" w:lineRule="auto"/>
                    <w:ind w:right="120" w:rightChars="50"/>
                    <w:jc w:val="center"/>
                    <w:rPr>
                      <w:color w:val="auto"/>
                      <w:sz w:val="21"/>
                      <w:szCs w:val="21"/>
                    </w:rPr>
                  </w:pPr>
                  <w:r>
                    <w:rPr>
                      <w:color w:val="auto"/>
                      <w:sz w:val="21"/>
                      <w:szCs w:val="21"/>
                    </w:rPr>
                    <w:t>不属于</w:t>
                  </w:r>
                </w:p>
              </w:tc>
              <w:tc>
                <w:tcPr>
                  <w:tcW w:w="1127" w:type="dxa"/>
                  <w:noWrap/>
                  <w:vAlign w:val="center"/>
                </w:tcPr>
                <w:p>
                  <w:pPr>
                    <w:spacing w:line="240" w:lineRule="auto"/>
                    <w:ind w:right="120" w:rightChars="50"/>
                    <w:jc w:val="center"/>
                    <w:rPr>
                      <w:color w:val="auto"/>
                      <w:sz w:val="21"/>
                      <w:szCs w:val="21"/>
                    </w:rPr>
                  </w:pPr>
                  <w:r>
                    <w:rPr>
                      <w:color w:val="auto"/>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noWrap/>
                  <w:vAlign w:val="center"/>
                </w:tcPr>
                <w:p>
                  <w:pPr>
                    <w:spacing w:line="240" w:lineRule="auto"/>
                    <w:ind w:left="120" w:leftChars="50" w:right="120" w:rightChars="50" w:firstLine="420" w:firstLineChars="200"/>
                    <w:jc w:val="center"/>
                    <w:rPr>
                      <w:color w:val="auto"/>
                      <w:sz w:val="21"/>
                      <w:szCs w:val="21"/>
                    </w:rPr>
                  </w:pPr>
                </w:p>
              </w:tc>
              <w:tc>
                <w:tcPr>
                  <w:tcW w:w="1220" w:type="dxa"/>
                  <w:vMerge w:val="continue"/>
                  <w:noWrap/>
                  <w:vAlign w:val="center"/>
                </w:tcPr>
                <w:p>
                  <w:pPr>
                    <w:spacing w:line="240" w:lineRule="auto"/>
                    <w:ind w:left="120" w:leftChars="50" w:right="120" w:rightChars="50" w:firstLine="420" w:firstLineChars="200"/>
                    <w:jc w:val="center"/>
                    <w:rPr>
                      <w:color w:val="auto"/>
                      <w:sz w:val="21"/>
                      <w:szCs w:val="21"/>
                    </w:rPr>
                  </w:pPr>
                </w:p>
              </w:tc>
              <w:tc>
                <w:tcPr>
                  <w:tcW w:w="4999" w:type="dxa"/>
                  <w:noWrap/>
                  <w:vAlign w:val="center"/>
                </w:tcPr>
                <w:p>
                  <w:pPr>
                    <w:spacing w:line="240" w:lineRule="auto"/>
                    <w:ind w:left="120" w:leftChars="50" w:right="120" w:rightChars="50"/>
                    <w:jc w:val="center"/>
                    <w:rPr>
                      <w:color w:val="auto"/>
                      <w:sz w:val="21"/>
                      <w:szCs w:val="21"/>
                    </w:rPr>
                  </w:pPr>
                  <w:r>
                    <w:rPr>
                      <w:color w:val="auto"/>
                      <w:sz w:val="21"/>
                      <w:szCs w:val="21"/>
                    </w:rPr>
                    <w:t>2、VOCs 排放总量≥3t/a的建设项目，投资额不得低于5000万人民币，VOCs 排放总量≥5t/a的建设项目，投资额不得低于1个亿人民币</w:t>
                  </w:r>
                </w:p>
              </w:tc>
              <w:tc>
                <w:tcPr>
                  <w:tcW w:w="1372" w:type="dxa"/>
                  <w:vMerge w:val="restart"/>
                  <w:noWrap/>
                  <w:vAlign w:val="center"/>
                </w:tcPr>
                <w:p>
                  <w:pPr>
                    <w:spacing w:line="240" w:lineRule="auto"/>
                    <w:ind w:right="120" w:rightChars="50"/>
                    <w:jc w:val="center"/>
                    <w:rPr>
                      <w:color w:val="auto"/>
                      <w:sz w:val="21"/>
                      <w:szCs w:val="21"/>
                    </w:rPr>
                  </w:pPr>
                  <w:r>
                    <w:rPr>
                      <w:color w:val="auto"/>
                      <w:sz w:val="21"/>
                      <w:szCs w:val="21"/>
                    </w:rPr>
                    <w:t>不属于</w:t>
                  </w:r>
                </w:p>
              </w:tc>
              <w:tc>
                <w:tcPr>
                  <w:tcW w:w="1127" w:type="dxa"/>
                  <w:vMerge w:val="restart"/>
                  <w:noWrap/>
                  <w:vAlign w:val="center"/>
                </w:tcPr>
                <w:p>
                  <w:pPr>
                    <w:spacing w:line="240" w:lineRule="auto"/>
                    <w:ind w:right="120" w:rightChars="50"/>
                    <w:jc w:val="center"/>
                    <w:rPr>
                      <w:color w:val="auto"/>
                      <w:sz w:val="21"/>
                      <w:szCs w:val="21"/>
                    </w:rPr>
                  </w:pPr>
                  <w:r>
                    <w:rPr>
                      <w:color w:val="auto"/>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noWrap/>
                  <w:vAlign w:val="center"/>
                </w:tcPr>
                <w:p>
                  <w:pPr>
                    <w:spacing w:line="240" w:lineRule="auto"/>
                    <w:ind w:left="120" w:leftChars="50" w:right="120" w:rightChars="50" w:firstLine="420" w:firstLineChars="200"/>
                    <w:jc w:val="center"/>
                    <w:rPr>
                      <w:color w:val="auto"/>
                      <w:sz w:val="21"/>
                      <w:szCs w:val="21"/>
                    </w:rPr>
                  </w:pPr>
                </w:p>
              </w:tc>
              <w:tc>
                <w:tcPr>
                  <w:tcW w:w="1220" w:type="dxa"/>
                  <w:vMerge w:val="continue"/>
                  <w:noWrap/>
                  <w:vAlign w:val="center"/>
                </w:tcPr>
                <w:p>
                  <w:pPr>
                    <w:spacing w:line="240" w:lineRule="auto"/>
                    <w:ind w:left="120" w:leftChars="50" w:right="120" w:rightChars="50" w:firstLine="420" w:firstLineChars="200"/>
                    <w:jc w:val="center"/>
                    <w:rPr>
                      <w:color w:val="auto"/>
                      <w:sz w:val="21"/>
                      <w:szCs w:val="21"/>
                    </w:rPr>
                  </w:pPr>
                </w:p>
              </w:tc>
              <w:tc>
                <w:tcPr>
                  <w:tcW w:w="4999" w:type="dxa"/>
                  <w:noWrap/>
                  <w:vAlign w:val="center"/>
                </w:tcPr>
                <w:p>
                  <w:pPr>
                    <w:spacing w:line="240" w:lineRule="auto"/>
                    <w:ind w:left="120" w:leftChars="50" w:right="120" w:rightChars="50"/>
                    <w:jc w:val="center"/>
                    <w:rPr>
                      <w:color w:val="auto"/>
                      <w:sz w:val="21"/>
                      <w:szCs w:val="21"/>
                    </w:rPr>
                  </w:pPr>
                  <w:r>
                    <w:rPr>
                      <w:color w:val="auto"/>
                      <w:sz w:val="21"/>
                      <w:szCs w:val="21"/>
                    </w:rPr>
                    <w:t>3、严格限制VOCs新增排放量≥10t/a以上项目的准入</w:t>
                  </w:r>
                </w:p>
              </w:tc>
              <w:tc>
                <w:tcPr>
                  <w:tcW w:w="1372" w:type="dxa"/>
                  <w:vMerge w:val="continue"/>
                  <w:noWrap/>
                  <w:vAlign w:val="center"/>
                </w:tcPr>
                <w:p>
                  <w:pPr>
                    <w:spacing w:line="240" w:lineRule="auto"/>
                    <w:ind w:left="120" w:leftChars="50" w:right="120" w:rightChars="50" w:firstLine="420" w:firstLineChars="200"/>
                    <w:jc w:val="center"/>
                    <w:rPr>
                      <w:color w:val="auto"/>
                      <w:sz w:val="21"/>
                      <w:szCs w:val="21"/>
                    </w:rPr>
                  </w:pPr>
                </w:p>
              </w:tc>
              <w:tc>
                <w:tcPr>
                  <w:tcW w:w="1127" w:type="dxa"/>
                  <w:vMerge w:val="continue"/>
                  <w:noWrap/>
                  <w:vAlign w:val="center"/>
                </w:tcPr>
                <w:p>
                  <w:pPr>
                    <w:spacing w:line="240" w:lineRule="auto"/>
                    <w:ind w:left="120" w:leftChars="50" w:right="120" w:rightChars="50" w:firstLine="420" w:firstLineChars="200"/>
                    <w:jc w:val="center"/>
                    <w:rPr>
                      <w:color w:val="auto"/>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noWrap/>
                  <w:vAlign w:val="center"/>
                </w:tcPr>
                <w:p>
                  <w:pPr>
                    <w:spacing w:line="240" w:lineRule="auto"/>
                    <w:ind w:left="120" w:leftChars="50" w:right="120" w:rightChars="50" w:firstLine="420" w:firstLineChars="200"/>
                    <w:jc w:val="center"/>
                    <w:rPr>
                      <w:color w:val="auto"/>
                      <w:sz w:val="21"/>
                      <w:szCs w:val="21"/>
                    </w:rPr>
                  </w:pPr>
                </w:p>
              </w:tc>
              <w:tc>
                <w:tcPr>
                  <w:tcW w:w="1220" w:type="dxa"/>
                  <w:vMerge w:val="continue"/>
                  <w:noWrap/>
                  <w:vAlign w:val="center"/>
                </w:tcPr>
                <w:p>
                  <w:pPr>
                    <w:spacing w:line="240" w:lineRule="auto"/>
                    <w:ind w:left="120" w:leftChars="50" w:right="120" w:rightChars="50" w:firstLine="420" w:firstLineChars="200"/>
                    <w:jc w:val="center"/>
                    <w:rPr>
                      <w:color w:val="auto"/>
                      <w:sz w:val="21"/>
                      <w:szCs w:val="21"/>
                    </w:rPr>
                  </w:pPr>
                </w:p>
              </w:tc>
              <w:tc>
                <w:tcPr>
                  <w:tcW w:w="4999" w:type="dxa"/>
                  <w:noWrap/>
                  <w:vAlign w:val="center"/>
                </w:tcPr>
                <w:p>
                  <w:pPr>
                    <w:spacing w:line="240" w:lineRule="auto"/>
                    <w:ind w:left="120" w:leftChars="50" w:right="120" w:rightChars="50"/>
                    <w:jc w:val="center"/>
                    <w:rPr>
                      <w:color w:val="auto"/>
                      <w:sz w:val="21"/>
                      <w:szCs w:val="21"/>
                    </w:rPr>
                  </w:pPr>
                  <w:r>
                    <w:rPr>
                      <w:color w:val="auto"/>
                      <w:sz w:val="21"/>
                      <w:szCs w:val="21"/>
                    </w:rPr>
                    <w:t>4、包装印刷、集装箱、交通工具、机械设备、人造板、家具、船舶制造等行业，使用低VOCs含量的涂料、胶黏剂、清洗剂、油墨等有机溶剂。</w:t>
                  </w:r>
                </w:p>
              </w:tc>
              <w:tc>
                <w:tcPr>
                  <w:tcW w:w="1372" w:type="dxa"/>
                  <w:noWrap/>
                  <w:vAlign w:val="center"/>
                </w:tcPr>
                <w:p>
                  <w:pPr>
                    <w:spacing w:line="240" w:lineRule="auto"/>
                    <w:ind w:right="120" w:rightChars="50"/>
                    <w:jc w:val="center"/>
                    <w:rPr>
                      <w:color w:val="auto"/>
                      <w:sz w:val="21"/>
                      <w:szCs w:val="21"/>
                    </w:rPr>
                  </w:pPr>
                  <w:r>
                    <w:rPr>
                      <w:color w:val="auto"/>
                      <w:sz w:val="21"/>
                      <w:szCs w:val="21"/>
                    </w:rPr>
                    <w:t>不属于</w:t>
                  </w:r>
                </w:p>
              </w:tc>
              <w:tc>
                <w:tcPr>
                  <w:tcW w:w="1127" w:type="dxa"/>
                  <w:noWrap/>
                  <w:vAlign w:val="center"/>
                </w:tcPr>
                <w:p>
                  <w:pPr>
                    <w:spacing w:line="240" w:lineRule="auto"/>
                    <w:ind w:right="120" w:rightChars="50"/>
                    <w:jc w:val="center"/>
                    <w:rPr>
                      <w:color w:val="auto"/>
                      <w:sz w:val="21"/>
                      <w:szCs w:val="21"/>
                    </w:rPr>
                  </w:pPr>
                  <w:r>
                    <w:rPr>
                      <w:color w:val="auto"/>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noWrap/>
                  <w:vAlign w:val="center"/>
                </w:tcPr>
                <w:p>
                  <w:pPr>
                    <w:spacing w:line="240" w:lineRule="auto"/>
                    <w:ind w:left="120" w:leftChars="50" w:right="120" w:rightChars="50" w:firstLine="420" w:firstLineChars="200"/>
                    <w:jc w:val="center"/>
                    <w:rPr>
                      <w:color w:val="auto"/>
                      <w:sz w:val="21"/>
                      <w:szCs w:val="21"/>
                    </w:rPr>
                  </w:pPr>
                </w:p>
              </w:tc>
              <w:tc>
                <w:tcPr>
                  <w:tcW w:w="1220" w:type="dxa"/>
                  <w:vMerge w:val="continue"/>
                  <w:noWrap/>
                  <w:vAlign w:val="center"/>
                </w:tcPr>
                <w:p>
                  <w:pPr>
                    <w:spacing w:line="240" w:lineRule="auto"/>
                    <w:ind w:left="120" w:leftChars="50" w:right="120" w:rightChars="50" w:firstLine="420" w:firstLineChars="200"/>
                    <w:jc w:val="center"/>
                    <w:rPr>
                      <w:color w:val="auto"/>
                      <w:sz w:val="21"/>
                      <w:szCs w:val="21"/>
                    </w:rPr>
                  </w:pPr>
                </w:p>
              </w:tc>
              <w:tc>
                <w:tcPr>
                  <w:tcW w:w="4999" w:type="dxa"/>
                  <w:noWrap/>
                  <w:vAlign w:val="center"/>
                </w:tcPr>
                <w:p>
                  <w:pPr>
                    <w:spacing w:line="240" w:lineRule="auto"/>
                    <w:ind w:left="120" w:leftChars="50" w:right="120" w:rightChars="50"/>
                    <w:jc w:val="center"/>
                    <w:rPr>
                      <w:color w:val="auto"/>
                      <w:sz w:val="21"/>
                      <w:szCs w:val="21"/>
                    </w:rPr>
                  </w:pPr>
                  <w:r>
                    <w:rPr>
                      <w:color w:val="auto"/>
                      <w:sz w:val="21"/>
                      <w:szCs w:val="21"/>
                    </w:rPr>
                    <w:t>5、严格控制敏感目标周边300m范围内建设挥发性有机物排放量大（≥3t/a）的工业项目，切实减少对敏感目标的影响</w:t>
                  </w:r>
                </w:p>
              </w:tc>
              <w:tc>
                <w:tcPr>
                  <w:tcW w:w="1372" w:type="dxa"/>
                  <w:noWrap/>
                  <w:vAlign w:val="center"/>
                </w:tcPr>
                <w:p>
                  <w:pPr>
                    <w:spacing w:line="240" w:lineRule="auto"/>
                    <w:ind w:right="120" w:rightChars="50"/>
                    <w:jc w:val="center"/>
                    <w:rPr>
                      <w:color w:val="auto"/>
                      <w:sz w:val="21"/>
                      <w:szCs w:val="21"/>
                    </w:rPr>
                  </w:pPr>
                  <w:r>
                    <w:rPr>
                      <w:color w:val="auto"/>
                      <w:sz w:val="21"/>
                      <w:szCs w:val="21"/>
                    </w:rPr>
                    <w:t>不属于</w:t>
                  </w:r>
                </w:p>
              </w:tc>
              <w:tc>
                <w:tcPr>
                  <w:tcW w:w="1127" w:type="dxa"/>
                  <w:noWrap/>
                  <w:vAlign w:val="center"/>
                </w:tcPr>
                <w:p>
                  <w:pPr>
                    <w:spacing w:line="240" w:lineRule="auto"/>
                    <w:ind w:right="120" w:rightChars="50"/>
                    <w:jc w:val="center"/>
                    <w:rPr>
                      <w:color w:val="auto"/>
                      <w:sz w:val="21"/>
                      <w:szCs w:val="21"/>
                    </w:rPr>
                  </w:pPr>
                  <w:r>
                    <w:rPr>
                      <w:color w:val="auto"/>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noWrap/>
                  <w:vAlign w:val="center"/>
                </w:tcPr>
                <w:p>
                  <w:pPr>
                    <w:spacing w:line="240" w:lineRule="auto"/>
                    <w:ind w:left="120" w:leftChars="50" w:right="120" w:rightChars="50" w:firstLine="420" w:firstLineChars="200"/>
                    <w:jc w:val="center"/>
                    <w:rPr>
                      <w:color w:val="auto"/>
                      <w:sz w:val="21"/>
                      <w:szCs w:val="21"/>
                    </w:rPr>
                  </w:pPr>
                </w:p>
              </w:tc>
              <w:tc>
                <w:tcPr>
                  <w:tcW w:w="1220" w:type="dxa"/>
                  <w:vMerge w:val="continue"/>
                  <w:noWrap/>
                  <w:vAlign w:val="center"/>
                </w:tcPr>
                <w:p>
                  <w:pPr>
                    <w:spacing w:line="240" w:lineRule="auto"/>
                    <w:ind w:left="120" w:leftChars="50" w:right="120" w:rightChars="50" w:firstLine="420" w:firstLineChars="200"/>
                    <w:jc w:val="center"/>
                    <w:rPr>
                      <w:color w:val="auto"/>
                      <w:sz w:val="21"/>
                      <w:szCs w:val="21"/>
                    </w:rPr>
                  </w:pPr>
                </w:p>
              </w:tc>
              <w:tc>
                <w:tcPr>
                  <w:tcW w:w="4999" w:type="dxa"/>
                  <w:noWrap/>
                  <w:vAlign w:val="center"/>
                </w:tcPr>
                <w:p>
                  <w:pPr>
                    <w:spacing w:line="240" w:lineRule="auto"/>
                    <w:ind w:left="120" w:leftChars="50" w:right="120" w:rightChars="50"/>
                    <w:jc w:val="center"/>
                    <w:rPr>
                      <w:color w:val="auto"/>
                      <w:sz w:val="21"/>
                      <w:szCs w:val="21"/>
                    </w:rPr>
                  </w:pPr>
                  <w:r>
                    <w:rPr>
                      <w:color w:val="auto"/>
                      <w:sz w:val="21"/>
                      <w:szCs w:val="21"/>
                    </w:rPr>
                    <w:t>6、化工集中区、高架沿线、中心城区等信访投诉较多的环境敏感区域内新增VOCs项目排放总量在项目所在地人民政府（街道办、管委会）范围内平衡；其他项目按照倍量削减政策在全区范围内平衡</w:t>
                  </w:r>
                </w:p>
              </w:tc>
              <w:tc>
                <w:tcPr>
                  <w:tcW w:w="1372" w:type="dxa"/>
                  <w:noWrap/>
                  <w:vAlign w:val="center"/>
                </w:tcPr>
                <w:p>
                  <w:pPr>
                    <w:spacing w:line="240" w:lineRule="auto"/>
                    <w:ind w:left="120" w:leftChars="50" w:right="120" w:rightChars="50"/>
                    <w:jc w:val="center"/>
                    <w:rPr>
                      <w:color w:val="auto"/>
                      <w:sz w:val="21"/>
                      <w:szCs w:val="21"/>
                    </w:rPr>
                  </w:pPr>
                  <w:r>
                    <w:rPr>
                      <w:rFonts w:hint="eastAsia"/>
                      <w:color w:val="auto"/>
                      <w:sz w:val="21"/>
                      <w:szCs w:val="21"/>
                    </w:rPr>
                    <w:t>不属于</w:t>
                  </w:r>
                </w:p>
              </w:tc>
              <w:tc>
                <w:tcPr>
                  <w:tcW w:w="1127" w:type="dxa"/>
                  <w:noWrap/>
                  <w:vAlign w:val="center"/>
                </w:tcPr>
                <w:p>
                  <w:pPr>
                    <w:spacing w:line="240" w:lineRule="auto"/>
                    <w:ind w:right="120" w:rightChars="50"/>
                    <w:jc w:val="center"/>
                    <w:rPr>
                      <w:color w:val="auto"/>
                      <w:sz w:val="21"/>
                      <w:szCs w:val="21"/>
                    </w:rPr>
                  </w:pPr>
                  <w:r>
                    <w:rPr>
                      <w:color w:val="auto"/>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704" w:type="dxa"/>
                  <w:vMerge w:val="continue"/>
                  <w:noWrap/>
                  <w:vAlign w:val="center"/>
                </w:tcPr>
                <w:p>
                  <w:pPr>
                    <w:spacing w:line="240" w:lineRule="auto"/>
                    <w:ind w:left="120" w:leftChars="50" w:right="120" w:rightChars="50" w:firstLine="420" w:firstLineChars="200"/>
                    <w:jc w:val="center"/>
                    <w:rPr>
                      <w:color w:val="auto"/>
                      <w:sz w:val="21"/>
                      <w:szCs w:val="21"/>
                    </w:rPr>
                  </w:pPr>
                </w:p>
              </w:tc>
              <w:tc>
                <w:tcPr>
                  <w:tcW w:w="1220" w:type="dxa"/>
                  <w:vMerge w:val="continue"/>
                  <w:noWrap/>
                  <w:vAlign w:val="center"/>
                </w:tcPr>
                <w:p>
                  <w:pPr>
                    <w:spacing w:line="240" w:lineRule="auto"/>
                    <w:ind w:left="120" w:leftChars="50" w:right="120" w:rightChars="50" w:firstLine="420" w:firstLineChars="200"/>
                    <w:jc w:val="center"/>
                    <w:rPr>
                      <w:color w:val="auto"/>
                      <w:sz w:val="21"/>
                      <w:szCs w:val="21"/>
                    </w:rPr>
                  </w:pPr>
                </w:p>
              </w:tc>
              <w:tc>
                <w:tcPr>
                  <w:tcW w:w="4999" w:type="dxa"/>
                  <w:noWrap/>
                  <w:vAlign w:val="center"/>
                </w:tcPr>
                <w:p>
                  <w:pPr>
                    <w:spacing w:line="240" w:lineRule="auto"/>
                    <w:ind w:left="120" w:leftChars="50" w:right="120" w:rightChars="50"/>
                    <w:jc w:val="center"/>
                    <w:rPr>
                      <w:color w:val="auto"/>
                      <w:sz w:val="21"/>
                      <w:szCs w:val="21"/>
                    </w:rPr>
                  </w:pPr>
                  <w:r>
                    <w:rPr>
                      <w:color w:val="auto"/>
                      <w:sz w:val="21"/>
                      <w:szCs w:val="21"/>
                    </w:rPr>
                    <w:t>7-1有机化工、医药化工、橡胶和塑料制品（有溶剂浸胶工艺）、溶剂型涂料表面涂装、包装印刷业和VOCs排放总量≥1t/a的企业，按照VOCs总收集率不低于90%的标准进行改造，其他行业原则上按照不低于75%的标准进行改造</w:t>
                  </w:r>
                </w:p>
              </w:tc>
              <w:tc>
                <w:tcPr>
                  <w:tcW w:w="1372" w:type="dxa"/>
                  <w:noWrap/>
                  <w:vAlign w:val="center"/>
                </w:tcPr>
                <w:p>
                  <w:pPr>
                    <w:spacing w:line="240" w:lineRule="auto"/>
                    <w:ind w:right="120" w:rightChars="50"/>
                    <w:jc w:val="center"/>
                    <w:rPr>
                      <w:color w:val="auto"/>
                      <w:sz w:val="21"/>
                      <w:szCs w:val="21"/>
                    </w:rPr>
                  </w:pPr>
                  <w:r>
                    <w:rPr>
                      <w:color w:val="auto"/>
                      <w:sz w:val="21"/>
                      <w:szCs w:val="21"/>
                    </w:rPr>
                    <w:t>不属于</w:t>
                  </w:r>
                </w:p>
              </w:tc>
              <w:tc>
                <w:tcPr>
                  <w:tcW w:w="1127" w:type="dxa"/>
                  <w:vMerge w:val="restart"/>
                  <w:noWrap/>
                  <w:vAlign w:val="center"/>
                </w:tcPr>
                <w:p>
                  <w:pPr>
                    <w:spacing w:line="240" w:lineRule="auto"/>
                    <w:ind w:right="120" w:rightChars="50"/>
                    <w:jc w:val="center"/>
                    <w:rPr>
                      <w:color w:val="auto"/>
                      <w:sz w:val="21"/>
                      <w:szCs w:val="21"/>
                    </w:rPr>
                  </w:pPr>
                  <w:r>
                    <w:rPr>
                      <w:color w:val="auto"/>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90" w:hRule="atLeast"/>
                <w:jc w:val="center"/>
              </w:trPr>
              <w:tc>
                <w:tcPr>
                  <w:tcW w:w="704" w:type="dxa"/>
                  <w:vMerge w:val="continue"/>
                  <w:noWrap/>
                  <w:vAlign w:val="center"/>
                </w:tcPr>
                <w:p>
                  <w:pPr>
                    <w:spacing w:line="240" w:lineRule="auto"/>
                    <w:ind w:left="120" w:leftChars="50" w:right="120" w:rightChars="50" w:firstLine="420" w:firstLineChars="200"/>
                    <w:jc w:val="center"/>
                    <w:rPr>
                      <w:color w:val="auto"/>
                      <w:sz w:val="21"/>
                      <w:szCs w:val="21"/>
                    </w:rPr>
                  </w:pPr>
                </w:p>
              </w:tc>
              <w:tc>
                <w:tcPr>
                  <w:tcW w:w="1220" w:type="dxa"/>
                  <w:vMerge w:val="continue"/>
                  <w:noWrap/>
                  <w:vAlign w:val="center"/>
                </w:tcPr>
                <w:p>
                  <w:pPr>
                    <w:spacing w:line="240" w:lineRule="auto"/>
                    <w:ind w:left="120" w:leftChars="50" w:right="120" w:rightChars="50" w:firstLine="420" w:firstLineChars="200"/>
                    <w:jc w:val="center"/>
                    <w:rPr>
                      <w:color w:val="auto"/>
                      <w:sz w:val="21"/>
                      <w:szCs w:val="21"/>
                    </w:rPr>
                  </w:pPr>
                </w:p>
              </w:tc>
              <w:tc>
                <w:tcPr>
                  <w:tcW w:w="4999" w:type="dxa"/>
                  <w:noWrap/>
                  <w:vAlign w:val="center"/>
                </w:tcPr>
                <w:p>
                  <w:pPr>
                    <w:spacing w:line="240" w:lineRule="auto"/>
                    <w:ind w:left="120" w:leftChars="50" w:right="120" w:rightChars="50"/>
                    <w:jc w:val="center"/>
                    <w:rPr>
                      <w:color w:val="auto"/>
                      <w:sz w:val="21"/>
                      <w:szCs w:val="21"/>
                    </w:rPr>
                  </w:pPr>
                  <w:r>
                    <w:rPr>
                      <w:color w:val="auto"/>
                      <w:sz w:val="21"/>
                      <w:szCs w:val="21"/>
                    </w:rPr>
                    <w:t>7-2有机化工、医药化工、橡胶和塑料制品（有溶剂浸胶工艺）、溶剂型涂料表面涂装、包装印刷等行业企业按照净化处理效率不低于90%的标准进行改造，其他行业原则上按照不低于75%的标准进行改造</w:t>
                  </w:r>
                </w:p>
              </w:tc>
              <w:tc>
                <w:tcPr>
                  <w:tcW w:w="1372" w:type="dxa"/>
                  <w:noWrap/>
                  <w:vAlign w:val="center"/>
                </w:tcPr>
                <w:p>
                  <w:pPr>
                    <w:spacing w:line="240" w:lineRule="auto"/>
                    <w:ind w:right="120" w:rightChars="50"/>
                    <w:jc w:val="center"/>
                    <w:rPr>
                      <w:color w:val="auto"/>
                      <w:sz w:val="21"/>
                      <w:szCs w:val="21"/>
                    </w:rPr>
                  </w:pPr>
                  <w:r>
                    <w:rPr>
                      <w:color w:val="auto"/>
                      <w:sz w:val="21"/>
                      <w:szCs w:val="21"/>
                    </w:rPr>
                    <w:t>不属于</w:t>
                  </w:r>
                </w:p>
              </w:tc>
              <w:tc>
                <w:tcPr>
                  <w:tcW w:w="1127" w:type="dxa"/>
                  <w:vMerge w:val="continue"/>
                  <w:noWrap/>
                  <w:vAlign w:val="center"/>
                </w:tcPr>
                <w:p>
                  <w:pPr>
                    <w:spacing w:line="240" w:lineRule="auto"/>
                    <w:ind w:right="120" w:rightChars="50"/>
                    <w:jc w:val="center"/>
                    <w:rPr>
                      <w:color w:val="auto"/>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40" w:hRule="atLeast"/>
                <w:jc w:val="center"/>
              </w:trPr>
              <w:tc>
                <w:tcPr>
                  <w:tcW w:w="704" w:type="dxa"/>
                  <w:vMerge w:val="continue"/>
                  <w:noWrap/>
                  <w:vAlign w:val="center"/>
                </w:tcPr>
                <w:p>
                  <w:pPr>
                    <w:spacing w:line="240" w:lineRule="auto"/>
                    <w:ind w:left="120" w:leftChars="50" w:right="120" w:rightChars="50" w:firstLine="420" w:firstLineChars="200"/>
                    <w:jc w:val="center"/>
                    <w:rPr>
                      <w:color w:val="auto"/>
                      <w:sz w:val="21"/>
                      <w:szCs w:val="21"/>
                    </w:rPr>
                  </w:pPr>
                </w:p>
              </w:tc>
              <w:tc>
                <w:tcPr>
                  <w:tcW w:w="1220" w:type="dxa"/>
                  <w:vMerge w:val="continue"/>
                  <w:noWrap/>
                  <w:vAlign w:val="center"/>
                </w:tcPr>
                <w:p>
                  <w:pPr>
                    <w:spacing w:line="240" w:lineRule="auto"/>
                    <w:ind w:left="120" w:leftChars="50" w:right="120" w:rightChars="50" w:firstLine="420" w:firstLineChars="200"/>
                    <w:jc w:val="center"/>
                    <w:rPr>
                      <w:color w:val="auto"/>
                      <w:sz w:val="21"/>
                      <w:szCs w:val="21"/>
                    </w:rPr>
                  </w:pPr>
                </w:p>
              </w:tc>
              <w:tc>
                <w:tcPr>
                  <w:tcW w:w="4999" w:type="dxa"/>
                  <w:noWrap/>
                  <w:vAlign w:val="center"/>
                </w:tcPr>
                <w:p>
                  <w:pPr>
                    <w:spacing w:line="240" w:lineRule="auto"/>
                    <w:ind w:left="120" w:leftChars="50" w:right="120" w:rightChars="50"/>
                    <w:jc w:val="center"/>
                    <w:rPr>
                      <w:color w:val="auto"/>
                      <w:sz w:val="21"/>
                      <w:szCs w:val="21"/>
                    </w:rPr>
                  </w:pPr>
                  <w:r>
                    <w:rPr>
                      <w:color w:val="auto"/>
                      <w:sz w:val="21"/>
                      <w:szCs w:val="21"/>
                    </w:rPr>
                    <w:t>7-3非甲烷总烃进气浓度≥70mg/m</w:t>
                  </w:r>
                  <w:r>
                    <w:rPr>
                      <w:color w:val="auto"/>
                      <w:sz w:val="21"/>
                      <w:szCs w:val="21"/>
                      <w:vertAlign w:val="superscript"/>
                    </w:rPr>
                    <w:t>3</w:t>
                  </w:r>
                  <w:r>
                    <w:rPr>
                      <w:color w:val="auto"/>
                      <w:sz w:val="21"/>
                      <w:szCs w:val="21"/>
                    </w:rPr>
                    <w:t>或者排放量≥2t/a的企业废气处理工艺不允许选择仅活性炭处理的末端治理方式</w:t>
                  </w:r>
                </w:p>
              </w:tc>
              <w:tc>
                <w:tcPr>
                  <w:tcW w:w="1372" w:type="dxa"/>
                  <w:noWrap/>
                  <w:vAlign w:val="center"/>
                </w:tcPr>
                <w:p>
                  <w:pPr>
                    <w:spacing w:line="240" w:lineRule="auto"/>
                    <w:ind w:right="120" w:rightChars="50"/>
                    <w:jc w:val="center"/>
                    <w:rPr>
                      <w:color w:val="auto"/>
                      <w:sz w:val="21"/>
                      <w:szCs w:val="21"/>
                    </w:rPr>
                  </w:pPr>
                  <w:r>
                    <w:rPr>
                      <w:rFonts w:hint="eastAsia"/>
                      <w:color w:val="auto"/>
                      <w:sz w:val="21"/>
                      <w:szCs w:val="21"/>
                    </w:rPr>
                    <w:t>不属于</w:t>
                  </w:r>
                </w:p>
              </w:tc>
              <w:tc>
                <w:tcPr>
                  <w:tcW w:w="1127" w:type="dxa"/>
                  <w:vMerge w:val="continue"/>
                  <w:noWrap/>
                  <w:vAlign w:val="center"/>
                </w:tcPr>
                <w:p>
                  <w:pPr>
                    <w:spacing w:line="240" w:lineRule="auto"/>
                    <w:ind w:right="120" w:rightChars="50"/>
                    <w:jc w:val="center"/>
                    <w:rPr>
                      <w:color w:val="auto"/>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704" w:type="dxa"/>
                  <w:noWrap/>
                  <w:vAlign w:val="center"/>
                </w:tcPr>
                <w:p>
                  <w:pPr>
                    <w:spacing w:line="240" w:lineRule="auto"/>
                    <w:ind w:right="120" w:rightChars="50"/>
                    <w:jc w:val="center"/>
                    <w:rPr>
                      <w:color w:val="auto"/>
                      <w:sz w:val="21"/>
                      <w:szCs w:val="21"/>
                    </w:rPr>
                  </w:pPr>
                  <w:r>
                    <w:rPr>
                      <w:color w:val="auto"/>
                      <w:sz w:val="21"/>
                      <w:szCs w:val="21"/>
                    </w:rPr>
                    <w:t>2</w:t>
                  </w:r>
                </w:p>
                <w:p>
                  <w:pPr>
                    <w:pStyle w:val="2"/>
                    <w:spacing w:line="240" w:lineRule="auto"/>
                    <w:ind w:left="120" w:leftChars="50"/>
                    <w:jc w:val="center"/>
                    <w:rPr>
                      <w:color w:val="auto"/>
                      <w:sz w:val="21"/>
                      <w:szCs w:val="21"/>
                    </w:rPr>
                  </w:pPr>
                </w:p>
              </w:tc>
              <w:tc>
                <w:tcPr>
                  <w:tcW w:w="1220" w:type="dxa"/>
                  <w:noWrap/>
                  <w:vAlign w:val="center"/>
                </w:tcPr>
                <w:p>
                  <w:pPr>
                    <w:spacing w:line="240" w:lineRule="auto"/>
                    <w:ind w:right="120" w:rightChars="50"/>
                    <w:jc w:val="center"/>
                    <w:rPr>
                      <w:color w:val="auto"/>
                      <w:sz w:val="21"/>
                      <w:szCs w:val="21"/>
                    </w:rPr>
                  </w:pPr>
                  <w:r>
                    <w:rPr>
                      <w:color w:val="auto"/>
                      <w:sz w:val="21"/>
                      <w:szCs w:val="21"/>
                    </w:rPr>
                    <w:t>严格执行排放标准</w:t>
                  </w:r>
                </w:p>
              </w:tc>
              <w:tc>
                <w:tcPr>
                  <w:tcW w:w="4999" w:type="dxa"/>
                  <w:noWrap/>
                  <w:vAlign w:val="center"/>
                </w:tcPr>
                <w:p>
                  <w:pPr>
                    <w:spacing w:line="240" w:lineRule="auto"/>
                    <w:ind w:left="120" w:leftChars="50" w:right="120" w:rightChars="50"/>
                    <w:jc w:val="center"/>
                    <w:rPr>
                      <w:color w:val="auto"/>
                      <w:sz w:val="21"/>
                      <w:szCs w:val="21"/>
                    </w:rPr>
                  </w:pPr>
                  <w:r>
                    <w:rPr>
                      <w:color w:val="auto"/>
                      <w:sz w:val="21"/>
                      <w:szCs w:val="21"/>
                    </w:rPr>
                    <w:t>石油化工、石油炼制和合成树脂行业企业严格执行国家行业标准，化学工业和表面涂装（家具制造业）严格执行江苏省地标，其他涉VOCs行业工业企业有组织废气非甲烷总烃排放浓度执行70mg/m</w:t>
                  </w:r>
                  <w:r>
                    <w:rPr>
                      <w:color w:val="auto"/>
                      <w:sz w:val="21"/>
                      <w:szCs w:val="21"/>
                      <w:vertAlign w:val="superscript"/>
                    </w:rPr>
                    <w:t>3</w:t>
                  </w:r>
                  <w:r>
                    <w:rPr>
                      <w:color w:val="auto"/>
                      <w:sz w:val="21"/>
                      <w:szCs w:val="21"/>
                    </w:rPr>
                    <w:t>。其他有组织废气和无组织废气有机污染物因子排放标准执行《大气污染物综合排放标准》（GB 16297-1996）浓度的 80%。所有行业工业企业臭气浓度执行2000标准（行业标准有规定的执行行业标准）</w:t>
                  </w:r>
                </w:p>
              </w:tc>
              <w:tc>
                <w:tcPr>
                  <w:tcW w:w="1372" w:type="dxa"/>
                  <w:noWrap/>
                  <w:vAlign w:val="center"/>
                </w:tcPr>
                <w:p>
                  <w:pPr>
                    <w:spacing w:line="240" w:lineRule="auto"/>
                    <w:ind w:right="120" w:rightChars="50"/>
                    <w:jc w:val="center"/>
                    <w:rPr>
                      <w:color w:val="auto"/>
                      <w:sz w:val="21"/>
                      <w:szCs w:val="21"/>
                    </w:rPr>
                  </w:pPr>
                  <w:r>
                    <w:rPr>
                      <w:color w:val="auto"/>
                      <w:sz w:val="21"/>
                      <w:szCs w:val="21"/>
                    </w:rPr>
                    <w:t>不属于</w:t>
                  </w:r>
                </w:p>
              </w:tc>
              <w:tc>
                <w:tcPr>
                  <w:tcW w:w="1127" w:type="dxa"/>
                  <w:noWrap/>
                  <w:vAlign w:val="center"/>
                </w:tcPr>
                <w:p>
                  <w:pPr>
                    <w:spacing w:line="240" w:lineRule="auto"/>
                    <w:ind w:right="120" w:rightChars="50"/>
                    <w:jc w:val="center"/>
                    <w:rPr>
                      <w:color w:val="auto"/>
                      <w:sz w:val="21"/>
                      <w:szCs w:val="21"/>
                    </w:rPr>
                  </w:pPr>
                  <w:r>
                    <w:rPr>
                      <w:color w:val="auto"/>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704" w:type="dxa"/>
                  <w:noWrap/>
                  <w:vAlign w:val="center"/>
                </w:tcPr>
                <w:p>
                  <w:pPr>
                    <w:spacing w:line="240" w:lineRule="auto"/>
                    <w:ind w:right="120" w:rightChars="50"/>
                    <w:jc w:val="center"/>
                    <w:rPr>
                      <w:color w:val="auto"/>
                      <w:sz w:val="21"/>
                      <w:szCs w:val="21"/>
                    </w:rPr>
                  </w:pPr>
                  <w:r>
                    <w:rPr>
                      <w:color w:val="auto"/>
                      <w:sz w:val="21"/>
                      <w:szCs w:val="21"/>
                    </w:rPr>
                    <w:t>3</w:t>
                  </w:r>
                </w:p>
              </w:tc>
              <w:tc>
                <w:tcPr>
                  <w:tcW w:w="1220" w:type="dxa"/>
                  <w:noWrap/>
                  <w:vAlign w:val="center"/>
                </w:tcPr>
                <w:p>
                  <w:pPr>
                    <w:spacing w:line="240" w:lineRule="auto"/>
                    <w:ind w:right="120" w:rightChars="50"/>
                    <w:jc w:val="center"/>
                    <w:rPr>
                      <w:color w:val="auto"/>
                      <w:sz w:val="21"/>
                      <w:szCs w:val="21"/>
                    </w:rPr>
                  </w:pPr>
                  <w:r>
                    <w:rPr>
                      <w:color w:val="auto"/>
                      <w:sz w:val="21"/>
                      <w:szCs w:val="21"/>
                    </w:rPr>
                    <w:t>采用信息化监管</w:t>
                  </w:r>
                </w:p>
                <w:p>
                  <w:pPr>
                    <w:spacing w:line="240" w:lineRule="auto"/>
                    <w:ind w:right="120" w:rightChars="50"/>
                    <w:jc w:val="center"/>
                    <w:rPr>
                      <w:color w:val="auto"/>
                      <w:sz w:val="21"/>
                      <w:szCs w:val="21"/>
                    </w:rPr>
                  </w:pPr>
                  <w:r>
                    <w:rPr>
                      <w:color w:val="auto"/>
                      <w:sz w:val="21"/>
                      <w:szCs w:val="21"/>
                    </w:rPr>
                    <w:t>手段</w:t>
                  </w:r>
                </w:p>
              </w:tc>
              <w:tc>
                <w:tcPr>
                  <w:tcW w:w="4999" w:type="dxa"/>
                  <w:noWrap/>
                  <w:vAlign w:val="center"/>
                </w:tcPr>
                <w:p>
                  <w:pPr>
                    <w:spacing w:line="240" w:lineRule="auto"/>
                    <w:ind w:left="120" w:leftChars="50" w:right="120" w:rightChars="50"/>
                    <w:jc w:val="center"/>
                    <w:rPr>
                      <w:color w:val="auto"/>
                      <w:sz w:val="21"/>
                      <w:szCs w:val="21"/>
                    </w:rPr>
                  </w:pPr>
                  <w:r>
                    <w:rPr>
                      <w:color w:val="auto"/>
                      <w:sz w:val="21"/>
                      <w:szCs w:val="21"/>
                    </w:rPr>
                    <w:t>非甲烷总烃排放量≥2t/a的企业安装 VOCs 在线监测和工况监控设备并与环保局联网；采用催化氧化、RTO 等燃烧方式处理废气的企业，需建设中控中心，对温度、流量、停留时间、污染物排放等信息进行实时监控。所有监控数据实时传递至大数字环保平台，实现实时监控、预测预警和大数据分析等功能</w:t>
                  </w:r>
                </w:p>
              </w:tc>
              <w:tc>
                <w:tcPr>
                  <w:tcW w:w="1372" w:type="dxa"/>
                  <w:noWrap/>
                  <w:vAlign w:val="center"/>
                </w:tcPr>
                <w:p>
                  <w:pPr>
                    <w:spacing w:line="240" w:lineRule="auto"/>
                    <w:ind w:left="120" w:leftChars="50" w:right="120" w:rightChars="50"/>
                    <w:jc w:val="center"/>
                    <w:rPr>
                      <w:color w:val="auto"/>
                      <w:sz w:val="21"/>
                      <w:szCs w:val="21"/>
                    </w:rPr>
                  </w:pPr>
                  <w:r>
                    <w:rPr>
                      <w:color w:val="auto"/>
                      <w:sz w:val="21"/>
                      <w:szCs w:val="21"/>
                    </w:rPr>
                    <w:t>不属于</w:t>
                  </w:r>
                </w:p>
              </w:tc>
              <w:tc>
                <w:tcPr>
                  <w:tcW w:w="1127" w:type="dxa"/>
                  <w:noWrap/>
                  <w:vAlign w:val="center"/>
                </w:tcPr>
                <w:p>
                  <w:pPr>
                    <w:spacing w:line="240" w:lineRule="auto"/>
                    <w:ind w:right="120" w:rightChars="50"/>
                    <w:jc w:val="center"/>
                    <w:rPr>
                      <w:color w:val="auto"/>
                      <w:sz w:val="21"/>
                      <w:szCs w:val="21"/>
                    </w:rPr>
                  </w:pPr>
                  <w:r>
                    <w:rPr>
                      <w:color w:val="auto"/>
                      <w:sz w:val="21"/>
                      <w:szCs w:val="21"/>
                    </w:rPr>
                    <w:t>符合</w:t>
                  </w:r>
                </w:p>
              </w:tc>
            </w:tr>
          </w:tbl>
          <w:p>
            <w:pPr>
              <w:pStyle w:val="2"/>
              <w:ind w:firstLine="0" w:firstLineChars="0"/>
              <w:jc w:val="center"/>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38" w:type="dxa"/>
            <w:gridSpan w:val="12"/>
            <w:tcBorders>
              <w:top w:val="single" w:color="auto" w:sz="4" w:space="0"/>
              <w:left w:val="single" w:color="auto" w:sz="4" w:space="0"/>
              <w:bottom w:val="single" w:color="auto" w:sz="4" w:space="0"/>
              <w:right w:val="single" w:color="auto" w:sz="4" w:space="0"/>
            </w:tcBorders>
          </w:tcPr>
          <w:p>
            <w:pPr>
              <w:rPr>
                <w:b/>
                <w:bCs/>
              </w:rPr>
            </w:pPr>
            <w:r>
              <w:rPr>
                <w:b/>
                <w:bCs/>
              </w:rPr>
              <w:t>与本项目有关的原有污染情况及主要环境问题</w:t>
            </w:r>
          </w:p>
          <w:p>
            <w:pPr>
              <w:rPr>
                <w:rFonts w:hint="default"/>
                <w:b/>
                <w:bCs/>
              </w:rPr>
            </w:pPr>
            <w:r>
              <w:rPr>
                <w:rFonts w:hint="default"/>
                <w:b/>
                <w:bCs/>
              </w:rPr>
              <w:t>1、原有项目概况</w:t>
            </w:r>
          </w:p>
          <w:p>
            <w:pPr>
              <w:pStyle w:val="2"/>
              <w:ind w:firstLine="480"/>
              <w:rPr>
                <w:rFonts w:hint="default"/>
              </w:rPr>
            </w:pPr>
            <w:r>
              <w:rPr>
                <w:rFonts w:hint="eastAsia"/>
              </w:rPr>
              <w:t>项目位于苏州高新区浒关分区东金芝路 56 号，租用苏州市赛克塑胶有限公司现有的部分厂房。项目总投资 45 万元，其中环保投资 5 万元</w:t>
            </w:r>
            <w:r>
              <w:rPr>
                <w:rFonts w:hint="eastAsia"/>
                <w:lang w:eastAsia="zh-CN"/>
              </w:rPr>
              <w:t>，年产塑料制品 1500 吨。</w:t>
            </w:r>
            <w:r>
              <w:rPr>
                <w:rFonts w:hint="default"/>
              </w:rPr>
              <w:t>企业环评手续见表1-</w:t>
            </w:r>
            <w:r>
              <w:rPr>
                <w:rFonts w:hint="eastAsia"/>
                <w:lang w:val="en-US" w:eastAsia="zh-CN"/>
              </w:rPr>
              <w:t>10</w:t>
            </w:r>
            <w:r>
              <w:rPr>
                <w:rFonts w:hint="default"/>
              </w:rPr>
              <w:t>：</w:t>
            </w:r>
          </w:p>
          <w:p>
            <w:pPr>
              <w:pStyle w:val="2"/>
              <w:ind w:firstLine="0" w:firstLineChars="0"/>
              <w:jc w:val="center"/>
              <w:rPr>
                <w:rFonts w:hint="default"/>
              </w:rPr>
            </w:pPr>
            <w:r>
              <w:rPr>
                <w:rFonts w:hint="default"/>
                <w:b/>
                <w:bCs/>
                <w:sz w:val="21"/>
                <w:szCs w:val="21"/>
              </w:rPr>
              <w:t>表1-</w:t>
            </w:r>
            <w:r>
              <w:rPr>
                <w:rFonts w:hint="eastAsia"/>
                <w:b/>
                <w:bCs/>
                <w:sz w:val="21"/>
                <w:szCs w:val="21"/>
                <w:lang w:val="en-US" w:eastAsia="zh-CN"/>
              </w:rPr>
              <w:t>10</w:t>
            </w:r>
            <w:r>
              <w:rPr>
                <w:rFonts w:hint="default"/>
                <w:b/>
                <w:bCs/>
                <w:sz w:val="21"/>
                <w:szCs w:val="21"/>
              </w:rPr>
              <w:t>企业成立以来环保执行情况表</w:t>
            </w:r>
          </w:p>
          <w:tbl>
            <w:tblPr>
              <w:tblStyle w:val="26"/>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92"/>
              <w:gridCol w:w="1510"/>
              <w:gridCol w:w="1520"/>
              <w:gridCol w:w="2370"/>
              <w:gridCol w:w="1640"/>
              <w:gridCol w:w="119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92" w:type="dxa"/>
                  <w:noWrap w:val="0"/>
                  <w:vAlign w:val="center"/>
                </w:tcPr>
                <w:p>
                  <w:pPr>
                    <w:pStyle w:val="2"/>
                    <w:spacing w:line="240" w:lineRule="auto"/>
                    <w:ind w:firstLine="0" w:firstLineChars="0"/>
                    <w:jc w:val="center"/>
                    <w:rPr>
                      <w:rFonts w:hint="default"/>
                      <w:sz w:val="21"/>
                      <w:szCs w:val="21"/>
                    </w:rPr>
                  </w:pPr>
                  <w:r>
                    <w:rPr>
                      <w:rFonts w:hint="default"/>
                      <w:sz w:val="21"/>
                      <w:szCs w:val="21"/>
                    </w:rPr>
                    <w:t>时间</w:t>
                  </w:r>
                </w:p>
              </w:tc>
              <w:tc>
                <w:tcPr>
                  <w:tcW w:w="1510" w:type="dxa"/>
                  <w:noWrap w:val="0"/>
                  <w:vAlign w:val="center"/>
                </w:tcPr>
                <w:p>
                  <w:pPr>
                    <w:pStyle w:val="2"/>
                    <w:spacing w:line="240" w:lineRule="auto"/>
                    <w:ind w:firstLine="0" w:firstLineChars="0"/>
                    <w:jc w:val="center"/>
                    <w:rPr>
                      <w:rFonts w:hint="default"/>
                      <w:sz w:val="21"/>
                      <w:szCs w:val="21"/>
                    </w:rPr>
                  </w:pPr>
                  <w:r>
                    <w:rPr>
                      <w:rFonts w:hint="default"/>
                      <w:sz w:val="21"/>
                      <w:szCs w:val="21"/>
                    </w:rPr>
                    <w:t>环保手续</w:t>
                  </w:r>
                </w:p>
              </w:tc>
              <w:tc>
                <w:tcPr>
                  <w:tcW w:w="1520" w:type="dxa"/>
                  <w:noWrap w:val="0"/>
                  <w:vAlign w:val="center"/>
                </w:tcPr>
                <w:p>
                  <w:pPr>
                    <w:pStyle w:val="2"/>
                    <w:spacing w:line="240" w:lineRule="auto"/>
                    <w:ind w:firstLine="0" w:firstLineChars="0"/>
                    <w:jc w:val="center"/>
                    <w:rPr>
                      <w:rFonts w:hint="default"/>
                      <w:sz w:val="21"/>
                      <w:szCs w:val="21"/>
                    </w:rPr>
                  </w:pPr>
                  <w:r>
                    <w:rPr>
                      <w:rFonts w:hint="default"/>
                      <w:sz w:val="21"/>
                      <w:szCs w:val="21"/>
                    </w:rPr>
                    <w:t>批复情况</w:t>
                  </w:r>
                </w:p>
              </w:tc>
              <w:tc>
                <w:tcPr>
                  <w:tcW w:w="2370" w:type="dxa"/>
                  <w:noWrap w:val="0"/>
                  <w:vAlign w:val="center"/>
                </w:tcPr>
                <w:p>
                  <w:pPr>
                    <w:pStyle w:val="2"/>
                    <w:spacing w:line="240" w:lineRule="auto"/>
                    <w:ind w:firstLine="0" w:firstLineChars="0"/>
                    <w:jc w:val="center"/>
                    <w:rPr>
                      <w:rFonts w:hint="default"/>
                      <w:sz w:val="21"/>
                      <w:szCs w:val="21"/>
                    </w:rPr>
                  </w:pPr>
                  <w:r>
                    <w:rPr>
                      <w:rFonts w:hint="default"/>
                      <w:sz w:val="21"/>
                      <w:szCs w:val="21"/>
                    </w:rPr>
                    <w:t>企业产能及建设情况</w:t>
                  </w:r>
                </w:p>
              </w:tc>
              <w:tc>
                <w:tcPr>
                  <w:tcW w:w="1640" w:type="dxa"/>
                  <w:noWrap w:val="0"/>
                  <w:vAlign w:val="center"/>
                </w:tcPr>
                <w:p>
                  <w:pPr>
                    <w:pStyle w:val="2"/>
                    <w:spacing w:line="240" w:lineRule="auto"/>
                    <w:ind w:firstLine="0" w:firstLineChars="0"/>
                    <w:jc w:val="center"/>
                    <w:rPr>
                      <w:rFonts w:hint="default"/>
                      <w:sz w:val="21"/>
                      <w:szCs w:val="21"/>
                    </w:rPr>
                  </w:pPr>
                  <w:r>
                    <w:rPr>
                      <w:rFonts w:hint="default"/>
                      <w:sz w:val="21"/>
                      <w:szCs w:val="21"/>
                    </w:rPr>
                    <w:t>验收情况</w:t>
                  </w:r>
                </w:p>
              </w:tc>
              <w:tc>
                <w:tcPr>
                  <w:tcW w:w="1190" w:type="dxa"/>
                  <w:noWrap w:val="0"/>
                  <w:vAlign w:val="center"/>
                </w:tcPr>
                <w:p>
                  <w:pPr>
                    <w:pStyle w:val="2"/>
                    <w:spacing w:line="240" w:lineRule="auto"/>
                    <w:ind w:firstLine="0" w:firstLineChars="0"/>
                    <w:jc w:val="center"/>
                    <w:rPr>
                      <w:rFonts w:hint="default"/>
                      <w:sz w:val="21"/>
                      <w:szCs w:val="21"/>
                    </w:rPr>
                  </w:pPr>
                  <w:r>
                    <w:rPr>
                      <w:rFonts w:hint="default"/>
                      <w:sz w:val="21"/>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192" w:type="dxa"/>
                  <w:noWrap w:val="0"/>
                  <w:vAlign w:val="center"/>
                </w:tcPr>
                <w:p>
                  <w:pPr>
                    <w:pStyle w:val="2"/>
                    <w:spacing w:line="240" w:lineRule="auto"/>
                    <w:ind w:firstLine="0" w:firstLineChars="0"/>
                    <w:jc w:val="center"/>
                    <w:rPr>
                      <w:rFonts w:hint="default" w:eastAsia="宋体"/>
                      <w:sz w:val="21"/>
                      <w:szCs w:val="21"/>
                      <w:lang w:val="en-US" w:eastAsia="zh-CN"/>
                    </w:rPr>
                  </w:pPr>
                  <w:r>
                    <w:rPr>
                      <w:rFonts w:hint="eastAsia"/>
                      <w:sz w:val="21"/>
                      <w:szCs w:val="21"/>
                      <w:lang w:val="en-US" w:eastAsia="zh-CN"/>
                    </w:rPr>
                    <w:t>2016</w:t>
                  </w:r>
                </w:p>
              </w:tc>
              <w:tc>
                <w:tcPr>
                  <w:tcW w:w="1510" w:type="dxa"/>
                  <w:noWrap w:val="0"/>
                  <w:vAlign w:val="center"/>
                </w:tcPr>
                <w:p>
                  <w:pPr>
                    <w:pStyle w:val="2"/>
                    <w:spacing w:line="240" w:lineRule="auto"/>
                    <w:ind w:firstLine="0" w:firstLineChars="0"/>
                    <w:jc w:val="center"/>
                    <w:rPr>
                      <w:rFonts w:hint="default"/>
                      <w:sz w:val="21"/>
                      <w:szCs w:val="21"/>
                    </w:rPr>
                  </w:pPr>
                  <w:r>
                    <w:rPr>
                      <w:rFonts w:hint="default" w:ascii="Times New Roman" w:hAnsi="Times New Roman" w:cs="Times New Roman"/>
                      <w:color w:val="000000"/>
                      <w:sz w:val="21"/>
                      <w:szCs w:val="21"/>
                    </w:rPr>
                    <w:t>建设项目环境影响报告表</w:t>
                  </w:r>
                </w:p>
              </w:tc>
              <w:tc>
                <w:tcPr>
                  <w:tcW w:w="1520" w:type="dxa"/>
                  <w:noWrap w:val="0"/>
                  <w:vAlign w:val="center"/>
                </w:tcPr>
                <w:p>
                  <w:pPr>
                    <w:pStyle w:val="2"/>
                    <w:spacing w:line="240" w:lineRule="auto"/>
                    <w:ind w:firstLine="0" w:firstLineChars="0"/>
                    <w:jc w:val="center"/>
                    <w:rPr>
                      <w:rFonts w:hint="default" w:eastAsia="宋体"/>
                      <w:sz w:val="21"/>
                      <w:szCs w:val="21"/>
                      <w:lang w:val="en-US" w:eastAsia="zh-CN"/>
                    </w:rPr>
                  </w:pPr>
                  <w:r>
                    <w:rPr>
                      <w:rFonts w:hint="eastAsia"/>
                      <w:sz w:val="21"/>
                      <w:szCs w:val="21"/>
                      <w:lang w:val="en-US" w:eastAsia="zh-CN"/>
                    </w:rPr>
                    <w:t>苏新环项[2016]325</w:t>
                  </w:r>
                </w:p>
              </w:tc>
              <w:tc>
                <w:tcPr>
                  <w:tcW w:w="2370" w:type="dxa"/>
                  <w:noWrap w:val="0"/>
                  <w:vAlign w:val="center"/>
                </w:tcPr>
                <w:p>
                  <w:pPr>
                    <w:pStyle w:val="2"/>
                    <w:spacing w:line="240" w:lineRule="auto"/>
                    <w:ind w:firstLine="0" w:firstLineChars="0"/>
                    <w:jc w:val="center"/>
                    <w:rPr>
                      <w:rFonts w:hint="eastAsia" w:eastAsia="宋体"/>
                      <w:sz w:val="21"/>
                      <w:szCs w:val="21"/>
                      <w:lang w:val="en-US" w:eastAsia="zh-CN"/>
                    </w:rPr>
                  </w:pPr>
                  <w:r>
                    <w:rPr>
                      <w:rFonts w:hint="eastAsia"/>
                      <w:sz w:val="21"/>
                      <w:szCs w:val="21"/>
                      <w:lang w:val="en-US" w:eastAsia="zh-CN"/>
                    </w:rPr>
                    <w:t>满产</w:t>
                  </w:r>
                </w:p>
              </w:tc>
              <w:tc>
                <w:tcPr>
                  <w:tcW w:w="1640" w:type="dxa"/>
                  <w:noWrap w:val="0"/>
                  <w:vAlign w:val="center"/>
                </w:tcPr>
                <w:p>
                  <w:pPr>
                    <w:pStyle w:val="2"/>
                    <w:spacing w:line="240" w:lineRule="auto"/>
                    <w:ind w:firstLine="0" w:firstLineChars="0"/>
                    <w:jc w:val="center"/>
                    <w:rPr>
                      <w:rFonts w:hint="eastAsia" w:eastAsia="宋体"/>
                      <w:sz w:val="21"/>
                      <w:szCs w:val="21"/>
                      <w:lang w:val="en-US" w:eastAsia="zh-CN"/>
                    </w:rPr>
                  </w:pPr>
                  <w:r>
                    <w:rPr>
                      <w:rFonts w:hint="eastAsia"/>
                      <w:sz w:val="21"/>
                      <w:szCs w:val="21"/>
                      <w:lang w:val="en-US" w:eastAsia="zh-CN"/>
                    </w:rPr>
                    <w:t>自主验收</w:t>
                  </w:r>
                </w:p>
              </w:tc>
              <w:tc>
                <w:tcPr>
                  <w:tcW w:w="1190" w:type="dxa"/>
                  <w:noWrap w:val="0"/>
                  <w:vAlign w:val="center"/>
                </w:tcPr>
                <w:p>
                  <w:pPr>
                    <w:pStyle w:val="2"/>
                    <w:spacing w:line="240" w:lineRule="auto"/>
                    <w:ind w:firstLine="0" w:firstLineChars="0"/>
                    <w:jc w:val="center"/>
                    <w:rPr>
                      <w:rFonts w:hint="eastAsia" w:eastAsia="宋体"/>
                      <w:sz w:val="21"/>
                      <w:szCs w:val="21"/>
                      <w:lang w:val="en-US" w:eastAsia="zh-CN"/>
                    </w:rPr>
                  </w:pPr>
                  <w:r>
                    <w:rPr>
                      <w:rFonts w:hint="eastAsia"/>
                      <w:sz w:val="21"/>
                      <w:szCs w:val="21"/>
                      <w:lang w:val="en-US" w:eastAsia="zh-CN"/>
                    </w:rPr>
                    <w:t>/</w:t>
                  </w:r>
                </w:p>
              </w:tc>
            </w:tr>
          </w:tbl>
          <w:p>
            <w:pPr>
              <w:pStyle w:val="2"/>
              <w:ind w:firstLine="0" w:firstLineChars="0"/>
              <w:jc w:val="center"/>
              <w:rPr>
                <w:rFonts w:hint="default"/>
                <w:lang w:val="en-US" w:eastAsia="zh-CN"/>
              </w:rPr>
            </w:pPr>
            <w:r>
              <w:rPr>
                <w:rFonts w:hint="default"/>
                <w:b/>
                <w:bCs/>
                <w:sz w:val="21"/>
                <w:szCs w:val="21"/>
                <w:lang w:val="en-US" w:eastAsia="zh-CN"/>
              </w:rPr>
              <w:t>表1-</w:t>
            </w:r>
            <w:r>
              <w:rPr>
                <w:rFonts w:hint="eastAsia"/>
                <w:b/>
                <w:bCs/>
                <w:sz w:val="21"/>
                <w:szCs w:val="21"/>
                <w:lang w:val="en-US" w:eastAsia="zh-CN"/>
              </w:rPr>
              <w:t>11</w:t>
            </w:r>
            <w:r>
              <w:rPr>
                <w:rFonts w:hint="default"/>
                <w:b/>
                <w:bCs/>
                <w:sz w:val="21"/>
                <w:szCs w:val="21"/>
                <w:lang w:val="en-US" w:eastAsia="zh-CN"/>
              </w:rPr>
              <w:t>现有项目环评批复执行落实情况</w:t>
            </w:r>
          </w:p>
          <w:tbl>
            <w:tblPr>
              <w:tblStyle w:val="27"/>
              <w:tblW w:w="9422"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435"/>
              <w:gridCol w:w="398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711" w:type="dxa"/>
                  <w:tcBorders>
                    <w:top w:val="single" w:color="auto" w:sz="12" w:space="0"/>
                    <w:bottom w:val="single" w:color="auto" w:sz="12" w:space="0"/>
                  </w:tcBorders>
                  <w:noWrap w:val="0"/>
                  <w:vAlign w:val="center"/>
                </w:tcPr>
                <w:p>
                  <w:pPr>
                    <w:pStyle w:val="110"/>
                    <w:ind w:firstLine="0" w:firstLineChars="0"/>
                    <w:rPr>
                      <w:rFonts w:hint="default" w:ascii="Times New Roman" w:hAnsi="Times New Roman" w:eastAsia="宋体" w:cs="Times New Roman"/>
                      <w:b/>
                      <w:bCs/>
                      <w:kern w:val="0"/>
                      <w:sz w:val="21"/>
                      <w:szCs w:val="21"/>
                      <w:lang w:val="en-US" w:eastAsia="zh-CN" w:bidi="ar-SA"/>
                    </w:rPr>
                  </w:pPr>
                  <w:r>
                    <w:rPr>
                      <w:rFonts w:cs="Times New Roman"/>
                      <w:b/>
                      <w:bCs/>
                    </w:rPr>
                    <w:t>该项目环评/批复意见</w:t>
                  </w:r>
                </w:p>
              </w:tc>
              <w:tc>
                <w:tcPr>
                  <w:tcW w:w="4711" w:type="dxa"/>
                  <w:tcBorders>
                    <w:top w:val="single" w:color="auto" w:sz="12" w:space="0"/>
                    <w:bottom w:val="single" w:color="auto" w:sz="12" w:space="0"/>
                  </w:tcBorders>
                  <w:noWrap w:val="0"/>
                  <w:vAlign w:val="center"/>
                </w:tcPr>
                <w:p>
                  <w:pPr>
                    <w:pStyle w:val="110"/>
                    <w:ind w:firstLine="0" w:firstLineChars="0"/>
                    <w:rPr>
                      <w:rFonts w:hint="default" w:ascii="Times New Roman" w:hAnsi="Times New Roman" w:eastAsia="宋体" w:cs="Times New Roman"/>
                      <w:b/>
                      <w:bCs/>
                      <w:kern w:val="0"/>
                      <w:sz w:val="21"/>
                      <w:szCs w:val="21"/>
                      <w:lang w:val="en-US" w:eastAsia="zh-CN" w:bidi="ar-SA"/>
                    </w:rPr>
                  </w:pPr>
                  <w:r>
                    <w:rPr>
                      <w:rFonts w:cs="Times New Roman"/>
                      <w:b/>
                      <w:bCs/>
                    </w:rPr>
                    <w:t>实际执行情况检查结果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11" w:type="dxa"/>
                  <w:tcBorders>
                    <w:top w:val="single" w:color="auto" w:sz="12" w:space="0"/>
                  </w:tcBorders>
                  <w:noWrap w:val="0"/>
                  <w:vAlign w:val="center"/>
                </w:tcPr>
                <w:p>
                  <w:pPr>
                    <w:pStyle w:val="110"/>
                    <w:ind w:firstLine="0" w:firstLineChars="0"/>
                    <w:jc w:val="left"/>
                    <w:rPr>
                      <w:rFonts w:hint="default" w:ascii="Times New Roman" w:hAnsi="Times New Roman" w:eastAsia="宋体" w:cs="Times New Roman"/>
                      <w:kern w:val="0"/>
                      <w:sz w:val="21"/>
                      <w:szCs w:val="21"/>
                      <w:highlight w:val="yellow"/>
                      <w:lang w:val="en-US" w:eastAsia="zh-CN" w:bidi="ar-SA"/>
                    </w:rPr>
                  </w:pPr>
                  <w:r>
                    <w:rPr>
                      <w:rFonts w:cs="Times New Roman"/>
                    </w:rPr>
                    <w:t>1、项目工程设计、建设和环境管理中，必须切实落实《报告表》中提出的各项环保要求和污染防治措施，确保各污染物达标排放，不得使用废塑料用于生产加工。</w:t>
                  </w:r>
                </w:p>
              </w:tc>
              <w:tc>
                <w:tcPr>
                  <w:tcW w:w="4711" w:type="dxa"/>
                  <w:tcBorders>
                    <w:top w:val="single" w:color="auto" w:sz="12" w:space="0"/>
                  </w:tcBorders>
                  <w:noWrap w:val="0"/>
                  <w:vAlign w:val="center"/>
                </w:tcPr>
                <w:p>
                  <w:pPr>
                    <w:pStyle w:val="110"/>
                    <w:ind w:firstLine="0" w:firstLineChars="0"/>
                    <w:rPr>
                      <w:rFonts w:hint="default" w:ascii="Times New Roman" w:hAnsi="Times New Roman" w:eastAsia="宋体" w:cs="Times New Roman"/>
                      <w:kern w:val="0"/>
                      <w:sz w:val="21"/>
                      <w:szCs w:val="21"/>
                      <w:highlight w:val="yellow"/>
                      <w:lang w:val="en-US" w:eastAsia="zh-CN" w:bidi="ar-SA"/>
                    </w:rPr>
                  </w:pPr>
                  <w:r>
                    <w:rPr>
                      <w:rFonts w:cs="Times New Roman"/>
                    </w:rPr>
                    <w:t>项目工程设计、建设和环境管理中，切实落实《报告表》中提出的各项环保要求和污染防治措施，经检测各污染物达标排放，未使用废塑料用于生产加工。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11" w:type="dxa"/>
                  <w:noWrap w:val="0"/>
                  <w:vAlign w:val="center"/>
                </w:tcPr>
                <w:p>
                  <w:pPr>
                    <w:pStyle w:val="110"/>
                    <w:ind w:firstLine="0" w:firstLineChars="0"/>
                    <w:jc w:val="left"/>
                    <w:rPr>
                      <w:rFonts w:hint="default" w:ascii="Times New Roman" w:hAnsi="Times New Roman" w:eastAsia="宋体" w:cs="Times New Roman"/>
                      <w:kern w:val="0"/>
                      <w:sz w:val="21"/>
                      <w:szCs w:val="21"/>
                      <w:highlight w:val="yellow"/>
                      <w:lang w:val="en-US" w:eastAsia="zh-CN" w:bidi="ar-SA"/>
                    </w:rPr>
                  </w:pPr>
                  <w:r>
                    <w:rPr>
                      <w:rFonts w:cs="Times New Roman"/>
                    </w:rPr>
                    <w:t>2、厂区实行雨、污分流。该项目无生产废水，生活污水排入市政污水管网，废水排放执行《污水综合排放标准》( GB8978-1996)三级标准，氨氮、总磷执行《污水排入城镇下水道水质标准》(CJ343-2010) 表1标准。</w:t>
                  </w:r>
                </w:p>
              </w:tc>
              <w:tc>
                <w:tcPr>
                  <w:tcW w:w="4711" w:type="dxa"/>
                  <w:noWrap w:val="0"/>
                  <w:vAlign w:val="center"/>
                </w:tcPr>
                <w:p>
                  <w:pPr>
                    <w:pStyle w:val="110"/>
                    <w:ind w:firstLine="0" w:firstLineChars="0"/>
                    <w:rPr>
                      <w:rFonts w:hint="default" w:ascii="Times New Roman" w:hAnsi="Times New Roman" w:eastAsia="宋体" w:cs="Times New Roman"/>
                      <w:kern w:val="0"/>
                      <w:sz w:val="21"/>
                      <w:szCs w:val="21"/>
                      <w:highlight w:val="yellow"/>
                      <w:lang w:val="en-US" w:eastAsia="zh-CN" w:bidi="ar-SA"/>
                    </w:rPr>
                  </w:pPr>
                  <w:r>
                    <w:rPr>
                      <w:rFonts w:cs="Times New Roman"/>
                    </w:rPr>
                    <w:t>厂区实行雨、污分流。该项目无生产废水，生活污水排入市政污水管网，废水排放执行《污水综合排放标准》( GB8978-1996)三级标准，因《污水排入城镇下水道水质标准》(CJ343-2010)已废止，氨氮、总磷执行《污水排入城镇下水道水质标准》(GB/T31962-2015) 表1B级标准。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11" w:type="dxa"/>
                  <w:noWrap w:val="0"/>
                  <w:vAlign w:val="center"/>
                </w:tcPr>
                <w:p>
                  <w:pPr>
                    <w:pStyle w:val="110"/>
                    <w:ind w:firstLine="0" w:firstLineChars="0"/>
                    <w:jc w:val="left"/>
                    <w:rPr>
                      <w:rFonts w:hint="default" w:ascii="Times New Roman" w:hAnsi="Times New Roman" w:eastAsia="宋体" w:cs="Times New Roman"/>
                      <w:kern w:val="0"/>
                      <w:sz w:val="21"/>
                      <w:szCs w:val="21"/>
                      <w:highlight w:val="yellow"/>
                      <w:lang w:val="en-US" w:eastAsia="zh-CN" w:bidi="ar-SA"/>
                    </w:rPr>
                  </w:pPr>
                  <w:r>
                    <w:rPr>
                      <w:rFonts w:cs="Times New Roman"/>
                    </w:rPr>
                    <w:t>3、加强废气排放管理，注塑废气经收集处理后通过15米高排气简排放，非甲烷总烃排放执行《大气污染物综合排放标准》(GB16296-1996)表2二级标准。严格执行《报告表》中提出的卫生防护距离要求。</w:t>
                  </w:r>
                </w:p>
              </w:tc>
              <w:tc>
                <w:tcPr>
                  <w:tcW w:w="4711" w:type="dxa"/>
                  <w:noWrap w:val="0"/>
                  <w:vAlign w:val="center"/>
                </w:tcPr>
                <w:p>
                  <w:pPr>
                    <w:pStyle w:val="110"/>
                    <w:ind w:firstLine="0" w:firstLineChars="0"/>
                    <w:rPr>
                      <w:rFonts w:hint="default" w:ascii="Times New Roman" w:hAnsi="Times New Roman" w:eastAsia="宋体" w:cs="Times New Roman"/>
                      <w:kern w:val="0"/>
                      <w:sz w:val="21"/>
                      <w:szCs w:val="21"/>
                      <w:highlight w:val="yellow"/>
                      <w:lang w:val="en-US" w:eastAsia="zh-CN" w:bidi="ar-SA"/>
                    </w:rPr>
                  </w:pPr>
                  <w:r>
                    <w:rPr>
                      <w:rFonts w:cs="Times New Roman"/>
                    </w:rPr>
                    <w:t>本项目注塑废气经集气罩收集后进入活性炭吸附装置</w:t>
                  </w:r>
                  <w:r>
                    <w:rPr>
                      <w:rFonts w:hint="eastAsia" w:cs="Times New Roman"/>
                    </w:rPr>
                    <w:t>+低温等离子设备</w:t>
                  </w:r>
                  <w:r>
                    <w:rPr>
                      <w:rFonts w:cs="Times New Roman"/>
                    </w:rPr>
                    <w:t>处理后通过15米高排气简排放，非甲烷总烃排放执行《大气污染物综合排放标准》(GB16296-1996)表2二级标准。已按《报告表》要求设置100米卫生防护距离，卫生防护距离内无居民等环境敏感点。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11" w:type="dxa"/>
                  <w:noWrap w:val="0"/>
                  <w:vAlign w:val="center"/>
                </w:tcPr>
                <w:p>
                  <w:pPr>
                    <w:pStyle w:val="110"/>
                    <w:ind w:firstLine="0" w:firstLineChars="0"/>
                    <w:jc w:val="left"/>
                    <w:rPr>
                      <w:rFonts w:hint="default" w:ascii="Times New Roman" w:hAnsi="Times New Roman" w:eastAsia="宋体" w:cs="Times New Roman"/>
                      <w:kern w:val="0"/>
                      <w:sz w:val="21"/>
                      <w:szCs w:val="21"/>
                      <w:lang w:val="en-US" w:eastAsia="zh-CN" w:bidi="ar-SA"/>
                    </w:rPr>
                  </w:pPr>
                  <w:r>
                    <w:rPr>
                      <w:rFonts w:cs="Times New Roman"/>
                    </w:rPr>
                    <w:t>4、采取切实有效的隔音降噪措施，确保厂界噪声排放达到《工业企业厂界环境噪声排放标准》(GB12348- 2008) 3类标准，昼间≤65dB(A)，夜间≤55dB (A)。</w:t>
                  </w:r>
                </w:p>
              </w:tc>
              <w:tc>
                <w:tcPr>
                  <w:tcW w:w="4711" w:type="dxa"/>
                  <w:noWrap w:val="0"/>
                  <w:vAlign w:val="center"/>
                </w:tcPr>
                <w:p>
                  <w:pPr>
                    <w:pStyle w:val="110"/>
                    <w:ind w:firstLine="0" w:firstLineChars="0"/>
                    <w:rPr>
                      <w:rFonts w:hint="default" w:ascii="Times New Roman" w:hAnsi="Times New Roman" w:eastAsia="宋体" w:cs="Times New Roman"/>
                      <w:kern w:val="0"/>
                      <w:sz w:val="21"/>
                      <w:szCs w:val="21"/>
                      <w:highlight w:val="yellow"/>
                      <w:lang w:val="en-US" w:eastAsia="zh-CN" w:bidi="ar-SA"/>
                    </w:rPr>
                  </w:pPr>
                  <w:r>
                    <w:rPr>
                      <w:rFonts w:cs="Times New Roman"/>
                    </w:rPr>
                    <w:t>已选用低噪声设备、合理布局，并采取有效的减振、隔声措施，经检测厂界噪声达到《工业企业厂界环境噪声排放标准》(GB12348-2008)3类标准要求。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11" w:type="dxa"/>
                  <w:noWrap w:val="0"/>
                  <w:vAlign w:val="center"/>
                </w:tcPr>
                <w:p>
                  <w:pPr>
                    <w:pStyle w:val="110"/>
                    <w:ind w:firstLine="0" w:firstLineChars="0"/>
                    <w:jc w:val="left"/>
                    <w:rPr>
                      <w:rFonts w:hint="default" w:ascii="Times New Roman" w:hAnsi="Times New Roman" w:eastAsia="宋体" w:cs="Times New Roman"/>
                      <w:kern w:val="0"/>
                      <w:sz w:val="21"/>
                      <w:szCs w:val="21"/>
                      <w:lang w:val="en-US" w:eastAsia="zh-CN" w:bidi="ar-SA"/>
                    </w:rPr>
                  </w:pPr>
                  <w:r>
                    <w:rPr>
                      <w:rFonts w:cs="Times New Roman"/>
                    </w:rPr>
                    <w:t>5、固体废物分类收集妥善处置或利用，不得排放。危险废物根据就近处置原则，鼓励企业委托区内有资质单位进行处理，并执行危险废物转移联单制度.</w:t>
                  </w:r>
                </w:p>
              </w:tc>
              <w:tc>
                <w:tcPr>
                  <w:tcW w:w="4711" w:type="dxa"/>
                  <w:noWrap w:val="0"/>
                  <w:vAlign w:val="center"/>
                </w:tcPr>
                <w:p>
                  <w:pPr>
                    <w:pStyle w:val="110"/>
                    <w:ind w:firstLine="0" w:firstLineChars="0"/>
                    <w:rPr>
                      <w:rFonts w:hint="default" w:ascii="Times New Roman" w:hAnsi="Times New Roman" w:eastAsia="宋体" w:cs="Times New Roman"/>
                      <w:kern w:val="0"/>
                      <w:sz w:val="21"/>
                      <w:szCs w:val="21"/>
                      <w:highlight w:val="yellow"/>
                      <w:lang w:val="en-US" w:eastAsia="zh-CN" w:bidi="ar-SA"/>
                    </w:rPr>
                  </w:pPr>
                  <w:r>
                    <w:rPr>
                      <w:rFonts w:cs="Times New Roman"/>
                    </w:rPr>
                    <w:t>已落实各类固体废物的分类收集处理处置和综合利用措施，固体废物“零排放”，其中危险废物已委托具备危险废物处理、经营许可证的单位进行处理，且执行危险废物转移联单制度。厂内危险废物暂存场所符合《危险废物贮存污染控制标准》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11" w:type="dxa"/>
                  <w:noWrap w:val="0"/>
                  <w:vAlign w:val="center"/>
                </w:tcPr>
                <w:p>
                  <w:pPr>
                    <w:pStyle w:val="110"/>
                    <w:ind w:firstLine="0" w:firstLineChars="0"/>
                    <w:jc w:val="left"/>
                    <w:rPr>
                      <w:rFonts w:hint="default" w:ascii="Times New Roman" w:hAnsi="Times New Roman" w:eastAsia="宋体" w:cs="Times New Roman"/>
                      <w:kern w:val="0"/>
                      <w:sz w:val="21"/>
                      <w:szCs w:val="21"/>
                      <w:highlight w:val="yellow"/>
                      <w:lang w:val="en-US" w:eastAsia="zh-CN" w:bidi="ar-SA"/>
                    </w:rPr>
                  </w:pPr>
                  <w:r>
                    <w:rPr>
                      <w:rFonts w:cs="Times New Roman"/>
                    </w:rPr>
                    <w:t>6、你公司须积极推广循环经济理念，实施清洁生产措施，贯彻IS014000标准。</w:t>
                  </w:r>
                </w:p>
              </w:tc>
              <w:tc>
                <w:tcPr>
                  <w:tcW w:w="4711" w:type="dxa"/>
                  <w:noWrap w:val="0"/>
                  <w:vAlign w:val="center"/>
                </w:tcPr>
                <w:p>
                  <w:pPr>
                    <w:pStyle w:val="110"/>
                    <w:ind w:firstLine="0" w:firstLineChars="0"/>
                    <w:rPr>
                      <w:rFonts w:hint="default" w:ascii="Times New Roman" w:hAnsi="Times New Roman" w:eastAsia="宋体" w:cs="Times New Roman"/>
                      <w:kern w:val="0"/>
                      <w:sz w:val="21"/>
                      <w:szCs w:val="21"/>
                      <w:highlight w:val="yellow"/>
                      <w:lang w:val="en-US" w:eastAsia="zh-CN" w:bidi="ar-SA"/>
                    </w:rPr>
                  </w:pPr>
                  <w:r>
                    <w:rPr>
                      <w:rFonts w:cs="Times New Roman"/>
                    </w:rPr>
                    <w:t>积极推广循环经济理念，实施清洁生产措施，贯彻IS014000标准。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11" w:type="dxa"/>
                  <w:noWrap w:val="0"/>
                  <w:vAlign w:val="center"/>
                </w:tcPr>
                <w:p>
                  <w:pPr>
                    <w:pStyle w:val="110"/>
                    <w:ind w:firstLine="0" w:firstLineChars="0"/>
                    <w:jc w:val="left"/>
                    <w:rPr>
                      <w:rFonts w:hint="default" w:ascii="Times New Roman" w:hAnsi="Times New Roman" w:eastAsia="宋体" w:cs="Times New Roman"/>
                      <w:kern w:val="0"/>
                      <w:sz w:val="21"/>
                      <w:szCs w:val="21"/>
                      <w:highlight w:val="yellow"/>
                      <w:lang w:val="en-US" w:eastAsia="zh-CN" w:bidi="ar-SA"/>
                    </w:rPr>
                  </w:pPr>
                  <w:r>
                    <w:rPr>
                      <w:rFonts w:cs="Times New Roman"/>
                    </w:rPr>
                    <w:t>7、排污口设置按《江苏省排污口设置及规范化整治管理办法》(苏环控[1997]122号文)的要求执行。各类污染物排放口设置监测采样口并安装环保标志牌。</w:t>
                  </w:r>
                </w:p>
              </w:tc>
              <w:tc>
                <w:tcPr>
                  <w:tcW w:w="4711" w:type="dxa"/>
                  <w:noWrap w:val="0"/>
                  <w:vAlign w:val="center"/>
                </w:tcPr>
                <w:p>
                  <w:pPr>
                    <w:pStyle w:val="110"/>
                    <w:ind w:firstLine="0" w:firstLineChars="0"/>
                    <w:rPr>
                      <w:rFonts w:hint="default" w:ascii="Times New Roman" w:hAnsi="Times New Roman" w:eastAsia="宋体" w:cs="Times New Roman"/>
                      <w:kern w:val="0"/>
                      <w:sz w:val="21"/>
                      <w:szCs w:val="21"/>
                      <w:highlight w:val="yellow"/>
                      <w:lang w:val="en-US" w:eastAsia="zh-CN" w:bidi="ar-SA"/>
                    </w:rPr>
                  </w:pPr>
                  <w:r>
                    <w:rPr>
                      <w:rFonts w:cs="Times New Roman"/>
                    </w:rPr>
                    <w:t>已规范各类排污口及标识。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13" w:type="dxa"/>
                  <w:vAlign w:val="center"/>
                </w:tcPr>
                <w:p>
                  <w:pPr>
                    <w:pStyle w:val="110"/>
                    <w:ind w:firstLine="0" w:firstLineChars="0"/>
                    <w:jc w:val="left"/>
                    <w:rPr>
                      <w:rFonts w:hint="default" w:ascii="Times New Roman" w:hAnsi="Times New Roman" w:eastAsia="宋体" w:cs="Times New Roman"/>
                      <w:kern w:val="0"/>
                      <w:sz w:val="21"/>
                      <w:szCs w:val="21"/>
                      <w:highlight w:val="yellow"/>
                      <w:lang w:val="en-US" w:eastAsia="zh-CN" w:bidi="ar-SA"/>
                    </w:rPr>
                  </w:pPr>
                  <w:r>
                    <w:rPr>
                      <w:rFonts w:cs="Times New Roman"/>
                    </w:rPr>
                    <w:t>8、建设单位须采取有效的环境风险防范措施和应急措施，制定《突发环境事件应急预案》，建立完善的监控、监测及报警系统，防止各类污染事故发生。</w:t>
                  </w:r>
                </w:p>
              </w:tc>
              <w:tc>
                <w:tcPr>
                  <w:tcW w:w="2709" w:type="dxa"/>
                  <w:vAlign w:val="center"/>
                </w:tcPr>
                <w:p>
                  <w:pPr>
                    <w:pStyle w:val="110"/>
                    <w:ind w:firstLine="0" w:firstLineChars="0"/>
                    <w:rPr>
                      <w:rFonts w:hint="default" w:ascii="Times New Roman" w:hAnsi="Times New Roman" w:eastAsia="宋体" w:cs="Times New Roman"/>
                      <w:kern w:val="0"/>
                      <w:sz w:val="21"/>
                      <w:szCs w:val="21"/>
                      <w:highlight w:val="yellow"/>
                      <w:lang w:val="en-US" w:eastAsia="zh-CN" w:bidi="ar-SA"/>
                    </w:rPr>
                  </w:pPr>
                  <w:r>
                    <w:rPr>
                      <w:rFonts w:cs="Times New Roman"/>
                    </w:rPr>
                    <w:t>已经做好相关工作。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13" w:type="dxa"/>
                  <w:vAlign w:val="center"/>
                </w:tcPr>
                <w:p>
                  <w:pPr>
                    <w:pStyle w:val="110"/>
                    <w:ind w:firstLine="0" w:firstLineChars="0"/>
                    <w:jc w:val="left"/>
                    <w:rPr>
                      <w:rFonts w:hint="default" w:ascii="Times New Roman" w:hAnsi="Times New Roman" w:eastAsia="宋体" w:cs="Times New Roman"/>
                      <w:kern w:val="0"/>
                      <w:sz w:val="21"/>
                      <w:szCs w:val="21"/>
                      <w:highlight w:val="yellow"/>
                      <w:lang w:val="en-US" w:eastAsia="zh-CN" w:bidi="ar-SA"/>
                    </w:rPr>
                  </w:pPr>
                  <w:r>
                    <w:rPr>
                      <w:rFonts w:cs="Times New Roman"/>
                    </w:rPr>
                    <w:t>9、项目经我局验收合格后方可正式生产。</w:t>
                  </w:r>
                </w:p>
              </w:tc>
              <w:tc>
                <w:tcPr>
                  <w:tcW w:w="2709" w:type="dxa"/>
                  <w:vAlign w:val="center"/>
                </w:tcPr>
                <w:p>
                  <w:pPr>
                    <w:pStyle w:val="110"/>
                    <w:ind w:firstLine="0" w:firstLineChars="0"/>
                    <w:rPr>
                      <w:rFonts w:hint="default" w:ascii="Times New Roman" w:hAnsi="Times New Roman" w:eastAsia="宋体" w:cs="Times New Roman"/>
                      <w:kern w:val="0"/>
                      <w:sz w:val="21"/>
                      <w:szCs w:val="21"/>
                      <w:highlight w:val="yellow"/>
                      <w:lang w:val="en-US" w:eastAsia="zh-CN" w:bidi="ar-SA"/>
                    </w:rPr>
                  </w:pPr>
                  <w:r>
                    <w:rPr>
                      <w:rFonts w:cs="Times New Roman"/>
                    </w:rPr>
                    <w:t>正在进行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13" w:type="dxa"/>
                  <w:tcBorders>
                    <w:bottom w:val="single" w:color="auto" w:sz="12" w:space="0"/>
                  </w:tcBorders>
                  <w:vAlign w:val="center"/>
                </w:tcPr>
                <w:p>
                  <w:pPr>
                    <w:pStyle w:val="110"/>
                    <w:ind w:firstLine="0" w:firstLineChars="0"/>
                    <w:jc w:val="left"/>
                    <w:rPr>
                      <w:rFonts w:hint="default" w:ascii="Times New Roman" w:hAnsi="Times New Roman" w:eastAsia="宋体" w:cs="Times New Roman"/>
                      <w:kern w:val="0"/>
                      <w:sz w:val="21"/>
                      <w:szCs w:val="21"/>
                      <w:lang w:val="en-US" w:eastAsia="zh-CN" w:bidi="ar-SA"/>
                    </w:rPr>
                  </w:pPr>
                  <w:r>
                    <w:rPr>
                      <w:rFonts w:cs="Times New Roman"/>
                    </w:rPr>
                    <w:t>10、本批复自审批之日起有效期5年。本项目5年后方开工建设或项目的性质、规模、地点、采用的生产工艺或拟采用的防治污染措施发生重大变化的，你公司须重新报批该项目环境影响评价文件。</w:t>
                  </w:r>
                </w:p>
              </w:tc>
              <w:tc>
                <w:tcPr>
                  <w:tcW w:w="2709" w:type="dxa"/>
                  <w:tcBorders>
                    <w:bottom w:val="single" w:color="auto" w:sz="12" w:space="0"/>
                  </w:tcBorders>
                  <w:vAlign w:val="center"/>
                </w:tcPr>
                <w:p>
                  <w:pPr>
                    <w:pStyle w:val="110"/>
                    <w:ind w:firstLine="0" w:firstLineChars="0"/>
                    <w:rPr>
                      <w:rFonts w:hint="default" w:ascii="Times New Roman" w:hAnsi="Times New Roman" w:eastAsia="宋体" w:cs="Times New Roman"/>
                      <w:kern w:val="0"/>
                      <w:sz w:val="21"/>
                      <w:szCs w:val="21"/>
                      <w:highlight w:val="yellow"/>
                      <w:lang w:val="en-US" w:eastAsia="zh-CN" w:bidi="ar-SA"/>
                    </w:rPr>
                  </w:pPr>
                  <w:r>
                    <w:rPr>
                      <w:rFonts w:cs="Times New Roman"/>
                    </w:rPr>
                    <w:t>已在规定时间内建设完毕</w:t>
                  </w:r>
                </w:p>
              </w:tc>
            </w:tr>
          </w:tbl>
          <w:p>
            <w:pPr>
              <w:pStyle w:val="2"/>
              <w:ind w:firstLine="0" w:firstLineChars="0"/>
              <w:rPr>
                <w:rFonts w:hint="default"/>
              </w:rPr>
            </w:pPr>
            <w:r>
              <w:rPr>
                <w:rFonts w:hint="default"/>
              </w:rPr>
              <w:t>2、</w:t>
            </w:r>
            <w:r>
              <w:rPr>
                <w:rFonts w:hint="default"/>
                <w:lang w:eastAsia="zh-CN"/>
              </w:rPr>
              <w:t>现</w:t>
            </w:r>
            <w:r>
              <w:rPr>
                <w:rFonts w:hint="default"/>
              </w:rPr>
              <w:t>有项目生产工艺流程</w:t>
            </w:r>
          </w:p>
          <w:p>
            <w:pPr>
              <w:pStyle w:val="2"/>
              <w:ind w:firstLine="0" w:firstLineChars="0"/>
              <w:jc w:val="center"/>
              <w:rPr>
                <w:rFonts w:hint="default"/>
              </w:rPr>
            </w:pPr>
            <w:r>
              <w:drawing>
                <wp:inline distT="0" distB="0" distL="114300" distR="114300">
                  <wp:extent cx="5857875" cy="1323975"/>
                  <wp:effectExtent l="0" t="0" r="9525" b="9525"/>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9"/>
                          <a:stretch>
                            <a:fillRect/>
                          </a:stretch>
                        </pic:blipFill>
                        <pic:spPr>
                          <a:xfrm>
                            <a:off x="0" y="0"/>
                            <a:ext cx="5857875" cy="1323975"/>
                          </a:xfrm>
                          <a:prstGeom prst="rect">
                            <a:avLst/>
                          </a:prstGeom>
                          <a:noFill/>
                          <a:ln>
                            <a:noFill/>
                          </a:ln>
                        </pic:spPr>
                      </pic:pic>
                    </a:graphicData>
                  </a:graphic>
                </wp:inline>
              </w:drawing>
            </w:r>
          </w:p>
          <w:p>
            <w:pPr>
              <w:rPr>
                <w:rFonts w:hint="default"/>
              </w:rPr>
            </w:pPr>
            <w:r>
              <w:rPr>
                <w:rFonts w:hint="default"/>
              </w:rPr>
              <w:t>工艺流程说明：</w:t>
            </w:r>
          </w:p>
          <w:p>
            <w:pPr>
              <w:pStyle w:val="2"/>
              <w:rPr>
                <w:rFonts w:hint="eastAsia"/>
                <w:lang w:eastAsia="zh-CN"/>
              </w:rPr>
            </w:pPr>
            <w:r>
              <w:rPr>
                <w:rFonts w:hint="eastAsia"/>
                <w:lang w:eastAsia="zh-CN"/>
              </w:rPr>
              <w:t>混料：项目首先将所需要的塑料粒子、弹性体和相应的色料母粒通过真空输送装置计</w:t>
            </w:r>
          </w:p>
          <w:p>
            <w:pPr>
              <w:pStyle w:val="2"/>
              <w:rPr>
                <w:rFonts w:hint="eastAsia"/>
                <w:lang w:eastAsia="zh-CN"/>
              </w:rPr>
            </w:pPr>
            <w:r>
              <w:rPr>
                <w:rFonts w:hint="eastAsia"/>
                <w:lang w:eastAsia="zh-CN"/>
              </w:rPr>
              <w:t>量并输送入捏料机中进行混合，由于所用粒子和色料母粒直径约 2mm，非粉状，因此不涉及粉尘的产生问题；</w:t>
            </w:r>
          </w:p>
          <w:p>
            <w:pPr>
              <w:pStyle w:val="2"/>
              <w:rPr>
                <w:rFonts w:hint="eastAsia"/>
                <w:lang w:eastAsia="zh-CN"/>
              </w:rPr>
            </w:pPr>
            <w:r>
              <w:rPr>
                <w:rFonts w:hint="eastAsia"/>
                <w:lang w:eastAsia="zh-CN"/>
              </w:rPr>
              <w:t>挤出成型、冷却：由于采用单螺杆挤出机，为预热后的粒子通过螺杆挤出，之后经风冷后成型。项目单螺杆挤出机使用过程需要冷却水进行设备的间接冷却，冷却水经冷却塔冷却后循环回用。挤出过程加热、融熔、增压，温度约 120～160℃，约 0.1%的原料单体会挥发出（G1），主要为烃类气体，以非甲烷总烃计的量为 1.5t/a，经相应的吸风罩收集后集中通风，风量 4000m3/h，按照 90%的收集率，废气经</w:t>
            </w:r>
            <w:r>
              <w:t>活性炭吸附</w:t>
            </w:r>
            <w:r>
              <w:rPr>
                <w:rFonts w:hint="eastAsia"/>
                <w:lang w:val="en-US" w:eastAsia="zh-CN"/>
              </w:rPr>
              <w:t>+低温等离子</w:t>
            </w:r>
            <w:r>
              <w:rPr>
                <w:rFonts w:hint="eastAsia"/>
                <w:lang w:eastAsia="zh-CN"/>
              </w:rPr>
              <w:t>处理，按照70%的效率，最终达标尾气经 15 米高排气筒外排；</w:t>
            </w:r>
          </w:p>
          <w:p>
            <w:pPr>
              <w:pStyle w:val="2"/>
              <w:rPr>
                <w:rFonts w:hint="eastAsia"/>
                <w:lang w:eastAsia="zh-CN"/>
              </w:rPr>
            </w:pPr>
            <w:r>
              <w:rPr>
                <w:rFonts w:hint="eastAsia"/>
                <w:lang w:eastAsia="zh-CN"/>
              </w:rPr>
              <w:t>检验：成型后产品经检验，合格的包装外运出厂，不合格的（S1）经回收外卖；</w:t>
            </w:r>
          </w:p>
          <w:p>
            <w:pPr>
              <w:pStyle w:val="2"/>
              <w:ind w:firstLine="0" w:firstLineChars="0"/>
              <w:rPr>
                <w:rFonts w:hint="default" w:ascii="Times New Roman" w:hAnsi="Times New Roman" w:cs="Times New Roman"/>
                <w:b/>
                <w:bCs w:val="0"/>
                <w:color w:val="000000"/>
              </w:rPr>
            </w:pPr>
            <w:r>
              <w:rPr>
                <w:rFonts w:hint="default" w:ascii="Times New Roman" w:hAnsi="Times New Roman" w:cs="Times New Roman"/>
                <w:b/>
                <w:bCs w:val="0"/>
                <w:color w:val="000000"/>
              </w:rPr>
              <w:t>3、</w:t>
            </w:r>
            <w:r>
              <w:rPr>
                <w:rFonts w:hint="eastAsia" w:cs="Times New Roman"/>
                <w:b/>
                <w:bCs w:val="0"/>
                <w:color w:val="000000"/>
                <w:lang w:val="en-US" w:eastAsia="zh-CN"/>
              </w:rPr>
              <w:t>现有</w:t>
            </w:r>
            <w:r>
              <w:rPr>
                <w:rFonts w:hint="default" w:ascii="Times New Roman" w:hAnsi="Times New Roman" w:cs="Times New Roman"/>
                <w:b/>
                <w:bCs w:val="0"/>
                <w:color w:val="000000"/>
              </w:rPr>
              <w:t>项目污染物产生及治理情况</w:t>
            </w:r>
          </w:p>
          <w:p>
            <w:pPr>
              <w:pStyle w:val="2"/>
              <w:ind w:firstLine="480" w:firstLineChars="200"/>
              <w:rPr>
                <w:rFonts w:hint="eastAsia" w:ascii="Times New Roman" w:hAnsi="Times New Roman" w:eastAsia="宋体" w:cs="Times New Roman"/>
                <w:bCs/>
                <w:color w:val="000000"/>
                <w:lang w:eastAsia="zh-CN"/>
              </w:rPr>
            </w:pPr>
            <w:r>
              <w:rPr>
                <w:rFonts w:hint="eastAsia" w:cs="Times New Roman"/>
                <w:bCs/>
                <w:color w:val="000000"/>
                <w:lang w:val="en-US" w:eastAsia="zh-CN"/>
              </w:rPr>
              <w:t>现有</w:t>
            </w:r>
            <w:r>
              <w:rPr>
                <w:rFonts w:hint="eastAsia" w:ascii="Times New Roman" w:hAnsi="Times New Roman" w:cs="Times New Roman"/>
                <w:bCs/>
                <w:color w:val="000000"/>
                <w:lang w:eastAsia="zh-CN"/>
              </w:rPr>
              <w:t>项目验收监测数据见附件，均已达标排放。</w:t>
            </w:r>
          </w:p>
          <w:p>
            <w:pPr>
              <w:rPr>
                <w:rFonts w:hint="eastAsia"/>
                <w:lang w:eastAsia="zh-CN"/>
              </w:rPr>
            </w:pPr>
            <w:r>
              <w:rPr>
                <w:rFonts w:hint="eastAsia"/>
                <w:lang w:val="en-US" w:eastAsia="zh-CN"/>
              </w:rPr>
              <w:t>1）</w:t>
            </w:r>
            <w:r>
              <w:rPr>
                <w:rFonts w:hint="eastAsia"/>
                <w:lang w:eastAsia="zh-CN"/>
              </w:rPr>
              <w:t xml:space="preserve">废气 </w:t>
            </w:r>
          </w:p>
          <w:p>
            <w:pPr>
              <w:ind w:firstLine="480" w:firstLineChars="200"/>
              <w:rPr>
                <w:rFonts w:hint="eastAsia"/>
                <w:lang w:eastAsia="zh-CN"/>
              </w:rPr>
            </w:pPr>
            <w:r>
              <w:rPr>
                <w:rFonts w:hint="eastAsia"/>
                <w:lang w:val="en-US" w:eastAsia="zh-CN"/>
              </w:rPr>
              <w:t>现有</w:t>
            </w:r>
            <w:r>
              <w:rPr>
                <w:rFonts w:hint="eastAsia"/>
                <w:lang w:eastAsia="zh-CN"/>
              </w:rPr>
              <w:t>项目主要产生废气的工段是挤出成型、冷却工段，在该工段有加热、熔融、增压过程，温度约120-160℃，有少量塑料粒子中的低分子成分高温受热分解，以非甲烷总烃计算，经过吸风罩收集后经一级活性炭吸附+低温等离子体设备处理，最后由一根15m高排气筒排出，剩余未被收集的非甲烷总烃经车间通风后无组织排放。本项目大气污染物产生及排放情况见表</w:t>
            </w:r>
            <w:r>
              <w:rPr>
                <w:rFonts w:hint="eastAsia"/>
                <w:lang w:val="en-US" w:eastAsia="zh-CN"/>
              </w:rPr>
              <w:t>1-12</w:t>
            </w:r>
            <w:r>
              <w:rPr>
                <w:rFonts w:hint="eastAsia"/>
                <w:lang w:eastAsia="zh-CN"/>
              </w:rPr>
              <w:t>、表</w:t>
            </w:r>
            <w:r>
              <w:rPr>
                <w:rFonts w:hint="eastAsia"/>
                <w:lang w:val="en-US" w:eastAsia="zh-CN"/>
              </w:rPr>
              <w:t>1-13</w:t>
            </w:r>
            <w:r>
              <w:rPr>
                <w:rFonts w:hint="eastAsia"/>
                <w:lang w:eastAsia="zh-CN"/>
              </w:rPr>
              <w:t>。</w:t>
            </w:r>
          </w:p>
          <w:p>
            <w:pPr>
              <w:bidi w:val="0"/>
              <w:spacing w:line="240" w:lineRule="auto"/>
              <w:jc w:val="center"/>
              <w:rPr>
                <w:rFonts w:hint="default"/>
              </w:rPr>
            </w:pPr>
            <w:r>
              <w:rPr>
                <w:rFonts w:hint="default"/>
                <w:b/>
                <w:bCs/>
                <w:sz w:val="21"/>
                <w:szCs w:val="21"/>
              </w:rPr>
              <w:t>表</w:t>
            </w:r>
            <w:r>
              <w:rPr>
                <w:rFonts w:hint="eastAsia"/>
                <w:b/>
                <w:bCs/>
                <w:sz w:val="21"/>
                <w:szCs w:val="21"/>
                <w:lang w:val="en-US" w:eastAsia="zh-CN"/>
              </w:rPr>
              <w:t>1-12</w:t>
            </w:r>
            <w:r>
              <w:rPr>
                <w:rFonts w:hint="default"/>
                <w:b/>
                <w:bCs/>
                <w:sz w:val="21"/>
                <w:szCs w:val="21"/>
              </w:rPr>
              <w:t>项目有组织废气产生及排放情况表</w:t>
            </w:r>
          </w:p>
          <w:tbl>
            <w:tblPr>
              <w:tblStyle w:val="26"/>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891"/>
              <w:gridCol w:w="1490"/>
              <w:gridCol w:w="1444"/>
              <w:gridCol w:w="2251"/>
              <w:gridCol w:w="234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3" w:type="pct"/>
                  <w:tcBorders>
                    <w:bottom w:val="single" w:color="auto" w:sz="12" w:space="0"/>
                  </w:tcBorders>
                  <w:vAlign w:val="center"/>
                </w:tcPr>
                <w:p>
                  <w:pPr>
                    <w:pStyle w:val="110"/>
                    <w:rPr>
                      <w:rFonts w:cs="Times New Roman"/>
                      <w:b/>
                      <w:bCs/>
                    </w:rPr>
                  </w:pPr>
                  <w:r>
                    <w:rPr>
                      <w:rFonts w:cs="Times New Roman"/>
                      <w:b/>
                      <w:bCs/>
                    </w:rPr>
                    <w:t>产生工序</w:t>
                  </w:r>
                </w:p>
              </w:tc>
              <w:tc>
                <w:tcPr>
                  <w:tcW w:w="790" w:type="pct"/>
                  <w:tcBorders>
                    <w:bottom w:val="single" w:color="auto" w:sz="12" w:space="0"/>
                  </w:tcBorders>
                  <w:vAlign w:val="center"/>
                </w:tcPr>
                <w:p>
                  <w:pPr>
                    <w:pStyle w:val="110"/>
                    <w:rPr>
                      <w:rFonts w:cs="Times New Roman"/>
                      <w:b/>
                      <w:bCs/>
                    </w:rPr>
                  </w:pPr>
                  <w:r>
                    <w:rPr>
                      <w:rFonts w:cs="Times New Roman"/>
                      <w:b/>
                      <w:bCs/>
                    </w:rPr>
                    <w:t>污染物</w:t>
                  </w:r>
                </w:p>
              </w:tc>
              <w:tc>
                <w:tcPr>
                  <w:tcW w:w="766" w:type="pct"/>
                  <w:tcBorders>
                    <w:bottom w:val="single" w:color="auto" w:sz="12" w:space="0"/>
                  </w:tcBorders>
                  <w:vAlign w:val="center"/>
                </w:tcPr>
                <w:p>
                  <w:pPr>
                    <w:pStyle w:val="110"/>
                    <w:rPr>
                      <w:rFonts w:cs="Times New Roman"/>
                      <w:b/>
                      <w:bCs/>
                    </w:rPr>
                  </w:pPr>
                  <w:r>
                    <w:rPr>
                      <w:rFonts w:cs="Times New Roman"/>
                      <w:b/>
                      <w:bCs/>
                    </w:rPr>
                    <w:t>产生量t/a</w:t>
                  </w:r>
                </w:p>
              </w:tc>
              <w:tc>
                <w:tcPr>
                  <w:tcW w:w="1194" w:type="pct"/>
                  <w:tcBorders>
                    <w:bottom w:val="single" w:color="auto" w:sz="12" w:space="0"/>
                  </w:tcBorders>
                  <w:vAlign w:val="center"/>
                </w:tcPr>
                <w:p>
                  <w:pPr>
                    <w:pStyle w:val="110"/>
                    <w:rPr>
                      <w:rFonts w:cs="Times New Roman"/>
                      <w:b/>
                      <w:bCs/>
                    </w:rPr>
                  </w:pPr>
                  <w:r>
                    <w:rPr>
                      <w:rFonts w:cs="Times New Roman"/>
                      <w:b/>
                      <w:bCs/>
                    </w:rPr>
                    <w:t>治理措施</w:t>
                  </w:r>
                </w:p>
              </w:tc>
              <w:tc>
                <w:tcPr>
                  <w:tcW w:w="1245" w:type="pct"/>
                  <w:tcBorders>
                    <w:bottom w:val="single" w:color="auto" w:sz="12" w:space="0"/>
                  </w:tcBorders>
                  <w:vAlign w:val="center"/>
                </w:tcPr>
                <w:p>
                  <w:pPr>
                    <w:pStyle w:val="110"/>
                    <w:rPr>
                      <w:rFonts w:cs="Times New Roman"/>
                      <w:b/>
                      <w:bCs/>
                    </w:rPr>
                  </w:pPr>
                  <w:r>
                    <w:rPr>
                      <w:rFonts w:cs="Times New Roman"/>
                      <w:b/>
                      <w:bCs/>
                    </w:rPr>
                    <w:t>排气筒编号及高度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1003" w:type="pct"/>
                  <w:tcBorders>
                    <w:top w:val="single" w:color="auto" w:sz="12" w:space="0"/>
                  </w:tcBorders>
                  <w:vAlign w:val="center"/>
                </w:tcPr>
                <w:p>
                  <w:pPr>
                    <w:pStyle w:val="110"/>
                    <w:rPr>
                      <w:rFonts w:cs="Times New Roman"/>
                    </w:rPr>
                  </w:pPr>
                  <w:r>
                    <w:rPr>
                      <w:rFonts w:cs="Times New Roman"/>
                    </w:rPr>
                    <w:t>挤出成型、冷却</w:t>
                  </w:r>
                </w:p>
              </w:tc>
              <w:tc>
                <w:tcPr>
                  <w:tcW w:w="790" w:type="pct"/>
                  <w:tcBorders>
                    <w:top w:val="single" w:color="auto" w:sz="12" w:space="0"/>
                  </w:tcBorders>
                  <w:vAlign w:val="center"/>
                </w:tcPr>
                <w:p>
                  <w:pPr>
                    <w:pStyle w:val="110"/>
                    <w:rPr>
                      <w:rFonts w:cs="Times New Roman"/>
                    </w:rPr>
                  </w:pPr>
                  <w:r>
                    <w:rPr>
                      <w:rFonts w:cs="Times New Roman"/>
                    </w:rPr>
                    <w:t>非甲烷总烃</w:t>
                  </w:r>
                </w:p>
              </w:tc>
              <w:tc>
                <w:tcPr>
                  <w:tcW w:w="766" w:type="pct"/>
                  <w:tcBorders>
                    <w:top w:val="single" w:color="auto" w:sz="12" w:space="0"/>
                  </w:tcBorders>
                  <w:vAlign w:val="center"/>
                </w:tcPr>
                <w:p>
                  <w:pPr>
                    <w:pStyle w:val="110"/>
                    <w:rPr>
                      <w:rFonts w:cs="Times New Roman"/>
                    </w:rPr>
                  </w:pPr>
                  <w:r>
                    <w:rPr>
                      <w:rFonts w:cs="Times New Roman"/>
                    </w:rPr>
                    <w:t>1.5</w:t>
                  </w:r>
                </w:p>
              </w:tc>
              <w:tc>
                <w:tcPr>
                  <w:tcW w:w="1194" w:type="pct"/>
                  <w:tcBorders>
                    <w:top w:val="single" w:color="auto" w:sz="12" w:space="0"/>
                  </w:tcBorders>
                  <w:vAlign w:val="center"/>
                </w:tcPr>
                <w:p>
                  <w:pPr>
                    <w:pStyle w:val="110"/>
                    <w:rPr>
                      <w:rFonts w:cs="Times New Roman"/>
                    </w:rPr>
                  </w:pPr>
                  <w:r>
                    <w:rPr>
                      <w:rFonts w:hint="eastAsia" w:cs="Times New Roman"/>
                    </w:rPr>
                    <w:t>一级</w:t>
                  </w:r>
                  <w:r>
                    <w:rPr>
                      <w:rFonts w:cs="Times New Roman"/>
                    </w:rPr>
                    <w:t>活性炭</w:t>
                  </w:r>
                  <w:r>
                    <w:rPr>
                      <w:rFonts w:hint="eastAsia" w:cs="Times New Roman"/>
                    </w:rPr>
                    <w:t>+低温等离子体设备</w:t>
                  </w:r>
                </w:p>
              </w:tc>
              <w:tc>
                <w:tcPr>
                  <w:tcW w:w="1245" w:type="pct"/>
                  <w:tcBorders>
                    <w:top w:val="single" w:color="auto" w:sz="12" w:space="0"/>
                  </w:tcBorders>
                  <w:vAlign w:val="center"/>
                </w:tcPr>
                <w:p>
                  <w:pPr>
                    <w:pStyle w:val="110"/>
                    <w:rPr>
                      <w:rFonts w:cs="Times New Roman"/>
                    </w:rPr>
                  </w:pPr>
                  <w:r>
                    <w:rPr>
                      <w:rFonts w:cs="Times New Roman"/>
                    </w:rPr>
                    <w:t>1#，15m</w:t>
                  </w:r>
                </w:p>
              </w:tc>
            </w:tr>
          </w:tbl>
          <w:p>
            <w:pPr>
              <w:spacing w:line="240" w:lineRule="auto"/>
              <w:jc w:val="center"/>
              <w:rPr>
                <w:rFonts w:hint="eastAsia"/>
                <w:b/>
                <w:bCs/>
                <w:sz w:val="21"/>
                <w:szCs w:val="21"/>
                <w:lang w:val="en-US" w:eastAsia="zh-CN"/>
              </w:rPr>
            </w:pPr>
            <w:r>
              <w:rPr>
                <w:rFonts w:hint="eastAsia"/>
                <w:b/>
                <w:bCs/>
                <w:sz w:val="21"/>
                <w:szCs w:val="21"/>
                <w:lang w:val="en-US" w:eastAsia="zh-CN"/>
              </w:rPr>
              <w:t>表1-13废气检测结果</w:t>
            </w:r>
          </w:p>
          <w:tbl>
            <w:tblPr>
              <w:tblStyle w:val="26"/>
              <w:tblW w:w="9428"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178"/>
              <w:gridCol w:w="743"/>
              <w:gridCol w:w="749"/>
              <w:gridCol w:w="826"/>
              <w:gridCol w:w="1132"/>
              <w:gridCol w:w="1026"/>
              <w:gridCol w:w="1058"/>
              <w:gridCol w:w="1026"/>
              <w:gridCol w:w="1026"/>
              <w:gridCol w:w="66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01" w:hRule="atLeast"/>
                <w:jc w:val="center"/>
              </w:trPr>
              <w:tc>
                <w:tcPr>
                  <w:tcW w:w="625" w:type="pct"/>
                  <w:vMerge w:val="restart"/>
                  <w:vAlign w:val="center"/>
                </w:tcPr>
                <w:p>
                  <w:pPr>
                    <w:pStyle w:val="110"/>
                    <w:rPr>
                      <w:rFonts w:hint="default" w:ascii="Times New Roman" w:hAnsi="Times New Roman" w:eastAsia="宋体" w:cs="Times New Roman"/>
                      <w:b/>
                      <w:bCs/>
                    </w:rPr>
                  </w:pPr>
                  <w:r>
                    <w:rPr>
                      <w:rFonts w:hint="default" w:ascii="Times New Roman" w:hAnsi="Times New Roman" w:eastAsia="宋体" w:cs="Times New Roman"/>
                      <w:b/>
                      <w:bCs/>
                    </w:rPr>
                    <w:t>排气筒</w:t>
                  </w:r>
                </w:p>
                <w:p>
                  <w:pPr>
                    <w:pStyle w:val="110"/>
                    <w:rPr>
                      <w:rFonts w:hint="default" w:ascii="Times New Roman" w:hAnsi="Times New Roman" w:eastAsia="宋体" w:cs="Times New Roman"/>
                      <w:b/>
                      <w:bCs/>
                    </w:rPr>
                  </w:pPr>
                  <w:r>
                    <w:rPr>
                      <w:rFonts w:hint="default" w:ascii="Times New Roman" w:hAnsi="Times New Roman" w:eastAsia="宋体" w:cs="Times New Roman"/>
                      <w:b/>
                      <w:bCs/>
                    </w:rPr>
                    <w:t>名称</w:t>
                  </w:r>
                </w:p>
              </w:tc>
              <w:tc>
                <w:tcPr>
                  <w:tcW w:w="791" w:type="pct"/>
                  <w:gridSpan w:val="2"/>
                  <w:vMerge w:val="restart"/>
                  <w:vAlign w:val="center"/>
                </w:tcPr>
                <w:p>
                  <w:pPr>
                    <w:pStyle w:val="110"/>
                    <w:rPr>
                      <w:rFonts w:hint="default" w:ascii="Times New Roman" w:hAnsi="Times New Roman" w:eastAsia="宋体" w:cs="Times New Roman"/>
                      <w:b/>
                      <w:bCs/>
                      <w:highlight w:val="yellow"/>
                    </w:rPr>
                  </w:pPr>
                  <w:r>
                    <w:rPr>
                      <w:rFonts w:hint="default" w:ascii="Times New Roman" w:hAnsi="Times New Roman" w:eastAsia="宋体" w:cs="Times New Roman"/>
                      <w:b/>
                      <w:bCs/>
                    </w:rPr>
                    <w:t>检测项目</w:t>
                  </w:r>
                </w:p>
              </w:tc>
              <w:tc>
                <w:tcPr>
                  <w:tcW w:w="438" w:type="pct"/>
                  <w:vMerge w:val="restart"/>
                  <w:vAlign w:val="center"/>
                </w:tcPr>
                <w:p>
                  <w:pPr>
                    <w:pStyle w:val="110"/>
                    <w:rPr>
                      <w:rFonts w:hint="default" w:ascii="Times New Roman" w:hAnsi="Times New Roman" w:eastAsia="宋体" w:cs="Times New Roman"/>
                      <w:b/>
                      <w:bCs/>
                    </w:rPr>
                  </w:pPr>
                  <w:r>
                    <w:rPr>
                      <w:rFonts w:hint="default" w:ascii="Times New Roman" w:hAnsi="Times New Roman" w:eastAsia="宋体" w:cs="Times New Roman"/>
                      <w:b/>
                      <w:bCs/>
                    </w:rPr>
                    <w:t>单位</w:t>
                  </w:r>
                </w:p>
              </w:tc>
              <w:tc>
                <w:tcPr>
                  <w:tcW w:w="600" w:type="pct"/>
                  <w:vMerge w:val="restart"/>
                  <w:vAlign w:val="center"/>
                </w:tcPr>
                <w:p>
                  <w:pPr>
                    <w:pStyle w:val="110"/>
                    <w:rPr>
                      <w:rFonts w:hint="default" w:ascii="Times New Roman" w:hAnsi="Times New Roman" w:eastAsia="宋体" w:cs="Times New Roman"/>
                      <w:b/>
                      <w:bCs/>
                    </w:rPr>
                  </w:pPr>
                  <w:r>
                    <w:rPr>
                      <w:rFonts w:hint="default" w:ascii="Times New Roman" w:hAnsi="Times New Roman" w:eastAsia="宋体" w:cs="Times New Roman"/>
                      <w:b/>
                      <w:bCs/>
                    </w:rPr>
                    <w:t>最高允许排放浓度/限值</w:t>
                  </w:r>
                </w:p>
              </w:tc>
              <w:tc>
                <w:tcPr>
                  <w:tcW w:w="2193" w:type="pct"/>
                  <w:gridSpan w:val="4"/>
                  <w:vAlign w:val="center"/>
                </w:tcPr>
                <w:p>
                  <w:pPr>
                    <w:pStyle w:val="110"/>
                    <w:rPr>
                      <w:rFonts w:hint="default" w:ascii="Times New Roman" w:hAnsi="Times New Roman" w:eastAsia="宋体" w:cs="Times New Roman"/>
                      <w:b/>
                      <w:bCs/>
                      <w:highlight w:val="yellow"/>
                    </w:rPr>
                  </w:pPr>
                  <w:r>
                    <w:rPr>
                      <w:rFonts w:hint="default" w:ascii="Times New Roman" w:hAnsi="Times New Roman" w:eastAsia="宋体" w:cs="Times New Roman"/>
                      <w:b/>
                      <w:bCs/>
                    </w:rPr>
                    <w:t>检测结果</w:t>
                  </w:r>
                </w:p>
              </w:tc>
              <w:tc>
                <w:tcPr>
                  <w:tcW w:w="350" w:type="pct"/>
                  <w:vMerge w:val="restart"/>
                  <w:vAlign w:val="center"/>
                </w:tcPr>
                <w:p>
                  <w:pPr>
                    <w:pStyle w:val="110"/>
                    <w:rPr>
                      <w:rFonts w:hint="default" w:ascii="Times New Roman" w:hAnsi="Times New Roman" w:eastAsia="宋体" w:cs="Times New Roman"/>
                      <w:b/>
                      <w:bCs/>
                    </w:rPr>
                  </w:pPr>
                  <w:r>
                    <w:rPr>
                      <w:rFonts w:hint="default" w:ascii="Times New Roman" w:hAnsi="Times New Roman" w:eastAsia="宋体" w:cs="Times New Roman"/>
                      <w:b/>
                      <w:bCs/>
                    </w:rPr>
                    <w:t>评价</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625" w:type="pct"/>
                  <w:vMerge w:val="continue"/>
                  <w:tcBorders>
                    <w:bottom w:val="single" w:color="auto" w:sz="12" w:space="0"/>
                  </w:tcBorders>
                  <w:vAlign w:val="center"/>
                </w:tcPr>
                <w:p>
                  <w:pPr>
                    <w:pStyle w:val="110"/>
                    <w:rPr>
                      <w:rFonts w:hint="default" w:ascii="Times New Roman" w:hAnsi="Times New Roman" w:eastAsia="宋体" w:cs="Times New Roman"/>
                      <w:b/>
                      <w:bCs/>
                    </w:rPr>
                  </w:pPr>
                </w:p>
              </w:tc>
              <w:tc>
                <w:tcPr>
                  <w:tcW w:w="791" w:type="pct"/>
                  <w:gridSpan w:val="2"/>
                  <w:vMerge w:val="continue"/>
                  <w:tcBorders>
                    <w:bottom w:val="single" w:color="auto" w:sz="12" w:space="0"/>
                  </w:tcBorders>
                  <w:vAlign w:val="center"/>
                </w:tcPr>
                <w:p>
                  <w:pPr>
                    <w:pStyle w:val="110"/>
                    <w:rPr>
                      <w:rFonts w:hint="default" w:ascii="Times New Roman" w:hAnsi="Times New Roman" w:eastAsia="宋体" w:cs="Times New Roman"/>
                      <w:b/>
                      <w:bCs/>
                      <w:highlight w:val="yellow"/>
                    </w:rPr>
                  </w:pPr>
                </w:p>
              </w:tc>
              <w:tc>
                <w:tcPr>
                  <w:tcW w:w="438" w:type="pct"/>
                  <w:vMerge w:val="continue"/>
                  <w:tcBorders>
                    <w:bottom w:val="single" w:color="auto" w:sz="12" w:space="0"/>
                  </w:tcBorders>
                  <w:vAlign w:val="center"/>
                </w:tcPr>
                <w:p>
                  <w:pPr>
                    <w:pStyle w:val="110"/>
                    <w:rPr>
                      <w:rFonts w:hint="default" w:ascii="Times New Roman" w:hAnsi="Times New Roman" w:eastAsia="宋体" w:cs="Times New Roman"/>
                      <w:b/>
                      <w:bCs/>
                    </w:rPr>
                  </w:pPr>
                </w:p>
              </w:tc>
              <w:tc>
                <w:tcPr>
                  <w:tcW w:w="600" w:type="pct"/>
                  <w:vMerge w:val="continue"/>
                  <w:tcBorders>
                    <w:bottom w:val="single" w:color="auto" w:sz="12" w:space="0"/>
                  </w:tcBorders>
                  <w:vAlign w:val="center"/>
                </w:tcPr>
                <w:p>
                  <w:pPr>
                    <w:pStyle w:val="110"/>
                    <w:rPr>
                      <w:rFonts w:hint="default" w:ascii="Times New Roman" w:hAnsi="Times New Roman" w:eastAsia="宋体" w:cs="Times New Roman"/>
                      <w:b/>
                      <w:bCs/>
                    </w:rPr>
                  </w:pPr>
                </w:p>
              </w:tc>
              <w:tc>
                <w:tcPr>
                  <w:tcW w:w="544" w:type="pct"/>
                  <w:tcBorders>
                    <w:bottom w:val="single" w:color="auto" w:sz="12" w:space="0"/>
                  </w:tcBorders>
                  <w:vAlign w:val="center"/>
                </w:tcPr>
                <w:p>
                  <w:pPr>
                    <w:pStyle w:val="110"/>
                    <w:rPr>
                      <w:rFonts w:hint="default" w:ascii="Times New Roman" w:hAnsi="Times New Roman" w:eastAsia="宋体" w:cs="Times New Roman"/>
                      <w:b/>
                      <w:bCs/>
                    </w:rPr>
                  </w:pPr>
                  <w:r>
                    <w:rPr>
                      <w:rFonts w:hint="default" w:ascii="Times New Roman" w:hAnsi="Times New Roman" w:eastAsia="宋体" w:cs="Times New Roman"/>
                      <w:b/>
                      <w:bCs/>
                    </w:rPr>
                    <w:t>1</w:t>
                  </w:r>
                </w:p>
              </w:tc>
              <w:tc>
                <w:tcPr>
                  <w:tcW w:w="561" w:type="pct"/>
                  <w:tcBorders>
                    <w:bottom w:val="single" w:color="auto" w:sz="12" w:space="0"/>
                  </w:tcBorders>
                  <w:vAlign w:val="center"/>
                </w:tcPr>
                <w:p>
                  <w:pPr>
                    <w:pStyle w:val="110"/>
                    <w:rPr>
                      <w:rFonts w:hint="default" w:ascii="Times New Roman" w:hAnsi="Times New Roman" w:eastAsia="宋体" w:cs="Times New Roman"/>
                      <w:b/>
                      <w:bCs/>
                    </w:rPr>
                  </w:pPr>
                  <w:r>
                    <w:rPr>
                      <w:rFonts w:hint="default" w:ascii="Times New Roman" w:hAnsi="Times New Roman" w:eastAsia="宋体" w:cs="Times New Roman"/>
                      <w:b/>
                      <w:bCs/>
                    </w:rPr>
                    <w:t>2</w:t>
                  </w:r>
                </w:p>
              </w:tc>
              <w:tc>
                <w:tcPr>
                  <w:tcW w:w="544" w:type="pct"/>
                  <w:tcBorders>
                    <w:bottom w:val="single" w:color="auto" w:sz="12" w:space="0"/>
                  </w:tcBorders>
                  <w:vAlign w:val="center"/>
                </w:tcPr>
                <w:p>
                  <w:pPr>
                    <w:pStyle w:val="110"/>
                    <w:rPr>
                      <w:rFonts w:hint="default" w:ascii="Times New Roman" w:hAnsi="Times New Roman" w:eastAsia="宋体" w:cs="Times New Roman"/>
                      <w:b/>
                      <w:bCs/>
                    </w:rPr>
                  </w:pPr>
                  <w:r>
                    <w:rPr>
                      <w:rFonts w:hint="default" w:ascii="Times New Roman" w:hAnsi="Times New Roman" w:eastAsia="宋体" w:cs="Times New Roman"/>
                      <w:b/>
                      <w:bCs/>
                    </w:rPr>
                    <w:t>3</w:t>
                  </w:r>
                </w:p>
              </w:tc>
              <w:tc>
                <w:tcPr>
                  <w:tcW w:w="544" w:type="pct"/>
                  <w:tcBorders>
                    <w:bottom w:val="single" w:color="auto" w:sz="12" w:space="0"/>
                  </w:tcBorders>
                  <w:vAlign w:val="center"/>
                </w:tcPr>
                <w:p>
                  <w:pPr>
                    <w:pStyle w:val="110"/>
                    <w:rPr>
                      <w:rFonts w:hint="default" w:ascii="Times New Roman" w:hAnsi="Times New Roman" w:eastAsia="宋体" w:cs="Times New Roman"/>
                      <w:b/>
                      <w:bCs/>
                    </w:rPr>
                  </w:pPr>
                  <w:r>
                    <w:rPr>
                      <w:rFonts w:hint="default" w:ascii="Times New Roman" w:hAnsi="Times New Roman" w:eastAsia="宋体" w:cs="Times New Roman"/>
                      <w:b/>
                      <w:bCs/>
                    </w:rPr>
                    <w:t>4</w:t>
                  </w:r>
                </w:p>
              </w:tc>
              <w:tc>
                <w:tcPr>
                  <w:tcW w:w="350" w:type="pct"/>
                  <w:vMerge w:val="continue"/>
                  <w:tcBorders>
                    <w:bottom w:val="single" w:color="auto" w:sz="12" w:space="0"/>
                  </w:tcBorders>
                  <w:vAlign w:val="center"/>
                </w:tcPr>
                <w:p>
                  <w:pPr>
                    <w:pStyle w:val="110"/>
                    <w:rPr>
                      <w:rFonts w:hint="default" w:ascii="Times New Roman" w:hAnsi="Times New Roman" w:eastAsia="宋体" w:cs="Times New Roman"/>
                      <w:b/>
                      <w:bCs/>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25" w:type="pct"/>
                  <w:vMerge w:val="restart"/>
                  <w:tcBorders>
                    <w:top w:val="single" w:color="auto" w:sz="12" w:space="0"/>
                  </w:tcBorders>
                  <w:vAlign w:val="center"/>
                </w:tcPr>
                <w:p>
                  <w:pPr>
                    <w:pStyle w:val="110"/>
                    <w:rPr>
                      <w:rFonts w:hint="default" w:ascii="Times New Roman" w:hAnsi="Times New Roman" w:eastAsia="宋体" w:cs="Times New Roman"/>
                    </w:rPr>
                  </w:pPr>
                  <w:r>
                    <w:rPr>
                      <w:rFonts w:hint="default" w:ascii="Times New Roman" w:hAnsi="Times New Roman" w:eastAsia="宋体" w:cs="Times New Roman"/>
                    </w:rPr>
                    <w:t>排气筒出口（2019.</w:t>
                  </w:r>
                </w:p>
                <w:p>
                  <w:pPr>
                    <w:pStyle w:val="110"/>
                    <w:rPr>
                      <w:rFonts w:hint="default" w:ascii="Times New Roman" w:hAnsi="Times New Roman" w:eastAsia="宋体" w:cs="Times New Roman"/>
                    </w:rPr>
                  </w:pPr>
                  <w:r>
                    <w:rPr>
                      <w:rFonts w:hint="default" w:ascii="Times New Roman" w:hAnsi="Times New Roman" w:eastAsia="宋体" w:cs="Times New Roman"/>
                    </w:rPr>
                    <w:t>7.01）</w:t>
                  </w:r>
                </w:p>
              </w:tc>
              <w:tc>
                <w:tcPr>
                  <w:tcW w:w="394" w:type="pct"/>
                  <w:vMerge w:val="restart"/>
                  <w:tcBorders>
                    <w:top w:val="single" w:color="auto" w:sz="12" w:space="0"/>
                  </w:tcBorders>
                  <w:vAlign w:val="center"/>
                </w:tcPr>
                <w:p>
                  <w:pPr>
                    <w:pStyle w:val="110"/>
                    <w:rPr>
                      <w:rFonts w:hint="default" w:ascii="Times New Roman" w:hAnsi="Times New Roman" w:eastAsia="宋体" w:cs="Times New Roman"/>
                    </w:rPr>
                  </w:pPr>
                  <w:r>
                    <w:rPr>
                      <w:rFonts w:hint="default" w:ascii="Times New Roman" w:hAnsi="Times New Roman" w:eastAsia="宋体" w:cs="Times New Roman"/>
                    </w:rPr>
                    <w:t>非甲烷总烃</w:t>
                  </w:r>
                </w:p>
              </w:tc>
              <w:tc>
                <w:tcPr>
                  <w:tcW w:w="397" w:type="pct"/>
                  <w:tcBorders>
                    <w:top w:val="single" w:color="auto" w:sz="12" w:space="0"/>
                  </w:tcBorders>
                  <w:vAlign w:val="center"/>
                </w:tcPr>
                <w:p>
                  <w:pPr>
                    <w:pStyle w:val="110"/>
                    <w:rPr>
                      <w:rFonts w:hint="default" w:ascii="Times New Roman" w:hAnsi="Times New Roman" w:eastAsia="宋体" w:cs="Times New Roman"/>
                    </w:rPr>
                  </w:pPr>
                  <w:r>
                    <w:rPr>
                      <w:rFonts w:hint="default" w:ascii="Times New Roman" w:hAnsi="Times New Roman" w:eastAsia="宋体" w:cs="Times New Roman"/>
                    </w:rPr>
                    <w:t>排放浓度</w:t>
                  </w:r>
                </w:p>
              </w:tc>
              <w:tc>
                <w:tcPr>
                  <w:tcW w:w="438" w:type="pct"/>
                  <w:tcBorders>
                    <w:top w:val="single" w:color="auto" w:sz="12" w:space="0"/>
                  </w:tcBorders>
                  <w:vAlign w:val="center"/>
                </w:tcPr>
                <w:p>
                  <w:pPr>
                    <w:pStyle w:val="110"/>
                    <w:rPr>
                      <w:rFonts w:hint="default" w:ascii="Times New Roman" w:hAnsi="Times New Roman" w:eastAsia="宋体" w:cs="Times New Roman"/>
                    </w:rPr>
                  </w:pPr>
                  <w:r>
                    <w:rPr>
                      <w:rFonts w:hint="default" w:ascii="Times New Roman" w:hAnsi="Times New Roman" w:eastAsia="宋体" w:cs="Times New Roman"/>
                    </w:rPr>
                    <w:t>mg/m</w:t>
                  </w:r>
                  <w:r>
                    <w:rPr>
                      <w:rFonts w:hint="default" w:ascii="Times New Roman" w:hAnsi="Times New Roman" w:eastAsia="宋体" w:cs="Times New Roman"/>
                      <w:vertAlign w:val="superscript"/>
                    </w:rPr>
                    <w:t>3</w:t>
                  </w:r>
                </w:p>
              </w:tc>
              <w:tc>
                <w:tcPr>
                  <w:tcW w:w="600" w:type="pct"/>
                  <w:tcBorders>
                    <w:top w:val="single" w:color="auto" w:sz="12" w:space="0"/>
                  </w:tcBorders>
                  <w:vAlign w:val="center"/>
                </w:tcPr>
                <w:p>
                  <w:pPr>
                    <w:pStyle w:val="110"/>
                    <w:rPr>
                      <w:rFonts w:hint="default" w:ascii="Times New Roman" w:hAnsi="Times New Roman" w:eastAsia="宋体" w:cs="Times New Roman"/>
                    </w:rPr>
                  </w:pPr>
                  <w:r>
                    <w:rPr>
                      <w:rFonts w:hint="default" w:ascii="Times New Roman" w:hAnsi="Times New Roman" w:eastAsia="宋体" w:cs="Times New Roman"/>
                    </w:rPr>
                    <w:t>≤50</w:t>
                  </w:r>
                </w:p>
              </w:tc>
              <w:tc>
                <w:tcPr>
                  <w:tcW w:w="544" w:type="pct"/>
                  <w:tcBorders>
                    <w:top w:val="single" w:color="auto" w:sz="12" w:space="0"/>
                  </w:tcBorders>
                  <w:vAlign w:val="center"/>
                </w:tcPr>
                <w:p>
                  <w:pPr>
                    <w:pStyle w:val="110"/>
                    <w:rPr>
                      <w:rFonts w:hint="default" w:ascii="Times New Roman" w:hAnsi="Times New Roman" w:eastAsia="宋体" w:cs="Times New Roman"/>
                      <w:spacing w:val="10"/>
                      <w:kern w:val="2"/>
                    </w:rPr>
                  </w:pPr>
                  <w:r>
                    <w:rPr>
                      <w:rFonts w:hint="default" w:ascii="Times New Roman" w:hAnsi="Times New Roman" w:eastAsia="宋体" w:cs="Times New Roman"/>
                    </w:rPr>
                    <w:t>8.62</w:t>
                  </w:r>
                </w:p>
              </w:tc>
              <w:tc>
                <w:tcPr>
                  <w:tcW w:w="561" w:type="pct"/>
                  <w:tcBorders>
                    <w:top w:val="single" w:color="auto" w:sz="12" w:space="0"/>
                  </w:tcBorders>
                  <w:vAlign w:val="center"/>
                </w:tcPr>
                <w:p>
                  <w:pPr>
                    <w:pStyle w:val="110"/>
                    <w:rPr>
                      <w:rFonts w:hint="default" w:ascii="Times New Roman" w:hAnsi="Times New Roman" w:eastAsia="宋体" w:cs="Times New Roman"/>
                      <w:spacing w:val="10"/>
                    </w:rPr>
                  </w:pPr>
                  <w:r>
                    <w:rPr>
                      <w:rFonts w:hint="default" w:ascii="Times New Roman" w:hAnsi="Times New Roman" w:eastAsia="宋体" w:cs="Times New Roman"/>
                    </w:rPr>
                    <w:t>15.2</w:t>
                  </w:r>
                </w:p>
              </w:tc>
              <w:tc>
                <w:tcPr>
                  <w:tcW w:w="544" w:type="pct"/>
                  <w:tcBorders>
                    <w:top w:val="single" w:color="auto" w:sz="12" w:space="0"/>
                  </w:tcBorders>
                  <w:vAlign w:val="center"/>
                </w:tcPr>
                <w:p>
                  <w:pPr>
                    <w:pStyle w:val="110"/>
                    <w:rPr>
                      <w:rFonts w:hint="default" w:ascii="Times New Roman" w:hAnsi="Times New Roman" w:eastAsia="宋体" w:cs="Times New Roman"/>
                      <w:spacing w:val="10"/>
                    </w:rPr>
                  </w:pPr>
                  <w:r>
                    <w:rPr>
                      <w:rFonts w:hint="default" w:ascii="Times New Roman" w:hAnsi="Times New Roman" w:eastAsia="宋体" w:cs="Times New Roman"/>
                    </w:rPr>
                    <w:t>7.37</w:t>
                  </w:r>
                </w:p>
              </w:tc>
              <w:tc>
                <w:tcPr>
                  <w:tcW w:w="544" w:type="pct"/>
                  <w:tcBorders>
                    <w:top w:val="single" w:color="auto" w:sz="12" w:space="0"/>
                  </w:tcBorders>
                  <w:vAlign w:val="center"/>
                </w:tcPr>
                <w:p>
                  <w:pPr>
                    <w:pStyle w:val="110"/>
                    <w:rPr>
                      <w:rFonts w:hint="default" w:ascii="Times New Roman" w:hAnsi="Times New Roman" w:eastAsia="宋体" w:cs="Times New Roman"/>
                      <w:spacing w:val="10"/>
                    </w:rPr>
                  </w:pPr>
                  <w:r>
                    <w:rPr>
                      <w:rFonts w:hint="default" w:ascii="Times New Roman" w:hAnsi="Times New Roman" w:eastAsia="宋体" w:cs="Times New Roman"/>
                    </w:rPr>
                    <w:t>11.3</w:t>
                  </w:r>
                </w:p>
              </w:tc>
              <w:tc>
                <w:tcPr>
                  <w:tcW w:w="350" w:type="pct"/>
                  <w:tcBorders>
                    <w:top w:val="single" w:color="auto" w:sz="12" w:space="0"/>
                  </w:tcBorders>
                  <w:vAlign w:val="center"/>
                </w:tcPr>
                <w:p>
                  <w:pPr>
                    <w:pStyle w:val="110"/>
                    <w:rPr>
                      <w:rFonts w:hint="default" w:ascii="Times New Roman" w:hAnsi="Times New Roman" w:eastAsia="宋体" w:cs="Times New Roman"/>
                    </w:rPr>
                  </w:pPr>
                  <w:r>
                    <w:rPr>
                      <w:rFonts w:hint="default" w:ascii="Times New Roman" w:hAnsi="Times New Roman" w:eastAsia="宋体" w:cs="Times New Roman"/>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25" w:type="pct"/>
                  <w:vMerge w:val="continue"/>
                  <w:vAlign w:val="center"/>
                </w:tcPr>
                <w:p>
                  <w:pPr>
                    <w:pStyle w:val="110"/>
                    <w:rPr>
                      <w:rFonts w:hint="default" w:ascii="Times New Roman" w:hAnsi="Times New Roman" w:eastAsia="宋体" w:cs="Times New Roman"/>
                    </w:rPr>
                  </w:pPr>
                </w:p>
              </w:tc>
              <w:tc>
                <w:tcPr>
                  <w:tcW w:w="394" w:type="pct"/>
                  <w:vMerge w:val="continue"/>
                  <w:vAlign w:val="center"/>
                </w:tcPr>
                <w:p>
                  <w:pPr>
                    <w:pStyle w:val="110"/>
                    <w:rPr>
                      <w:rFonts w:hint="default" w:ascii="Times New Roman" w:hAnsi="Times New Roman" w:eastAsia="宋体" w:cs="Times New Roman"/>
                    </w:rPr>
                  </w:pPr>
                </w:p>
              </w:tc>
              <w:tc>
                <w:tcPr>
                  <w:tcW w:w="397" w:type="pct"/>
                  <w:vAlign w:val="center"/>
                </w:tcPr>
                <w:p>
                  <w:pPr>
                    <w:pStyle w:val="110"/>
                    <w:rPr>
                      <w:rFonts w:hint="default" w:ascii="Times New Roman" w:hAnsi="Times New Roman" w:eastAsia="宋体" w:cs="Times New Roman"/>
                    </w:rPr>
                  </w:pPr>
                  <w:r>
                    <w:rPr>
                      <w:rFonts w:hint="default" w:ascii="Times New Roman" w:hAnsi="Times New Roman" w:eastAsia="宋体" w:cs="Times New Roman"/>
                    </w:rPr>
                    <w:t>排放速率</w:t>
                  </w:r>
                </w:p>
              </w:tc>
              <w:tc>
                <w:tcPr>
                  <w:tcW w:w="438" w:type="pct"/>
                  <w:vAlign w:val="center"/>
                </w:tcPr>
                <w:p>
                  <w:pPr>
                    <w:pStyle w:val="110"/>
                    <w:rPr>
                      <w:rFonts w:hint="default" w:ascii="Times New Roman" w:hAnsi="Times New Roman" w:eastAsia="宋体" w:cs="Times New Roman"/>
                    </w:rPr>
                  </w:pPr>
                  <w:r>
                    <w:rPr>
                      <w:rFonts w:hint="default" w:ascii="Times New Roman" w:hAnsi="Times New Roman" w:eastAsia="宋体" w:cs="Times New Roman"/>
                    </w:rPr>
                    <w:t>kg/h</w:t>
                  </w:r>
                </w:p>
              </w:tc>
              <w:tc>
                <w:tcPr>
                  <w:tcW w:w="600" w:type="pct"/>
                  <w:vAlign w:val="center"/>
                </w:tcPr>
                <w:p>
                  <w:pPr>
                    <w:pStyle w:val="110"/>
                    <w:rPr>
                      <w:rFonts w:hint="default" w:ascii="Times New Roman" w:hAnsi="Times New Roman" w:eastAsia="宋体" w:cs="Times New Roman"/>
                    </w:rPr>
                  </w:pPr>
                  <w:r>
                    <w:rPr>
                      <w:rFonts w:hint="default" w:ascii="Times New Roman" w:hAnsi="Times New Roman" w:eastAsia="宋体" w:cs="Times New Roman"/>
                    </w:rPr>
                    <w:t>≤10</w:t>
                  </w:r>
                </w:p>
              </w:tc>
              <w:tc>
                <w:tcPr>
                  <w:tcW w:w="544" w:type="pct"/>
                  <w:vAlign w:val="center"/>
                </w:tcPr>
                <w:p>
                  <w:pPr>
                    <w:pStyle w:val="110"/>
                    <w:rPr>
                      <w:rFonts w:hint="default" w:ascii="Times New Roman" w:hAnsi="Times New Roman" w:eastAsia="宋体" w:cs="Times New Roman"/>
                      <w:spacing w:val="10"/>
                    </w:rPr>
                  </w:pPr>
                  <w:r>
                    <w:rPr>
                      <w:rFonts w:hint="default" w:ascii="Times New Roman" w:hAnsi="Times New Roman" w:eastAsia="宋体" w:cs="Times New Roman"/>
                      <w:lang w:bidi="ar"/>
                    </w:rPr>
                    <w:t>5.92</w:t>
                  </w:r>
                  <w:r>
                    <w:rPr>
                      <w:rFonts w:hint="default" w:ascii="Times New Roman" w:hAnsi="Times New Roman" w:eastAsia="宋体" w:cs="Times New Roman"/>
                    </w:rPr>
                    <w:t>×10</w:t>
                  </w:r>
                  <w:r>
                    <w:rPr>
                      <w:rFonts w:hint="default" w:ascii="Times New Roman" w:hAnsi="Times New Roman" w:eastAsia="宋体" w:cs="Times New Roman"/>
                      <w:vertAlign w:val="superscript"/>
                    </w:rPr>
                    <w:t>-2</w:t>
                  </w:r>
                </w:p>
              </w:tc>
              <w:tc>
                <w:tcPr>
                  <w:tcW w:w="561" w:type="pct"/>
                  <w:vAlign w:val="center"/>
                </w:tcPr>
                <w:p>
                  <w:pPr>
                    <w:pStyle w:val="110"/>
                    <w:rPr>
                      <w:rFonts w:hint="default" w:ascii="Times New Roman" w:hAnsi="Times New Roman" w:eastAsia="宋体" w:cs="Times New Roman"/>
                      <w:spacing w:val="10"/>
                    </w:rPr>
                  </w:pPr>
                  <w:r>
                    <w:rPr>
                      <w:rFonts w:hint="default" w:ascii="Times New Roman" w:hAnsi="Times New Roman" w:eastAsia="宋体" w:cs="Times New Roman"/>
                      <w:lang w:bidi="ar"/>
                    </w:rPr>
                    <w:t>0.108</w:t>
                  </w:r>
                </w:p>
              </w:tc>
              <w:tc>
                <w:tcPr>
                  <w:tcW w:w="544" w:type="pct"/>
                  <w:vAlign w:val="center"/>
                </w:tcPr>
                <w:p>
                  <w:pPr>
                    <w:pStyle w:val="110"/>
                    <w:rPr>
                      <w:rFonts w:hint="default" w:ascii="Times New Roman" w:hAnsi="Times New Roman" w:eastAsia="宋体" w:cs="Times New Roman"/>
                      <w:spacing w:val="10"/>
                    </w:rPr>
                  </w:pPr>
                  <w:r>
                    <w:rPr>
                      <w:rFonts w:hint="default" w:ascii="Times New Roman" w:hAnsi="Times New Roman" w:eastAsia="宋体" w:cs="Times New Roman"/>
                      <w:lang w:bidi="ar"/>
                    </w:rPr>
                    <w:t>5.21</w:t>
                  </w:r>
                  <w:r>
                    <w:rPr>
                      <w:rFonts w:hint="default" w:ascii="Times New Roman" w:hAnsi="Times New Roman" w:eastAsia="宋体" w:cs="Times New Roman"/>
                    </w:rPr>
                    <w:t>×10</w:t>
                  </w:r>
                  <w:r>
                    <w:rPr>
                      <w:rFonts w:hint="default" w:ascii="Times New Roman" w:hAnsi="Times New Roman" w:eastAsia="宋体" w:cs="Times New Roman"/>
                      <w:vertAlign w:val="superscript"/>
                    </w:rPr>
                    <w:t>-2</w:t>
                  </w:r>
                </w:p>
              </w:tc>
              <w:tc>
                <w:tcPr>
                  <w:tcW w:w="544" w:type="pct"/>
                  <w:vAlign w:val="center"/>
                </w:tcPr>
                <w:p>
                  <w:pPr>
                    <w:pStyle w:val="110"/>
                    <w:rPr>
                      <w:rFonts w:hint="default" w:ascii="Times New Roman" w:hAnsi="Times New Roman" w:eastAsia="宋体" w:cs="Times New Roman"/>
                      <w:spacing w:val="10"/>
                    </w:rPr>
                  </w:pPr>
                  <w:r>
                    <w:rPr>
                      <w:rFonts w:hint="default" w:ascii="Times New Roman" w:hAnsi="Times New Roman" w:eastAsia="宋体" w:cs="Times New Roman"/>
                    </w:rPr>
                    <w:t>7.96×10</w:t>
                  </w:r>
                  <w:r>
                    <w:rPr>
                      <w:rFonts w:hint="default" w:ascii="Times New Roman" w:hAnsi="Times New Roman" w:eastAsia="宋体" w:cs="Times New Roman"/>
                      <w:vertAlign w:val="superscript"/>
                    </w:rPr>
                    <w:t>-2</w:t>
                  </w:r>
                </w:p>
              </w:tc>
              <w:tc>
                <w:tcPr>
                  <w:tcW w:w="350" w:type="pct"/>
                  <w:vAlign w:val="center"/>
                </w:tcPr>
                <w:p>
                  <w:pPr>
                    <w:pStyle w:val="110"/>
                    <w:rPr>
                      <w:rFonts w:hint="default" w:ascii="Times New Roman" w:hAnsi="Times New Roman" w:eastAsia="宋体" w:cs="Times New Roman"/>
                    </w:rPr>
                  </w:pPr>
                  <w:r>
                    <w:rPr>
                      <w:rFonts w:hint="default" w:ascii="Times New Roman" w:hAnsi="Times New Roman" w:eastAsia="宋体" w:cs="Times New Roman"/>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25" w:type="pct"/>
                  <w:vMerge w:val="restart"/>
                  <w:vAlign w:val="center"/>
                </w:tcPr>
                <w:p>
                  <w:pPr>
                    <w:pStyle w:val="110"/>
                    <w:rPr>
                      <w:rFonts w:hint="default" w:ascii="Times New Roman" w:hAnsi="Times New Roman" w:eastAsia="宋体" w:cs="Times New Roman"/>
                    </w:rPr>
                  </w:pPr>
                  <w:r>
                    <w:rPr>
                      <w:rFonts w:hint="default" w:ascii="Times New Roman" w:hAnsi="Times New Roman" w:eastAsia="宋体" w:cs="Times New Roman"/>
                    </w:rPr>
                    <w:t>排气筒出口（2019.</w:t>
                  </w:r>
                </w:p>
                <w:p>
                  <w:pPr>
                    <w:pStyle w:val="110"/>
                    <w:rPr>
                      <w:rFonts w:hint="default" w:ascii="Times New Roman" w:hAnsi="Times New Roman" w:eastAsia="宋体" w:cs="Times New Roman"/>
                    </w:rPr>
                  </w:pPr>
                  <w:r>
                    <w:rPr>
                      <w:rFonts w:hint="default" w:ascii="Times New Roman" w:hAnsi="Times New Roman" w:eastAsia="宋体" w:cs="Times New Roman"/>
                    </w:rPr>
                    <w:t>7.02）</w:t>
                  </w:r>
                </w:p>
              </w:tc>
              <w:tc>
                <w:tcPr>
                  <w:tcW w:w="394" w:type="pct"/>
                  <w:vMerge w:val="restart"/>
                  <w:vAlign w:val="center"/>
                </w:tcPr>
                <w:p>
                  <w:pPr>
                    <w:pStyle w:val="110"/>
                    <w:rPr>
                      <w:rFonts w:hint="default" w:ascii="Times New Roman" w:hAnsi="Times New Roman" w:eastAsia="宋体" w:cs="Times New Roman"/>
                    </w:rPr>
                  </w:pPr>
                  <w:r>
                    <w:rPr>
                      <w:rFonts w:hint="default" w:ascii="Times New Roman" w:hAnsi="Times New Roman" w:eastAsia="宋体" w:cs="Times New Roman"/>
                    </w:rPr>
                    <w:t>非甲烷总烃</w:t>
                  </w:r>
                </w:p>
              </w:tc>
              <w:tc>
                <w:tcPr>
                  <w:tcW w:w="397" w:type="pct"/>
                  <w:vAlign w:val="center"/>
                </w:tcPr>
                <w:p>
                  <w:pPr>
                    <w:pStyle w:val="110"/>
                    <w:rPr>
                      <w:rFonts w:hint="default" w:ascii="Times New Roman" w:hAnsi="Times New Roman" w:eastAsia="宋体" w:cs="Times New Roman"/>
                    </w:rPr>
                  </w:pPr>
                  <w:r>
                    <w:rPr>
                      <w:rFonts w:hint="default" w:ascii="Times New Roman" w:hAnsi="Times New Roman" w:eastAsia="宋体" w:cs="Times New Roman"/>
                    </w:rPr>
                    <w:t>排放浓度</w:t>
                  </w:r>
                </w:p>
              </w:tc>
              <w:tc>
                <w:tcPr>
                  <w:tcW w:w="438" w:type="pct"/>
                  <w:vAlign w:val="center"/>
                </w:tcPr>
                <w:p>
                  <w:pPr>
                    <w:pStyle w:val="110"/>
                    <w:rPr>
                      <w:rFonts w:hint="default" w:ascii="Times New Roman" w:hAnsi="Times New Roman" w:eastAsia="宋体" w:cs="Times New Roman"/>
                    </w:rPr>
                  </w:pPr>
                  <w:r>
                    <w:rPr>
                      <w:rFonts w:hint="default" w:ascii="Times New Roman" w:hAnsi="Times New Roman" w:eastAsia="宋体" w:cs="Times New Roman"/>
                    </w:rPr>
                    <w:t>mg/m</w:t>
                  </w:r>
                  <w:r>
                    <w:rPr>
                      <w:rFonts w:hint="default" w:ascii="Times New Roman" w:hAnsi="Times New Roman" w:eastAsia="宋体" w:cs="Times New Roman"/>
                      <w:vertAlign w:val="superscript"/>
                    </w:rPr>
                    <w:t>3</w:t>
                  </w:r>
                </w:p>
              </w:tc>
              <w:tc>
                <w:tcPr>
                  <w:tcW w:w="600" w:type="pct"/>
                  <w:vAlign w:val="center"/>
                </w:tcPr>
                <w:p>
                  <w:pPr>
                    <w:pStyle w:val="110"/>
                    <w:rPr>
                      <w:rFonts w:hint="default" w:ascii="Times New Roman" w:hAnsi="Times New Roman" w:eastAsia="宋体" w:cs="Times New Roman"/>
                    </w:rPr>
                  </w:pPr>
                  <w:r>
                    <w:rPr>
                      <w:rFonts w:hint="default" w:ascii="Times New Roman" w:hAnsi="Times New Roman" w:eastAsia="宋体" w:cs="Times New Roman"/>
                    </w:rPr>
                    <w:t>≤50</w:t>
                  </w:r>
                </w:p>
              </w:tc>
              <w:tc>
                <w:tcPr>
                  <w:tcW w:w="544" w:type="pct"/>
                  <w:vAlign w:val="center"/>
                </w:tcPr>
                <w:p>
                  <w:pPr>
                    <w:pStyle w:val="110"/>
                    <w:rPr>
                      <w:rFonts w:hint="default" w:ascii="Times New Roman" w:hAnsi="Times New Roman" w:eastAsia="宋体" w:cs="Times New Roman"/>
                      <w:spacing w:val="10"/>
                    </w:rPr>
                  </w:pPr>
                  <w:r>
                    <w:rPr>
                      <w:rFonts w:hint="default" w:ascii="Times New Roman" w:hAnsi="Times New Roman" w:eastAsia="宋体" w:cs="Times New Roman"/>
                      <w:spacing w:val="10"/>
                    </w:rPr>
                    <w:t>6.18</w:t>
                  </w:r>
                </w:p>
              </w:tc>
              <w:tc>
                <w:tcPr>
                  <w:tcW w:w="561" w:type="pct"/>
                  <w:vAlign w:val="center"/>
                </w:tcPr>
                <w:p>
                  <w:pPr>
                    <w:pStyle w:val="110"/>
                    <w:rPr>
                      <w:rFonts w:hint="default" w:ascii="Times New Roman" w:hAnsi="Times New Roman" w:eastAsia="宋体" w:cs="Times New Roman"/>
                      <w:spacing w:val="10"/>
                    </w:rPr>
                  </w:pPr>
                  <w:r>
                    <w:rPr>
                      <w:rFonts w:hint="default" w:ascii="Times New Roman" w:hAnsi="Times New Roman" w:eastAsia="宋体" w:cs="Times New Roman"/>
                      <w:spacing w:val="10"/>
                    </w:rPr>
                    <w:t>8.12</w:t>
                  </w:r>
                </w:p>
              </w:tc>
              <w:tc>
                <w:tcPr>
                  <w:tcW w:w="544" w:type="pct"/>
                  <w:vAlign w:val="center"/>
                </w:tcPr>
                <w:p>
                  <w:pPr>
                    <w:pStyle w:val="110"/>
                    <w:rPr>
                      <w:rFonts w:hint="default" w:ascii="Times New Roman" w:hAnsi="Times New Roman" w:eastAsia="宋体" w:cs="Times New Roman"/>
                      <w:spacing w:val="10"/>
                    </w:rPr>
                  </w:pPr>
                  <w:r>
                    <w:rPr>
                      <w:rFonts w:hint="default" w:ascii="Times New Roman" w:hAnsi="Times New Roman" w:eastAsia="宋体" w:cs="Times New Roman"/>
                      <w:spacing w:val="10"/>
                    </w:rPr>
                    <w:t>6.56</w:t>
                  </w:r>
                </w:p>
              </w:tc>
              <w:tc>
                <w:tcPr>
                  <w:tcW w:w="544" w:type="pct"/>
                  <w:vAlign w:val="center"/>
                </w:tcPr>
                <w:p>
                  <w:pPr>
                    <w:pStyle w:val="110"/>
                    <w:rPr>
                      <w:rFonts w:hint="default" w:ascii="Times New Roman" w:hAnsi="Times New Roman" w:eastAsia="宋体" w:cs="Times New Roman"/>
                      <w:spacing w:val="10"/>
                    </w:rPr>
                  </w:pPr>
                  <w:r>
                    <w:rPr>
                      <w:rFonts w:hint="default" w:ascii="Times New Roman" w:hAnsi="Times New Roman" w:eastAsia="宋体" w:cs="Times New Roman"/>
                      <w:spacing w:val="10"/>
                    </w:rPr>
                    <w:t>7.55</w:t>
                  </w:r>
                </w:p>
              </w:tc>
              <w:tc>
                <w:tcPr>
                  <w:tcW w:w="350" w:type="pct"/>
                  <w:vAlign w:val="center"/>
                </w:tcPr>
                <w:p>
                  <w:pPr>
                    <w:pStyle w:val="110"/>
                    <w:rPr>
                      <w:rFonts w:hint="default" w:ascii="Times New Roman" w:hAnsi="Times New Roman" w:eastAsia="宋体" w:cs="Times New Roman"/>
                      <w:spacing w:val="10"/>
                    </w:rPr>
                  </w:pPr>
                  <w:r>
                    <w:rPr>
                      <w:rFonts w:hint="default" w:ascii="Times New Roman" w:hAnsi="Times New Roman" w:eastAsia="宋体" w:cs="Times New Roman"/>
                      <w:spacing w:val="10"/>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25" w:type="pct"/>
                  <w:vMerge w:val="continue"/>
                  <w:vAlign w:val="center"/>
                </w:tcPr>
                <w:p>
                  <w:pPr>
                    <w:pStyle w:val="110"/>
                    <w:rPr>
                      <w:rFonts w:hint="default" w:ascii="Times New Roman" w:hAnsi="Times New Roman" w:eastAsia="宋体" w:cs="Times New Roman"/>
                      <w:highlight w:val="yellow"/>
                    </w:rPr>
                  </w:pPr>
                </w:p>
              </w:tc>
              <w:tc>
                <w:tcPr>
                  <w:tcW w:w="394" w:type="pct"/>
                  <w:vMerge w:val="continue"/>
                  <w:vAlign w:val="center"/>
                </w:tcPr>
                <w:p>
                  <w:pPr>
                    <w:pStyle w:val="110"/>
                    <w:rPr>
                      <w:rFonts w:hint="default" w:ascii="Times New Roman" w:hAnsi="Times New Roman" w:eastAsia="宋体" w:cs="Times New Roman"/>
                    </w:rPr>
                  </w:pPr>
                </w:p>
              </w:tc>
              <w:tc>
                <w:tcPr>
                  <w:tcW w:w="397" w:type="pct"/>
                  <w:vAlign w:val="center"/>
                </w:tcPr>
                <w:p>
                  <w:pPr>
                    <w:pStyle w:val="110"/>
                    <w:rPr>
                      <w:rFonts w:hint="default" w:ascii="Times New Roman" w:hAnsi="Times New Roman" w:eastAsia="宋体" w:cs="Times New Roman"/>
                    </w:rPr>
                  </w:pPr>
                  <w:r>
                    <w:rPr>
                      <w:rFonts w:hint="default" w:ascii="Times New Roman" w:hAnsi="Times New Roman" w:eastAsia="宋体" w:cs="Times New Roman"/>
                    </w:rPr>
                    <w:t>排放速率</w:t>
                  </w:r>
                </w:p>
              </w:tc>
              <w:tc>
                <w:tcPr>
                  <w:tcW w:w="438" w:type="pct"/>
                  <w:vAlign w:val="center"/>
                </w:tcPr>
                <w:p>
                  <w:pPr>
                    <w:pStyle w:val="110"/>
                    <w:rPr>
                      <w:rFonts w:hint="default" w:ascii="Times New Roman" w:hAnsi="Times New Roman" w:eastAsia="宋体" w:cs="Times New Roman"/>
                    </w:rPr>
                  </w:pPr>
                  <w:r>
                    <w:rPr>
                      <w:rFonts w:hint="default" w:ascii="Times New Roman" w:hAnsi="Times New Roman" w:eastAsia="宋体" w:cs="Times New Roman"/>
                    </w:rPr>
                    <w:t>kg/h</w:t>
                  </w:r>
                </w:p>
              </w:tc>
              <w:tc>
                <w:tcPr>
                  <w:tcW w:w="600" w:type="pct"/>
                  <w:vAlign w:val="center"/>
                </w:tcPr>
                <w:p>
                  <w:pPr>
                    <w:pStyle w:val="110"/>
                    <w:rPr>
                      <w:rFonts w:hint="default" w:ascii="Times New Roman" w:hAnsi="Times New Roman" w:eastAsia="宋体" w:cs="Times New Roman"/>
                    </w:rPr>
                  </w:pPr>
                  <w:r>
                    <w:rPr>
                      <w:rFonts w:hint="default" w:ascii="Times New Roman" w:hAnsi="Times New Roman" w:eastAsia="宋体" w:cs="Times New Roman"/>
                    </w:rPr>
                    <w:t>≤10</w:t>
                  </w:r>
                </w:p>
              </w:tc>
              <w:tc>
                <w:tcPr>
                  <w:tcW w:w="544" w:type="pct"/>
                  <w:vAlign w:val="center"/>
                </w:tcPr>
                <w:p>
                  <w:pPr>
                    <w:pStyle w:val="110"/>
                    <w:rPr>
                      <w:rFonts w:hint="default" w:ascii="Times New Roman" w:hAnsi="Times New Roman" w:eastAsia="宋体" w:cs="Times New Roman"/>
                      <w:bCs/>
                    </w:rPr>
                  </w:pPr>
                  <w:r>
                    <w:rPr>
                      <w:rFonts w:hint="default" w:ascii="Times New Roman" w:hAnsi="Times New Roman" w:eastAsia="宋体" w:cs="Times New Roman"/>
                      <w:lang w:bidi="ar"/>
                    </w:rPr>
                    <w:t>4.35</w:t>
                  </w:r>
                  <w:r>
                    <w:rPr>
                      <w:rFonts w:hint="default" w:ascii="Times New Roman" w:hAnsi="Times New Roman" w:eastAsia="宋体" w:cs="Times New Roman"/>
                    </w:rPr>
                    <w:t>×10</w:t>
                  </w:r>
                  <w:r>
                    <w:rPr>
                      <w:rFonts w:hint="default" w:ascii="Times New Roman" w:hAnsi="Times New Roman" w:eastAsia="宋体" w:cs="Times New Roman"/>
                      <w:vertAlign w:val="superscript"/>
                    </w:rPr>
                    <w:t>-2</w:t>
                  </w:r>
                </w:p>
              </w:tc>
              <w:tc>
                <w:tcPr>
                  <w:tcW w:w="561" w:type="pct"/>
                  <w:vAlign w:val="center"/>
                </w:tcPr>
                <w:p>
                  <w:pPr>
                    <w:pStyle w:val="110"/>
                    <w:rPr>
                      <w:rFonts w:hint="default" w:ascii="Times New Roman" w:hAnsi="Times New Roman" w:eastAsia="宋体" w:cs="Times New Roman"/>
                      <w:bCs/>
                    </w:rPr>
                  </w:pPr>
                  <w:r>
                    <w:rPr>
                      <w:rFonts w:hint="default" w:ascii="Times New Roman" w:hAnsi="Times New Roman" w:eastAsia="宋体" w:cs="Times New Roman"/>
                      <w:lang w:bidi="ar"/>
                    </w:rPr>
                    <w:t>5.62</w:t>
                  </w:r>
                  <w:r>
                    <w:rPr>
                      <w:rFonts w:hint="default" w:ascii="Times New Roman" w:hAnsi="Times New Roman" w:eastAsia="宋体" w:cs="Times New Roman"/>
                    </w:rPr>
                    <w:t>×10</w:t>
                  </w:r>
                  <w:r>
                    <w:rPr>
                      <w:rFonts w:hint="default" w:ascii="Times New Roman" w:hAnsi="Times New Roman" w:eastAsia="宋体" w:cs="Times New Roman"/>
                      <w:vertAlign w:val="superscript"/>
                    </w:rPr>
                    <w:t>-2</w:t>
                  </w:r>
                </w:p>
              </w:tc>
              <w:tc>
                <w:tcPr>
                  <w:tcW w:w="544" w:type="pct"/>
                  <w:vAlign w:val="center"/>
                </w:tcPr>
                <w:p>
                  <w:pPr>
                    <w:pStyle w:val="110"/>
                    <w:rPr>
                      <w:rFonts w:hint="default" w:ascii="Times New Roman" w:hAnsi="Times New Roman" w:eastAsia="宋体" w:cs="Times New Roman"/>
                      <w:bCs/>
                    </w:rPr>
                  </w:pPr>
                  <w:r>
                    <w:rPr>
                      <w:rFonts w:hint="default" w:ascii="Times New Roman" w:hAnsi="Times New Roman" w:eastAsia="宋体" w:cs="Times New Roman"/>
                      <w:lang w:bidi="ar"/>
                    </w:rPr>
                    <w:t>4.65</w:t>
                  </w:r>
                  <w:r>
                    <w:rPr>
                      <w:rFonts w:hint="default" w:ascii="Times New Roman" w:hAnsi="Times New Roman" w:eastAsia="宋体" w:cs="Times New Roman"/>
                    </w:rPr>
                    <w:t>×10</w:t>
                  </w:r>
                  <w:r>
                    <w:rPr>
                      <w:rFonts w:hint="default" w:ascii="Times New Roman" w:hAnsi="Times New Roman" w:eastAsia="宋体" w:cs="Times New Roman"/>
                      <w:vertAlign w:val="superscript"/>
                    </w:rPr>
                    <w:t>-2</w:t>
                  </w:r>
                </w:p>
              </w:tc>
              <w:tc>
                <w:tcPr>
                  <w:tcW w:w="544" w:type="pct"/>
                  <w:vAlign w:val="center"/>
                </w:tcPr>
                <w:p>
                  <w:pPr>
                    <w:pStyle w:val="110"/>
                    <w:rPr>
                      <w:rFonts w:hint="default" w:ascii="Times New Roman" w:hAnsi="Times New Roman" w:eastAsia="宋体" w:cs="Times New Roman"/>
                      <w:bCs/>
                    </w:rPr>
                  </w:pPr>
                  <w:r>
                    <w:rPr>
                      <w:rFonts w:hint="default" w:ascii="Times New Roman" w:hAnsi="Times New Roman" w:eastAsia="宋体" w:cs="Times New Roman"/>
                      <w:bCs/>
                    </w:rPr>
                    <w:t>5.22</w:t>
                  </w:r>
                  <w:r>
                    <w:rPr>
                      <w:rFonts w:hint="default" w:ascii="Times New Roman" w:hAnsi="Times New Roman" w:eastAsia="宋体" w:cs="Times New Roman"/>
                    </w:rPr>
                    <w:t>×10</w:t>
                  </w:r>
                  <w:r>
                    <w:rPr>
                      <w:rFonts w:hint="default" w:ascii="Times New Roman" w:hAnsi="Times New Roman" w:eastAsia="宋体" w:cs="Times New Roman"/>
                      <w:vertAlign w:val="superscript"/>
                    </w:rPr>
                    <w:t>-2</w:t>
                  </w:r>
                </w:p>
              </w:tc>
              <w:tc>
                <w:tcPr>
                  <w:tcW w:w="350" w:type="pct"/>
                  <w:vAlign w:val="center"/>
                </w:tcPr>
                <w:p>
                  <w:pPr>
                    <w:pStyle w:val="110"/>
                    <w:rPr>
                      <w:rFonts w:hint="default" w:ascii="Times New Roman" w:hAnsi="Times New Roman" w:eastAsia="宋体" w:cs="Times New Roman"/>
                      <w:bCs/>
                    </w:rPr>
                  </w:pPr>
                  <w:r>
                    <w:rPr>
                      <w:rFonts w:hint="default" w:ascii="Times New Roman" w:hAnsi="Times New Roman" w:eastAsia="宋体" w:cs="Times New Roman"/>
                      <w:bCs/>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47" w:hRule="atLeast"/>
                <w:jc w:val="center"/>
              </w:trPr>
              <w:tc>
                <w:tcPr>
                  <w:tcW w:w="625" w:type="pct"/>
                  <w:vAlign w:val="center"/>
                </w:tcPr>
                <w:p>
                  <w:pPr>
                    <w:pStyle w:val="110"/>
                    <w:rPr>
                      <w:rFonts w:hint="default" w:ascii="Times New Roman" w:hAnsi="Times New Roman" w:eastAsia="宋体" w:cs="Times New Roman"/>
                    </w:rPr>
                  </w:pPr>
                  <w:r>
                    <w:rPr>
                      <w:rFonts w:hint="default" w:ascii="Times New Roman" w:hAnsi="Times New Roman" w:eastAsia="宋体" w:cs="Times New Roman"/>
                    </w:rPr>
                    <w:t>备注</w:t>
                  </w:r>
                </w:p>
              </w:tc>
              <w:tc>
                <w:tcPr>
                  <w:tcW w:w="4374" w:type="pct"/>
                  <w:gridSpan w:val="9"/>
                  <w:vAlign w:val="center"/>
                </w:tcPr>
                <w:p>
                  <w:pPr>
                    <w:pStyle w:val="110"/>
                    <w:jc w:val="left"/>
                    <w:rPr>
                      <w:rFonts w:hint="default" w:ascii="Times New Roman" w:hAnsi="Times New Roman" w:eastAsia="宋体" w:cs="Times New Roman"/>
                    </w:rPr>
                  </w:pPr>
                  <w:r>
                    <w:rPr>
                      <w:rFonts w:hint="default" w:ascii="Times New Roman" w:hAnsi="Times New Roman" w:eastAsia="宋体" w:cs="Times New Roman"/>
                    </w:rPr>
                    <w:t>1.废气进口不具备采样条件；</w:t>
                  </w:r>
                </w:p>
                <w:p>
                  <w:pPr>
                    <w:pStyle w:val="110"/>
                    <w:jc w:val="left"/>
                    <w:rPr>
                      <w:rFonts w:hint="default" w:ascii="Times New Roman" w:hAnsi="Times New Roman" w:eastAsia="宋体" w:cs="Times New Roman"/>
                    </w:rPr>
                  </w:pPr>
                  <w:r>
                    <w:rPr>
                      <w:rFonts w:hint="default" w:ascii="Times New Roman" w:hAnsi="Times New Roman" w:eastAsia="宋体" w:cs="Times New Roman"/>
                    </w:rPr>
                    <w:t>2.依据环评排放速率参照</w:t>
                  </w:r>
                  <w:r>
                    <w:rPr>
                      <w:rFonts w:hint="default" w:ascii="Times New Roman" w:hAnsi="Times New Roman" w:eastAsia="宋体" w:cs="Times New Roman"/>
                      <w:bCs/>
                    </w:rPr>
                    <w:t>《大气污染物综合排放标准》(GB16297-1996)表2中的二级标准；排放浓度执行《合成树脂工业污染物排放标准》（GB31572-2015）表5标准及环评标准。</w:t>
                  </w:r>
                </w:p>
              </w:tc>
            </w:tr>
          </w:tbl>
          <w:tbl>
            <w:tblPr>
              <w:tblStyle w:val="27"/>
              <w:tblW w:w="9423" w:type="dxa"/>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1155"/>
              <w:gridCol w:w="776"/>
              <w:gridCol w:w="1613"/>
              <w:gridCol w:w="980"/>
              <w:gridCol w:w="839"/>
              <w:gridCol w:w="839"/>
              <w:gridCol w:w="839"/>
              <w:gridCol w:w="888"/>
              <w:gridCol w:w="69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 w:type="pct"/>
                  <w:vMerge w:val="restart"/>
                  <w:tcBorders>
                    <w:top w:val="single" w:color="auto" w:sz="12" w:space="0"/>
                  </w:tcBorders>
                  <w:vAlign w:val="center"/>
                </w:tcPr>
                <w:p>
                  <w:pPr>
                    <w:pStyle w:val="110"/>
                    <w:spacing w:line="240" w:lineRule="auto"/>
                    <w:ind w:firstLine="0" w:firstLineChars="0"/>
                    <w:jc w:val="center"/>
                    <w:rPr>
                      <w:rFonts w:hint="default" w:ascii="Times New Roman" w:hAnsi="Times New Roman" w:eastAsia="宋体" w:cs="Times New Roman"/>
                      <w:b/>
                      <w:bCs/>
                      <w:kern w:val="0"/>
                      <w:sz w:val="21"/>
                      <w:szCs w:val="21"/>
                      <w:lang w:val="en-US" w:eastAsia="zh-CN" w:bidi="ar-SA"/>
                    </w:rPr>
                  </w:pPr>
                  <w:r>
                    <w:rPr>
                      <w:rFonts w:cs="Times New Roman"/>
                      <w:b/>
                      <w:bCs/>
                      <w:sz w:val="21"/>
                      <w:szCs w:val="21"/>
                    </w:rPr>
                    <w:t>检测项目</w:t>
                  </w:r>
                </w:p>
              </w:tc>
              <w:tc>
                <w:tcPr>
                  <w:tcW w:w="613" w:type="pct"/>
                  <w:vMerge w:val="restart"/>
                  <w:tcBorders>
                    <w:top w:val="single" w:color="auto" w:sz="12" w:space="0"/>
                  </w:tcBorders>
                  <w:vAlign w:val="center"/>
                </w:tcPr>
                <w:p>
                  <w:pPr>
                    <w:pStyle w:val="110"/>
                    <w:spacing w:line="240" w:lineRule="auto"/>
                    <w:ind w:firstLine="0" w:firstLineChars="0"/>
                    <w:jc w:val="center"/>
                    <w:rPr>
                      <w:rFonts w:hint="default" w:ascii="Times New Roman" w:hAnsi="Times New Roman" w:eastAsia="宋体" w:cs="Times New Roman"/>
                      <w:b/>
                      <w:bCs/>
                      <w:kern w:val="0"/>
                      <w:sz w:val="21"/>
                      <w:szCs w:val="21"/>
                      <w:lang w:val="en-US" w:eastAsia="zh-CN" w:bidi="ar-SA"/>
                    </w:rPr>
                  </w:pPr>
                  <w:r>
                    <w:rPr>
                      <w:rFonts w:cs="Times New Roman"/>
                      <w:b/>
                      <w:bCs/>
                      <w:sz w:val="21"/>
                      <w:szCs w:val="21"/>
                    </w:rPr>
                    <w:t>检测日期</w:t>
                  </w:r>
                </w:p>
              </w:tc>
              <w:tc>
                <w:tcPr>
                  <w:tcW w:w="412" w:type="pct"/>
                  <w:vMerge w:val="restart"/>
                  <w:tcBorders>
                    <w:top w:val="single" w:color="auto" w:sz="12" w:space="0"/>
                  </w:tcBorders>
                  <w:vAlign w:val="center"/>
                </w:tcPr>
                <w:p>
                  <w:pPr>
                    <w:pStyle w:val="110"/>
                    <w:spacing w:line="240" w:lineRule="auto"/>
                    <w:ind w:firstLine="0" w:firstLineChars="0"/>
                    <w:jc w:val="center"/>
                    <w:rPr>
                      <w:rFonts w:hint="default" w:ascii="Times New Roman" w:hAnsi="Times New Roman" w:eastAsia="宋体" w:cs="Times New Roman"/>
                      <w:b/>
                      <w:bCs/>
                      <w:kern w:val="0"/>
                      <w:sz w:val="21"/>
                      <w:szCs w:val="21"/>
                      <w:lang w:val="en-US" w:eastAsia="zh-CN" w:bidi="ar-SA"/>
                    </w:rPr>
                  </w:pPr>
                  <w:r>
                    <w:rPr>
                      <w:rFonts w:cs="Times New Roman"/>
                      <w:b/>
                      <w:bCs/>
                      <w:sz w:val="21"/>
                      <w:szCs w:val="21"/>
                    </w:rPr>
                    <w:t>采样位置</w:t>
                  </w:r>
                </w:p>
              </w:tc>
              <w:tc>
                <w:tcPr>
                  <w:tcW w:w="1376" w:type="pct"/>
                  <w:gridSpan w:val="2"/>
                  <w:tcBorders>
                    <w:top w:val="single" w:color="auto" w:sz="12" w:space="0"/>
                  </w:tcBorders>
                  <w:vAlign w:val="center"/>
                </w:tcPr>
                <w:p>
                  <w:pPr>
                    <w:pStyle w:val="110"/>
                    <w:spacing w:line="240" w:lineRule="auto"/>
                    <w:ind w:firstLine="0" w:firstLineChars="0"/>
                    <w:jc w:val="center"/>
                    <w:rPr>
                      <w:rFonts w:hint="default" w:ascii="Times New Roman" w:hAnsi="Times New Roman" w:eastAsia="宋体" w:cs="Times New Roman"/>
                      <w:b/>
                      <w:bCs/>
                      <w:kern w:val="0"/>
                      <w:sz w:val="21"/>
                      <w:szCs w:val="21"/>
                      <w:lang w:val="en-US" w:eastAsia="zh-CN" w:bidi="ar-SA"/>
                    </w:rPr>
                  </w:pPr>
                  <w:r>
                    <w:rPr>
                      <w:rFonts w:cs="Times New Roman"/>
                      <w:b/>
                      <w:bCs/>
                      <w:sz w:val="21"/>
                      <w:szCs w:val="21"/>
                    </w:rPr>
                    <w:t>无组织排放监控浓度限值</w:t>
                  </w:r>
                </w:p>
              </w:tc>
              <w:tc>
                <w:tcPr>
                  <w:tcW w:w="1806" w:type="pct"/>
                  <w:gridSpan w:val="4"/>
                  <w:tcBorders>
                    <w:top w:val="single" w:color="auto" w:sz="12" w:space="0"/>
                  </w:tcBorders>
                  <w:vAlign w:val="center"/>
                </w:tcPr>
                <w:p>
                  <w:pPr>
                    <w:spacing w:line="240" w:lineRule="auto"/>
                    <w:jc w:val="center"/>
                    <w:rPr>
                      <w:rFonts w:hint="default"/>
                      <w:sz w:val="21"/>
                      <w:szCs w:val="21"/>
                      <w:vertAlign w:val="baseline"/>
                      <w:lang w:val="en-US" w:eastAsia="zh-CN"/>
                    </w:rPr>
                  </w:pPr>
                  <w:r>
                    <w:rPr>
                      <w:rFonts w:cs="Times New Roman"/>
                      <w:b/>
                      <w:bCs/>
                      <w:sz w:val="21"/>
                      <w:szCs w:val="21"/>
                    </w:rPr>
                    <w:t>检测浓度（mg/m</w:t>
                  </w:r>
                  <w:r>
                    <w:rPr>
                      <w:rFonts w:cs="Times New Roman"/>
                      <w:b/>
                      <w:bCs/>
                      <w:sz w:val="21"/>
                      <w:szCs w:val="21"/>
                      <w:vertAlign w:val="superscript"/>
                    </w:rPr>
                    <w:t>3</w:t>
                  </w:r>
                  <w:r>
                    <w:rPr>
                      <w:rFonts w:cs="Times New Roman"/>
                      <w:b/>
                      <w:bCs/>
                      <w:sz w:val="21"/>
                      <w:szCs w:val="21"/>
                    </w:rPr>
                    <w:t>）</w:t>
                  </w:r>
                </w:p>
              </w:tc>
              <w:tc>
                <w:tcPr>
                  <w:tcW w:w="366" w:type="pct"/>
                  <w:vMerge w:val="restart"/>
                  <w:tcBorders>
                    <w:top w:val="single" w:color="auto" w:sz="12" w:space="0"/>
                    <w:bottom w:val="single" w:color="auto" w:sz="12" w:space="0"/>
                  </w:tcBorders>
                  <w:vAlign w:val="center"/>
                </w:tcPr>
                <w:p>
                  <w:pPr>
                    <w:spacing w:line="240" w:lineRule="auto"/>
                    <w:jc w:val="center"/>
                    <w:rPr>
                      <w:rFonts w:hint="default"/>
                      <w:sz w:val="21"/>
                      <w:szCs w:val="21"/>
                      <w:vertAlign w:val="baseline"/>
                      <w:lang w:val="en-US" w:eastAsia="zh-CN"/>
                    </w:rPr>
                  </w:pPr>
                  <w:r>
                    <w:rPr>
                      <w:rFonts w:cs="Times New Roman"/>
                      <w:b/>
                      <w:bCs/>
                      <w:sz w:val="21"/>
                      <w:szCs w:val="21"/>
                    </w:rPr>
                    <w:t>评价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 w:type="pct"/>
                  <w:vMerge w:val="continue"/>
                  <w:tcBorders>
                    <w:bottom w:val="single" w:color="auto" w:sz="12" w:space="0"/>
                  </w:tcBorders>
                  <w:vAlign w:val="center"/>
                </w:tcPr>
                <w:p>
                  <w:pPr>
                    <w:pStyle w:val="110"/>
                    <w:spacing w:line="240" w:lineRule="auto"/>
                    <w:ind w:firstLine="0" w:firstLineChars="0"/>
                    <w:jc w:val="center"/>
                    <w:rPr>
                      <w:rFonts w:cs="Times New Roman"/>
                      <w:b/>
                      <w:bCs/>
                      <w:sz w:val="21"/>
                      <w:szCs w:val="21"/>
                    </w:rPr>
                  </w:pPr>
                </w:p>
              </w:tc>
              <w:tc>
                <w:tcPr>
                  <w:tcW w:w="613" w:type="pct"/>
                  <w:vMerge w:val="continue"/>
                  <w:tcBorders>
                    <w:bottom w:val="single" w:color="auto" w:sz="12" w:space="0"/>
                  </w:tcBorders>
                  <w:vAlign w:val="center"/>
                </w:tcPr>
                <w:p>
                  <w:pPr>
                    <w:pStyle w:val="110"/>
                    <w:spacing w:line="240" w:lineRule="auto"/>
                    <w:ind w:firstLine="0" w:firstLineChars="0"/>
                    <w:jc w:val="center"/>
                    <w:rPr>
                      <w:rFonts w:cs="Times New Roman"/>
                      <w:b/>
                      <w:bCs/>
                      <w:sz w:val="21"/>
                      <w:szCs w:val="21"/>
                    </w:rPr>
                  </w:pPr>
                </w:p>
              </w:tc>
              <w:tc>
                <w:tcPr>
                  <w:tcW w:w="412" w:type="pct"/>
                  <w:vMerge w:val="continue"/>
                  <w:tcBorders>
                    <w:bottom w:val="single" w:color="auto" w:sz="12" w:space="0"/>
                  </w:tcBorders>
                  <w:vAlign w:val="center"/>
                </w:tcPr>
                <w:p>
                  <w:pPr>
                    <w:pStyle w:val="110"/>
                    <w:spacing w:line="240" w:lineRule="auto"/>
                    <w:ind w:firstLine="0" w:firstLineChars="0"/>
                    <w:jc w:val="center"/>
                    <w:rPr>
                      <w:rFonts w:cs="Times New Roman"/>
                      <w:b/>
                      <w:bCs/>
                      <w:sz w:val="21"/>
                      <w:szCs w:val="21"/>
                    </w:rPr>
                  </w:pPr>
                </w:p>
              </w:tc>
              <w:tc>
                <w:tcPr>
                  <w:tcW w:w="856" w:type="pct"/>
                  <w:tcBorders>
                    <w:bottom w:val="single" w:color="auto" w:sz="12" w:space="0"/>
                  </w:tcBorders>
                  <w:vAlign w:val="center"/>
                </w:tcPr>
                <w:p>
                  <w:pPr>
                    <w:pStyle w:val="110"/>
                    <w:spacing w:line="240" w:lineRule="auto"/>
                    <w:ind w:firstLine="0" w:firstLineChars="0"/>
                    <w:jc w:val="center"/>
                    <w:rPr>
                      <w:rFonts w:ascii="Times New Roman" w:hAnsi="Times New Roman" w:eastAsia="宋体" w:cs="Times New Roman"/>
                      <w:b/>
                      <w:bCs/>
                      <w:kern w:val="0"/>
                      <w:sz w:val="21"/>
                      <w:szCs w:val="21"/>
                      <w:lang w:val="en-US" w:eastAsia="zh-CN" w:bidi="ar-SA"/>
                    </w:rPr>
                  </w:pPr>
                  <w:r>
                    <w:rPr>
                      <w:rFonts w:cs="Times New Roman"/>
                      <w:b/>
                      <w:bCs/>
                      <w:sz w:val="21"/>
                      <w:szCs w:val="21"/>
                    </w:rPr>
                    <w:t>监控点</w:t>
                  </w:r>
                </w:p>
              </w:tc>
              <w:tc>
                <w:tcPr>
                  <w:tcW w:w="520" w:type="pct"/>
                  <w:tcBorders>
                    <w:bottom w:val="single" w:color="auto" w:sz="12" w:space="0"/>
                  </w:tcBorders>
                  <w:vAlign w:val="center"/>
                </w:tcPr>
                <w:p>
                  <w:pPr>
                    <w:pStyle w:val="110"/>
                    <w:spacing w:line="240" w:lineRule="auto"/>
                    <w:ind w:firstLine="0" w:firstLineChars="0"/>
                    <w:jc w:val="center"/>
                    <w:rPr>
                      <w:rFonts w:hint="default" w:ascii="Times New Roman" w:hAnsi="Times New Roman" w:eastAsia="宋体" w:cs="Times New Roman"/>
                      <w:b/>
                      <w:bCs/>
                      <w:kern w:val="0"/>
                      <w:sz w:val="21"/>
                      <w:szCs w:val="21"/>
                      <w:lang w:val="en-US" w:eastAsia="zh-CN" w:bidi="ar-SA"/>
                    </w:rPr>
                  </w:pPr>
                  <w:r>
                    <w:rPr>
                      <w:rFonts w:cs="Times New Roman"/>
                      <w:b/>
                      <w:bCs/>
                      <w:sz w:val="21"/>
                      <w:szCs w:val="21"/>
                    </w:rPr>
                    <w:t>浓度</w:t>
                  </w:r>
                </w:p>
              </w:tc>
              <w:tc>
                <w:tcPr>
                  <w:tcW w:w="445" w:type="pct"/>
                  <w:tcBorders>
                    <w:bottom w:val="single" w:color="auto" w:sz="12" w:space="0"/>
                  </w:tcBorders>
                  <w:vAlign w:val="center"/>
                </w:tcPr>
                <w:p>
                  <w:pPr>
                    <w:pStyle w:val="110"/>
                    <w:spacing w:line="240" w:lineRule="auto"/>
                    <w:ind w:firstLine="0" w:firstLineChars="0"/>
                    <w:jc w:val="center"/>
                    <w:rPr>
                      <w:rFonts w:ascii="Times New Roman" w:hAnsi="Times New Roman" w:eastAsia="宋体" w:cs="Times New Roman"/>
                      <w:b/>
                      <w:bCs/>
                      <w:kern w:val="0"/>
                      <w:sz w:val="21"/>
                      <w:szCs w:val="21"/>
                      <w:lang w:val="en-US" w:eastAsia="zh-CN" w:bidi="ar-SA"/>
                    </w:rPr>
                  </w:pPr>
                  <w:r>
                    <w:rPr>
                      <w:rFonts w:cs="Times New Roman"/>
                      <w:b/>
                      <w:bCs/>
                      <w:sz w:val="21"/>
                      <w:szCs w:val="21"/>
                    </w:rPr>
                    <w:t>1</w:t>
                  </w:r>
                </w:p>
              </w:tc>
              <w:tc>
                <w:tcPr>
                  <w:tcW w:w="445" w:type="pct"/>
                  <w:tcBorders>
                    <w:bottom w:val="single" w:color="auto" w:sz="12" w:space="0"/>
                  </w:tcBorders>
                  <w:vAlign w:val="center"/>
                </w:tcPr>
                <w:p>
                  <w:pPr>
                    <w:pStyle w:val="110"/>
                    <w:spacing w:line="240" w:lineRule="auto"/>
                    <w:ind w:firstLine="0" w:firstLineChars="0"/>
                    <w:jc w:val="center"/>
                    <w:rPr>
                      <w:rFonts w:hint="default" w:ascii="Times New Roman" w:hAnsi="Times New Roman" w:eastAsia="宋体" w:cs="Times New Roman"/>
                      <w:b/>
                      <w:bCs/>
                      <w:kern w:val="0"/>
                      <w:sz w:val="21"/>
                      <w:szCs w:val="21"/>
                      <w:lang w:val="en-US" w:eastAsia="zh-CN" w:bidi="ar-SA"/>
                    </w:rPr>
                  </w:pPr>
                  <w:r>
                    <w:rPr>
                      <w:rFonts w:cs="Times New Roman"/>
                      <w:b/>
                      <w:bCs/>
                      <w:sz w:val="21"/>
                      <w:szCs w:val="21"/>
                    </w:rPr>
                    <w:t>2</w:t>
                  </w:r>
                </w:p>
              </w:tc>
              <w:tc>
                <w:tcPr>
                  <w:tcW w:w="445" w:type="pct"/>
                  <w:tcBorders>
                    <w:bottom w:val="single" w:color="auto" w:sz="12" w:space="0"/>
                  </w:tcBorders>
                  <w:vAlign w:val="center"/>
                </w:tcPr>
                <w:p>
                  <w:pPr>
                    <w:pStyle w:val="110"/>
                    <w:spacing w:line="240" w:lineRule="auto"/>
                    <w:ind w:firstLine="0" w:firstLineChars="0"/>
                    <w:jc w:val="center"/>
                    <w:rPr>
                      <w:rFonts w:hint="default" w:ascii="Times New Roman" w:hAnsi="Times New Roman" w:eastAsia="宋体" w:cs="Times New Roman"/>
                      <w:b/>
                      <w:bCs/>
                      <w:kern w:val="0"/>
                      <w:sz w:val="21"/>
                      <w:szCs w:val="21"/>
                      <w:lang w:val="en-US" w:eastAsia="zh-CN" w:bidi="ar-SA"/>
                    </w:rPr>
                  </w:pPr>
                  <w:r>
                    <w:rPr>
                      <w:rFonts w:cs="Times New Roman"/>
                      <w:b/>
                      <w:bCs/>
                      <w:sz w:val="21"/>
                      <w:szCs w:val="21"/>
                    </w:rPr>
                    <w:t>3</w:t>
                  </w:r>
                </w:p>
              </w:tc>
              <w:tc>
                <w:tcPr>
                  <w:tcW w:w="469" w:type="pct"/>
                  <w:tcBorders>
                    <w:bottom w:val="single" w:color="auto" w:sz="12" w:space="0"/>
                  </w:tcBorders>
                  <w:vAlign w:val="center"/>
                </w:tcPr>
                <w:p>
                  <w:pPr>
                    <w:pStyle w:val="110"/>
                    <w:spacing w:line="240" w:lineRule="auto"/>
                    <w:ind w:firstLine="0" w:firstLineChars="0"/>
                    <w:jc w:val="center"/>
                    <w:rPr>
                      <w:rFonts w:hint="default" w:ascii="Times New Roman" w:hAnsi="Times New Roman" w:eastAsia="宋体" w:cs="Times New Roman"/>
                      <w:b/>
                      <w:bCs/>
                      <w:kern w:val="0"/>
                      <w:sz w:val="21"/>
                      <w:szCs w:val="21"/>
                      <w:lang w:val="en-US" w:eastAsia="zh-CN" w:bidi="ar-SA"/>
                    </w:rPr>
                  </w:pPr>
                  <w:r>
                    <w:rPr>
                      <w:rFonts w:cs="Times New Roman"/>
                      <w:b/>
                      <w:bCs/>
                      <w:sz w:val="21"/>
                      <w:szCs w:val="21"/>
                    </w:rPr>
                    <w:t>最大值</w:t>
                  </w:r>
                </w:p>
              </w:tc>
              <w:tc>
                <w:tcPr>
                  <w:tcW w:w="366" w:type="pct"/>
                  <w:vMerge w:val="continue"/>
                  <w:tcBorders>
                    <w:top w:val="single" w:color="auto" w:sz="12" w:space="0"/>
                    <w:bottom w:val="single" w:color="auto" w:sz="12" w:space="0"/>
                  </w:tcBorders>
                  <w:vAlign w:val="center"/>
                </w:tcPr>
                <w:p>
                  <w:pPr>
                    <w:spacing w:line="240" w:lineRule="auto"/>
                    <w:jc w:val="center"/>
                    <w:rPr>
                      <w:rFonts w:cs="Times New Roman"/>
                      <w:b/>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 w:type="pct"/>
                  <w:vMerge w:val="restart"/>
                  <w:tcBorders>
                    <w:top w:val="single" w:color="auto" w:sz="12" w:space="0"/>
                  </w:tcBorders>
                  <w:vAlign w:val="center"/>
                </w:tcPr>
                <w:p>
                  <w:pPr>
                    <w:pStyle w:val="110"/>
                    <w:spacing w:line="240" w:lineRule="auto"/>
                    <w:ind w:firstLine="0" w:firstLineChars="0"/>
                    <w:jc w:val="center"/>
                    <w:rPr>
                      <w:rFonts w:hint="eastAsia" w:eastAsia="宋体" w:cs="Times New Roman"/>
                      <w:b/>
                      <w:bCs/>
                      <w:sz w:val="21"/>
                      <w:szCs w:val="21"/>
                      <w:lang w:val="en-US" w:eastAsia="zh-CN"/>
                    </w:rPr>
                  </w:pPr>
                  <w:r>
                    <w:rPr>
                      <w:rFonts w:hint="eastAsia" w:cs="Times New Roman"/>
                      <w:b/>
                      <w:bCs/>
                      <w:sz w:val="21"/>
                      <w:szCs w:val="21"/>
                      <w:lang w:val="en-US" w:eastAsia="zh-CN"/>
                    </w:rPr>
                    <w:t>非甲烷总烃</w:t>
                  </w:r>
                </w:p>
              </w:tc>
              <w:tc>
                <w:tcPr>
                  <w:tcW w:w="613" w:type="pct"/>
                  <w:vMerge w:val="restart"/>
                  <w:tcBorders>
                    <w:top w:val="single" w:color="auto" w:sz="12" w:space="0"/>
                  </w:tcBorders>
                  <w:vAlign w:val="center"/>
                </w:tcPr>
                <w:p>
                  <w:pPr>
                    <w:pStyle w:val="110"/>
                    <w:spacing w:line="240" w:lineRule="auto"/>
                    <w:ind w:firstLine="0" w:firstLineChars="0"/>
                    <w:jc w:val="center"/>
                    <w:rPr>
                      <w:rFonts w:cs="Times New Roman"/>
                      <w:b/>
                      <w:bCs/>
                      <w:sz w:val="21"/>
                      <w:szCs w:val="21"/>
                    </w:rPr>
                  </w:pPr>
                  <w:r>
                    <w:rPr>
                      <w:rFonts w:cs="Times New Roman"/>
                      <w:sz w:val="21"/>
                      <w:szCs w:val="21"/>
                    </w:rPr>
                    <w:t>2019.7.01</w:t>
                  </w:r>
                </w:p>
              </w:tc>
              <w:tc>
                <w:tcPr>
                  <w:tcW w:w="412" w:type="pct"/>
                  <w:tcBorders>
                    <w:top w:val="single" w:color="auto" w:sz="12" w:space="0"/>
                  </w:tcBorders>
                  <w:vAlign w:val="center"/>
                </w:tcPr>
                <w:p>
                  <w:pPr>
                    <w:pStyle w:val="110"/>
                    <w:spacing w:line="240" w:lineRule="auto"/>
                    <w:ind w:firstLine="0" w:firstLineChars="0"/>
                    <w:jc w:val="center"/>
                    <w:rPr>
                      <w:rFonts w:ascii="Times New Roman" w:hAnsi="Times New Roman" w:eastAsia="宋体" w:cs="Times New Roman"/>
                      <w:kern w:val="0"/>
                      <w:sz w:val="21"/>
                      <w:szCs w:val="21"/>
                      <w:lang w:val="en-US" w:eastAsia="zh-CN" w:bidi="ar-SA"/>
                    </w:rPr>
                  </w:pPr>
                  <w:r>
                    <w:rPr>
                      <w:rFonts w:cs="Times New Roman"/>
                      <w:sz w:val="21"/>
                      <w:szCs w:val="21"/>
                    </w:rPr>
                    <w:t>1#</w:t>
                  </w:r>
                </w:p>
              </w:tc>
              <w:tc>
                <w:tcPr>
                  <w:tcW w:w="856" w:type="pct"/>
                  <w:tcBorders>
                    <w:top w:val="single" w:color="auto" w:sz="12" w:space="0"/>
                  </w:tcBorders>
                  <w:vAlign w:val="center"/>
                </w:tcPr>
                <w:p>
                  <w:pPr>
                    <w:pStyle w:val="110"/>
                    <w:spacing w:line="240" w:lineRule="auto"/>
                    <w:ind w:firstLine="0" w:firstLineChars="0"/>
                    <w:jc w:val="center"/>
                    <w:rPr>
                      <w:rFonts w:ascii="Times New Roman" w:hAnsi="Times New Roman" w:eastAsia="宋体" w:cs="Times New Roman"/>
                      <w:kern w:val="0"/>
                      <w:sz w:val="21"/>
                      <w:szCs w:val="21"/>
                      <w:lang w:val="en-US" w:eastAsia="zh-CN" w:bidi="ar-SA"/>
                    </w:rPr>
                  </w:pPr>
                  <w:r>
                    <w:rPr>
                      <w:rFonts w:cs="Times New Roman"/>
                      <w:sz w:val="21"/>
                      <w:szCs w:val="21"/>
                    </w:rPr>
                    <w:t>/</w:t>
                  </w:r>
                </w:p>
              </w:tc>
              <w:tc>
                <w:tcPr>
                  <w:tcW w:w="520" w:type="pct"/>
                  <w:tcBorders>
                    <w:top w:val="single" w:color="auto" w:sz="12" w:space="0"/>
                  </w:tcBorders>
                  <w:vAlign w:val="center"/>
                </w:tcPr>
                <w:p>
                  <w:pPr>
                    <w:pStyle w:val="110"/>
                    <w:spacing w:line="240" w:lineRule="auto"/>
                    <w:ind w:firstLine="0" w:firstLineChars="0"/>
                    <w:jc w:val="center"/>
                    <w:rPr>
                      <w:rFonts w:ascii="Times New Roman" w:hAnsi="Times New Roman" w:eastAsia="宋体" w:cs="Times New Roman"/>
                      <w:kern w:val="0"/>
                      <w:sz w:val="21"/>
                      <w:szCs w:val="21"/>
                      <w:lang w:val="en-US" w:eastAsia="zh-CN" w:bidi="ar-SA"/>
                    </w:rPr>
                  </w:pPr>
                  <w:r>
                    <w:rPr>
                      <w:rFonts w:cs="Times New Roman"/>
                      <w:sz w:val="21"/>
                      <w:szCs w:val="21"/>
                    </w:rPr>
                    <w:t>/</w:t>
                  </w:r>
                </w:p>
              </w:tc>
              <w:tc>
                <w:tcPr>
                  <w:tcW w:w="445" w:type="pct"/>
                  <w:tcBorders>
                    <w:top w:val="single" w:color="auto" w:sz="12" w:space="0"/>
                  </w:tcBorders>
                  <w:vAlign w:val="center"/>
                </w:tcPr>
                <w:p>
                  <w:pPr>
                    <w:pStyle w:val="110"/>
                    <w:spacing w:line="240" w:lineRule="auto"/>
                    <w:ind w:firstLine="0" w:firstLineChars="0"/>
                    <w:jc w:val="center"/>
                    <w:rPr>
                      <w:rFonts w:ascii="Times New Roman" w:hAnsi="Times New Roman" w:eastAsia="宋体" w:cs="Times New Roman"/>
                      <w:kern w:val="2"/>
                      <w:sz w:val="21"/>
                      <w:szCs w:val="21"/>
                      <w:lang w:val="en-US" w:eastAsia="zh-CN" w:bidi="ar-SA"/>
                    </w:rPr>
                  </w:pPr>
                  <w:r>
                    <w:rPr>
                      <w:rFonts w:cs="Times New Roman"/>
                      <w:sz w:val="21"/>
                      <w:szCs w:val="21"/>
                    </w:rPr>
                    <w:t>2.07</w:t>
                  </w:r>
                </w:p>
              </w:tc>
              <w:tc>
                <w:tcPr>
                  <w:tcW w:w="445" w:type="pct"/>
                  <w:tcBorders>
                    <w:top w:val="single" w:color="auto" w:sz="12" w:space="0"/>
                  </w:tcBorders>
                  <w:vAlign w:val="center"/>
                </w:tcPr>
                <w:p>
                  <w:pPr>
                    <w:pStyle w:val="110"/>
                    <w:spacing w:line="240" w:lineRule="auto"/>
                    <w:ind w:firstLine="0" w:firstLineChars="0"/>
                    <w:jc w:val="center"/>
                    <w:rPr>
                      <w:rFonts w:ascii="Times New Roman" w:hAnsi="Times New Roman" w:eastAsia="宋体" w:cs="Times New Roman"/>
                      <w:kern w:val="0"/>
                      <w:sz w:val="21"/>
                      <w:szCs w:val="21"/>
                      <w:lang w:val="en-US" w:eastAsia="zh-CN" w:bidi="ar-SA"/>
                    </w:rPr>
                  </w:pPr>
                  <w:r>
                    <w:rPr>
                      <w:rFonts w:cs="Times New Roman"/>
                      <w:sz w:val="21"/>
                      <w:szCs w:val="21"/>
                    </w:rPr>
                    <w:t>2.48</w:t>
                  </w:r>
                </w:p>
              </w:tc>
              <w:tc>
                <w:tcPr>
                  <w:tcW w:w="445" w:type="pct"/>
                  <w:tcBorders>
                    <w:top w:val="single" w:color="auto" w:sz="12" w:space="0"/>
                  </w:tcBorders>
                  <w:vAlign w:val="center"/>
                </w:tcPr>
                <w:p>
                  <w:pPr>
                    <w:pStyle w:val="110"/>
                    <w:spacing w:line="240" w:lineRule="auto"/>
                    <w:ind w:firstLine="0" w:firstLineChars="0"/>
                    <w:jc w:val="center"/>
                    <w:rPr>
                      <w:rFonts w:ascii="Times New Roman" w:hAnsi="Times New Roman" w:eastAsia="宋体" w:cs="Times New Roman"/>
                      <w:kern w:val="0"/>
                      <w:sz w:val="21"/>
                      <w:szCs w:val="21"/>
                      <w:lang w:val="en-US" w:eastAsia="zh-CN" w:bidi="ar-SA"/>
                    </w:rPr>
                  </w:pPr>
                  <w:r>
                    <w:rPr>
                      <w:rFonts w:cs="Times New Roman"/>
                      <w:sz w:val="21"/>
                      <w:szCs w:val="21"/>
                    </w:rPr>
                    <w:t>0.29</w:t>
                  </w:r>
                </w:p>
              </w:tc>
              <w:tc>
                <w:tcPr>
                  <w:tcW w:w="469" w:type="pct"/>
                  <w:vMerge w:val="restart"/>
                  <w:tcBorders>
                    <w:top w:val="single" w:color="auto" w:sz="12" w:space="0"/>
                  </w:tcBorders>
                  <w:vAlign w:val="center"/>
                </w:tcPr>
                <w:p>
                  <w:pPr>
                    <w:pStyle w:val="110"/>
                    <w:spacing w:line="240" w:lineRule="auto"/>
                    <w:ind w:firstLine="0" w:firstLineChars="0"/>
                    <w:jc w:val="center"/>
                    <w:rPr>
                      <w:rFonts w:cs="Times New Roman"/>
                      <w:b/>
                      <w:bCs/>
                      <w:sz w:val="21"/>
                      <w:szCs w:val="21"/>
                    </w:rPr>
                  </w:pPr>
                  <w:r>
                    <w:rPr>
                      <w:rFonts w:cs="Times New Roman"/>
                      <w:sz w:val="21"/>
                      <w:szCs w:val="21"/>
                    </w:rPr>
                    <w:t>3.13</w:t>
                  </w:r>
                </w:p>
              </w:tc>
              <w:tc>
                <w:tcPr>
                  <w:tcW w:w="366" w:type="pct"/>
                  <w:vMerge w:val="restart"/>
                  <w:tcBorders>
                    <w:top w:val="single" w:color="auto" w:sz="12" w:space="0"/>
                  </w:tcBorders>
                  <w:vAlign w:val="center"/>
                </w:tcPr>
                <w:p>
                  <w:pPr>
                    <w:pStyle w:val="110"/>
                    <w:spacing w:line="240" w:lineRule="auto"/>
                    <w:ind w:firstLine="0" w:firstLineChars="0"/>
                    <w:jc w:val="center"/>
                    <w:rPr>
                      <w:rFonts w:cs="Times New Roman"/>
                      <w:b/>
                      <w:bCs/>
                      <w:sz w:val="21"/>
                      <w:szCs w:val="21"/>
                    </w:rPr>
                  </w:pPr>
                  <w:r>
                    <w:rPr>
                      <w:rFonts w:cs="Times New Roman"/>
                      <w:sz w:val="21"/>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 w:type="pct"/>
                  <w:vMerge w:val="continue"/>
                  <w:vAlign w:val="center"/>
                </w:tcPr>
                <w:p>
                  <w:pPr>
                    <w:pStyle w:val="110"/>
                    <w:spacing w:line="240" w:lineRule="auto"/>
                    <w:ind w:firstLine="0" w:firstLineChars="0"/>
                    <w:jc w:val="center"/>
                    <w:rPr>
                      <w:rFonts w:cs="Times New Roman"/>
                      <w:b/>
                      <w:bCs/>
                      <w:sz w:val="21"/>
                      <w:szCs w:val="21"/>
                    </w:rPr>
                  </w:pPr>
                </w:p>
              </w:tc>
              <w:tc>
                <w:tcPr>
                  <w:tcW w:w="613" w:type="pct"/>
                  <w:vMerge w:val="continue"/>
                  <w:vAlign w:val="center"/>
                </w:tcPr>
                <w:p>
                  <w:pPr>
                    <w:pStyle w:val="110"/>
                    <w:spacing w:line="240" w:lineRule="auto"/>
                    <w:ind w:firstLine="0" w:firstLineChars="0"/>
                    <w:jc w:val="center"/>
                    <w:rPr>
                      <w:rFonts w:cs="Times New Roman"/>
                      <w:b/>
                      <w:bCs/>
                      <w:sz w:val="21"/>
                      <w:szCs w:val="21"/>
                    </w:rPr>
                  </w:pPr>
                </w:p>
              </w:tc>
              <w:tc>
                <w:tcPr>
                  <w:tcW w:w="412" w:type="pct"/>
                  <w:vAlign w:val="center"/>
                </w:tcPr>
                <w:p>
                  <w:pPr>
                    <w:pStyle w:val="110"/>
                    <w:spacing w:line="240" w:lineRule="auto"/>
                    <w:ind w:firstLine="0" w:firstLineChars="0"/>
                    <w:jc w:val="center"/>
                    <w:rPr>
                      <w:rFonts w:ascii="Times New Roman" w:hAnsi="Times New Roman" w:eastAsia="宋体" w:cs="Times New Roman"/>
                      <w:kern w:val="0"/>
                      <w:sz w:val="21"/>
                      <w:szCs w:val="21"/>
                      <w:lang w:val="en-US" w:eastAsia="zh-CN" w:bidi="ar-SA"/>
                    </w:rPr>
                  </w:pPr>
                  <w:r>
                    <w:rPr>
                      <w:rFonts w:cs="Times New Roman"/>
                      <w:sz w:val="21"/>
                      <w:szCs w:val="21"/>
                    </w:rPr>
                    <w:t>2#</w:t>
                  </w:r>
                </w:p>
              </w:tc>
              <w:tc>
                <w:tcPr>
                  <w:tcW w:w="856" w:type="pct"/>
                  <w:vMerge w:val="restart"/>
                  <w:vAlign w:val="center"/>
                </w:tcPr>
                <w:p>
                  <w:pPr>
                    <w:pStyle w:val="110"/>
                    <w:spacing w:line="240" w:lineRule="auto"/>
                    <w:ind w:firstLine="0" w:firstLineChars="0"/>
                    <w:jc w:val="center"/>
                    <w:rPr>
                      <w:rFonts w:ascii="Times New Roman" w:hAnsi="Times New Roman" w:eastAsia="宋体" w:cs="Times New Roman"/>
                      <w:kern w:val="0"/>
                      <w:sz w:val="21"/>
                      <w:szCs w:val="21"/>
                      <w:lang w:val="en-US" w:eastAsia="zh-CN" w:bidi="ar-SA"/>
                    </w:rPr>
                  </w:pPr>
                  <w:r>
                    <w:rPr>
                      <w:rFonts w:cs="Times New Roman"/>
                      <w:sz w:val="21"/>
                      <w:szCs w:val="21"/>
                    </w:rPr>
                    <w:t>周界外浓度最高点</w:t>
                  </w:r>
                </w:p>
              </w:tc>
              <w:tc>
                <w:tcPr>
                  <w:tcW w:w="520" w:type="pct"/>
                  <w:vMerge w:val="restart"/>
                  <w:vAlign w:val="center"/>
                </w:tcPr>
                <w:p>
                  <w:pPr>
                    <w:pStyle w:val="110"/>
                    <w:spacing w:line="240" w:lineRule="auto"/>
                    <w:ind w:firstLine="0" w:firstLineChars="0"/>
                    <w:jc w:val="center"/>
                    <w:rPr>
                      <w:rFonts w:ascii="Times New Roman" w:hAnsi="Times New Roman" w:eastAsia="宋体" w:cs="Times New Roman"/>
                      <w:kern w:val="0"/>
                      <w:sz w:val="21"/>
                      <w:szCs w:val="21"/>
                      <w:lang w:val="en-US" w:eastAsia="zh-CN" w:bidi="ar-SA"/>
                    </w:rPr>
                  </w:pPr>
                  <w:r>
                    <w:rPr>
                      <w:rFonts w:cs="Times New Roman"/>
                      <w:sz w:val="21"/>
                      <w:szCs w:val="21"/>
                    </w:rPr>
                    <w:t>4.0</w:t>
                  </w:r>
                </w:p>
              </w:tc>
              <w:tc>
                <w:tcPr>
                  <w:tcW w:w="445" w:type="pct"/>
                  <w:vAlign w:val="center"/>
                </w:tcPr>
                <w:p>
                  <w:pPr>
                    <w:pStyle w:val="110"/>
                    <w:spacing w:line="240" w:lineRule="auto"/>
                    <w:ind w:firstLine="0" w:firstLineChars="0"/>
                    <w:jc w:val="center"/>
                    <w:rPr>
                      <w:rFonts w:ascii="Times New Roman" w:hAnsi="Times New Roman" w:eastAsia="宋体" w:cs="Times New Roman"/>
                      <w:kern w:val="0"/>
                      <w:sz w:val="21"/>
                      <w:szCs w:val="21"/>
                      <w:lang w:val="en-US" w:eastAsia="zh-CN" w:bidi="ar-SA"/>
                    </w:rPr>
                  </w:pPr>
                  <w:r>
                    <w:rPr>
                      <w:rFonts w:cs="Times New Roman"/>
                      <w:sz w:val="21"/>
                      <w:szCs w:val="21"/>
                    </w:rPr>
                    <w:t>1.08</w:t>
                  </w:r>
                </w:p>
              </w:tc>
              <w:tc>
                <w:tcPr>
                  <w:tcW w:w="445" w:type="pct"/>
                  <w:vAlign w:val="center"/>
                </w:tcPr>
                <w:p>
                  <w:pPr>
                    <w:pStyle w:val="110"/>
                    <w:spacing w:line="240" w:lineRule="auto"/>
                    <w:ind w:firstLine="0" w:firstLineChars="0"/>
                    <w:jc w:val="center"/>
                    <w:rPr>
                      <w:rFonts w:ascii="Times New Roman" w:hAnsi="Times New Roman" w:eastAsia="宋体" w:cs="Times New Roman"/>
                      <w:kern w:val="0"/>
                      <w:sz w:val="21"/>
                      <w:szCs w:val="21"/>
                      <w:lang w:val="en-US" w:eastAsia="zh-CN" w:bidi="ar-SA"/>
                    </w:rPr>
                  </w:pPr>
                  <w:r>
                    <w:rPr>
                      <w:rFonts w:cs="Times New Roman"/>
                      <w:sz w:val="21"/>
                      <w:szCs w:val="21"/>
                    </w:rPr>
                    <w:t>2.31</w:t>
                  </w:r>
                </w:p>
              </w:tc>
              <w:tc>
                <w:tcPr>
                  <w:tcW w:w="445" w:type="pct"/>
                  <w:vAlign w:val="center"/>
                </w:tcPr>
                <w:p>
                  <w:pPr>
                    <w:pStyle w:val="110"/>
                    <w:spacing w:line="240" w:lineRule="auto"/>
                    <w:ind w:firstLine="0" w:firstLineChars="0"/>
                    <w:jc w:val="center"/>
                    <w:rPr>
                      <w:rFonts w:ascii="Times New Roman" w:hAnsi="Times New Roman" w:eastAsia="宋体" w:cs="Times New Roman"/>
                      <w:kern w:val="0"/>
                      <w:sz w:val="21"/>
                      <w:szCs w:val="21"/>
                      <w:lang w:val="en-US" w:eastAsia="zh-CN" w:bidi="ar-SA"/>
                    </w:rPr>
                  </w:pPr>
                  <w:r>
                    <w:rPr>
                      <w:rFonts w:cs="Times New Roman"/>
                      <w:sz w:val="21"/>
                      <w:szCs w:val="21"/>
                    </w:rPr>
                    <w:t>2.90</w:t>
                  </w:r>
                </w:p>
              </w:tc>
              <w:tc>
                <w:tcPr>
                  <w:tcW w:w="469" w:type="pct"/>
                  <w:vMerge w:val="continue"/>
                  <w:vAlign w:val="center"/>
                </w:tcPr>
                <w:p>
                  <w:pPr>
                    <w:pStyle w:val="110"/>
                    <w:spacing w:line="240" w:lineRule="auto"/>
                    <w:ind w:firstLine="0" w:firstLineChars="0"/>
                    <w:jc w:val="center"/>
                    <w:rPr>
                      <w:rFonts w:cs="Times New Roman"/>
                      <w:b/>
                      <w:bCs/>
                      <w:sz w:val="21"/>
                      <w:szCs w:val="21"/>
                    </w:rPr>
                  </w:pPr>
                </w:p>
              </w:tc>
              <w:tc>
                <w:tcPr>
                  <w:tcW w:w="366" w:type="pct"/>
                  <w:vMerge w:val="continue"/>
                  <w:vAlign w:val="center"/>
                </w:tcPr>
                <w:p>
                  <w:pPr>
                    <w:spacing w:line="240" w:lineRule="auto"/>
                    <w:jc w:val="center"/>
                    <w:rPr>
                      <w:rFonts w:cs="Times New Roman"/>
                      <w:b/>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2" w:type="pct"/>
                  <w:vMerge w:val="continue"/>
                  <w:vAlign w:val="center"/>
                </w:tcPr>
                <w:p>
                  <w:pPr>
                    <w:pStyle w:val="110"/>
                    <w:spacing w:line="240" w:lineRule="auto"/>
                    <w:ind w:firstLine="0" w:firstLineChars="0"/>
                    <w:jc w:val="center"/>
                    <w:rPr>
                      <w:rFonts w:cs="Times New Roman"/>
                      <w:b/>
                      <w:bCs/>
                      <w:sz w:val="21"/>
                      <w:szCs w:val="21"/>
                    </w:rPr>
                  </w:pPr>
                </w:p>
              </w:tc>
              <w:tc>
                <w:tcPr>
                  <w:tcW w:w="613" w:type="pct"/>
                  <w:vMerge w:val="continue"/>
                  <w:vAlign w:val="center"/>
                </w:tcPr>
                <w:p>
                  <w:pPr>
                    <w:pStyle w:val="110"/>
                    <w:spacing w:line="240" w:lineRule="auto"/>
                    <w:ind w:firstLine="0" w:firstLineChars="0"/>
                    <w:jc w:val="center"/>
                    <w:rPr>
                      <w:rFonts w:cs="Times New Roman"/>
                      <w:b/>
                      <w:bCs/>
                      <w:sz w:val="21"/>
                      <w:szCs w:val="21"/>
                    </w:rPr>
                  </w:pPr>
                </w:p>
              </w:tc>
              <w:tc>
                <w:tcPr>
                  <w:tcW w:w="412" w:type="pct"/>
                  <w:vAlign w:val="center"/>
                </w:tcPr>
                <w:p>
                  <w:pPr>
                    <w:pStyle w:val="110"/>
                    <w:spacing w:line="240" w:lineRule="auto"/>
                    <w:ind w:firstLine="0" w:firstLineChars="0"/>
                    <w:jc w:val="center"/>
                    <w:rPr>
                      <w:rFonts w:ascii="Times New Roman" w:hAnsi="Times New Roman" w:eastAsia="宋体" w:cs="Times New Roman"/>
                      <w:kern w:val="0"/>
                      <w:sz w:val="21"/>
                      <w:szCs w:val="21"/>
                      <w:lang w:val="en-US" w:eastAsia="zh-CN" w:bidi="ar-SA"/>
                    </w:rPr>
                  </w:pPr>
                  <w:r>
                    <w:rPr>
                      <w:rFonts w:cs="Times New Roman"/>
                      <w:sz w:val="21"/>
                      <w:szCs w:val="21"/>
                    </w:rPr>
                    <w:t>3#</w:t>
                  </w:r>
                </w:p>
              </w:tc>
              <w:tc>
                <w:tcPr>
                  <w:tcW w:w="856" w:type="pct"/>
                  <w:vMerge w:val="continue"/>
                  <w:vAlign w:val="center"/>
                </w:tcPr>
                <w:p>
                  <w:pPr>
                    <w:pStyle w:val="110"/>
                    <w:spacing w:line="240" w:lineRule="auto"/>
                    <w:ind w:firstLine="0" w:firstLineChars="0"/>
                    <w:jc w:val="center"/>
                    <w:rPr>
                      <w:rFonts w:cs="Times New Roman"/>
                      <w:b/>
                      <w:bCs/>
                      <w:sz w:val="21"/>
                      <w:szCs w:val="21"/>
                    </w:rPr>
                  </w:pPr>
                </w:p>
              </w:tc>
              <w:tc>
                <w:tcPr>
                  <w:tcW w:w="520" w:type="pct"/>
                  <w:vMerge w:val="continue"/>
                  <w:vAlign w:val="center"/>
                </w:tcPr>
                <w:p>
                  <w:pPr>
                    <w:pStyle w:val="110"/>
                    <w:spacing w:line="240" w:lineRule="auto"/>
                    <w:ind w:firstLine="0" w:firstLineChars="0"/>
                    <w:jc w:val="center"/>
                    <w:rPr>
                      <w:rFonts w:cs="Times New Roman"/>
                      <w:b/>
                      <w:bCs/>
                      <w:sz w:val="21"/>
                      <w:szCs w:val="21"/>
                    </w:rPr>
                  </w:pPr>
                </w:p>
              </w:tc>
              <w:tc>
                <w:tcPr>
                  <w:tcW w:w="445" w:type="pct"/>
                  <w:vAlign w:val="center"/>
                </w:tcPr>
                <w:p>
                  <w:pPr>
                    <w:pStyle w:val="110"/>
                    <w:spacing w:line="240" w:lineRule="auto"/>
                    <w:ind w:firstLine="0" w:firstLineChars="0"/>
                    <w:jc w:val="center"/>
                    <w:rPr>
                      <w:rFonts w:ascii="Times New Roman" w:hAnsi="Times New Roman" w:eastAsia="宋体" w:cs="Times New Roman"/>
                      <w:kern w:val="0"/>
                      <w:sz w:val="21"/>
                      <w:szCs w:val="21"/>
                      <w:lang w:val="en-US" w:eastAsia="zh-CN" w:bidi="ar-SA"/>
                    </w:rPr>
                  </w:pPr>
                  <w:r>
                    <w:rPr>
                      <w:rFonts w:cs="Times New Roman"/>
                      <w:sz w:val="21"/>
                      <w:szCs w:val="21"/>
                    </w:rPr>
                    <w:t>0.48</w:t>
                  </w:r>
                </w:p>
              </w:tc>
              <w:tc>
                <w:tcPr>
                  <w:tcW w:w="445" w:type="pct"/>
                  <w:vAlign w:val="center"/>
                </w:tcPr>
                <w:p>
                  <w:pPr>
                    <w:pStyle w:val="110"/>
                    <w:spacing w:line="240" w:lineRule="auto"/>
                    <w:ind w:firstLine="0" w:firstLineChars="0"/>
                    <w:jc w:val="center"/>
                    <w:rPr>
                      <w:rFonts w:ascii="Times New Roman" w:hAnsi="Times New Roman" w:eastAsia="宋体" w:cs="Times New Roman"/>
                      <w:kern w:val="0"/>
                      <w:sz w:val="21"/>
                      <w:szCs w:val="21"/>
                      <w:lang w:val="en-US" w:eastAsia="zh-CN" w:bidi="ar-SA"/>
                    </w:rPr>
                  </w:pPr>
                  <w:r>
                    <w:rPr>
                      <w:rFonts w:cs="Times New Roman"/>
                      <w:sz w:val="21"/>
                      <w:szCs w:val="21"/>
                    </w:rPr>
                    <w:t>1.58</w:t>
                  </w:r>
                </w:p>
              </w:tc>
              <w:tc>
                <w:tcPr>
                  <w:tcW w:w="445" w:type="pct"/>
                  <w:vAlign w:val="center"/>
                </w:tcPr>
                <w:p>
                  <w:pPr>
                    <w:pStyle w:val="110"/>
                    <w:spacing w:line="240" w:lineRule="auto"/>
                    <w:ind w:firstLine="0" w:firstLineChars="0"/>
                    <w:jc w:val="center"/>
                    <w:rPr>
                      <w:rFonts w:ascii="Times New Roman" w:hAnsi="Times New Roman" w:eastAsia="宋体" w:cs="Times New Roman"/>
                      <w:kern w:val="0"/>
                      <w:sz w:val="21"/>
                      <w:szCs w:val="21"/>
                      <w:lang w:val="en-US" w:eastAsia="zh-CN" w:bidi="ar-SA"/>
                    </w:rPr>
                  </w:pPr>
                  <w:r>
                    <w:rPr>
                      <w:rFonts w:cs="Times New Roman"/>
                      <w:sz w:val="21"/>
                      <w:szCs w:val="21"/>
                    </w:rPr>
                    <w:t>0.99</w:t>
                  </w:r>
                </w:p>
              </w:tc>
              <w:tc>
                <w:tcPr>
                  <w:tcW w:w="469" w:type="pct"/>
                  <w:vMerge w:val="continue"/>
                  <w:vAlign w:val="center"/>
                </w:tcPr>
                <w:p>
                  <w:pPr>
                    <w:pStyle w:val="110"/>
                    <w:spacing w:line="240" w:lineRule="auto"/>
                    <w:ind w:firstLine="0" w:firstLineChars="0"/>
                    <w:jc w:val="center"/>
                    <w:rPr>
                      <w:rFonts w:cs="Times New Roman"/>
                      <w:b/>
                      <w:bCs/>
                      <w:sz w:val="21"/>
                      <w:szCs w:val="21"/>
                    </w:rPr>
                  </w:pPr>
                </w:p>
              </w:tc>
              <w:tc>
                <w:tcPr>
                  <w:tcW w:w="366" w:type="pct"/>
                  <w:vMerge w:val="continue"/>
                  <w:vAlign w:val="center"/>
                </w:tcPr>
                <w:p>
                  <w:pPr>
                    <w:spacing w:line="240" w:lineRule="auto"/>
                    <w:jc w:val="center"/>
                    <w:rPr>
                      <w:rFonts w:cs="Times New Roman"/>
                      <w:b/>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2" w:type="pct"/>
                  <w:vMerge w:val="continue"/>
                  <w:vAlign w:val="center"/>
                </w:tcPr>
                <w:p>
                  <w:pPr>
                    <w:pStyle w:val="110"/>
                    <w:spacing w:line="240" w:lineRule="auto"/>
                    <w:ind w:firstLine="0" w:firstLineChars="0"/>
                    <w:jc w:val="center"/>
                    <w:rPr>
                      <w:rFonts w:cs="Times New Roman"/>
                      <w:b/>
                      <w:bCs/>
                      <w:sz w:val="21"/>
                      <w:szCs w:val="21"/>
                    </w:rPr>
                  </w:pPr>
                </w:p>
              </w:tc>
              <w:tc>
                <w:tcPr>
                  <w:tcW w:w="613" w:type="pct"/>
                  <w:vMerge w:val="continue"/>
                  <w:vAlign w:val="center"/>
                </w:tcPr>
                <w:p>
                  <w:pPr>
                    <w:pStyle w:val="110"/>
                    <w:spacing w:line="240" w:lineRule="auto"/>
                    <w:ind w:firstLine="0" w:firstLineChars="0"/>
                    <w:jc w:val="center"/>
                    <w:rPr>
                      <w:rFonts w:cs="Times New Roman"/>
                      <w:b/>
                      <w:bCs/>
                      <w:sz w:val="21"/>
                      <w:szCs w:val="21"/>
                    </w:rPr>
                  </w:pPr>
                </w:p>
              </w:tc>
              <w:tc>
                <w:tcPr>
                  <w:tcW w:w="412" w:type="pct"/>
                  <w:vAlign w:val="center"/>
                </w:tcPr>
                <w:p>
                  <w:pPr>
                    <w:pStyle w:val="110"/>
                    <w:spacing w:line="240" w:lineRule="auto"/>
                    <w:ind w:firstLine="0" w:firstLineChars="0"/>
                    <w:jc w:val="center"/>
                    <w:rPr>
                      <w:rFonts w:ascii="Times New Roman" w:hAnsi="Times New Roman" w:eastAsia="宋体" w:cs="Times New Roman"/>
                      <w:kern w:val="0"/>
                      <w:sz w:val="21"/>
                      <w:szCs w:val="21"/>
                      <w:lang w:val="en-US" w:eastAsia="zh-CN" w:bidi="ar-SA"/>
                    </w:rPr>
                  </w:pPr>
                  <w:r>
                    <w:rPr>
                      <w:rFonts w:cs="Times New Roman"/>
                      <w:sz w:val="21"/>
                      <w:szCs w:val="21"/>
                    </w:rPr>
                    <w:t>4#</w:t>
                  </w:r>
                </w:p>
              </w:tc>
              <w:tc>
                <w:tcPr>
                  <w:tcW w:w="856" w:type="pct"/>
                  <w:vMerge w:val="continue"/>
                  <w:vAlign w:val="center"/>
                </w:tcPr>
                <w:p>
                  <w:pPr>
                    <w:pStyle w:val="110"/>
                    <w:spacing w:line="240" w:lineRule="auto"/>
                    <w:ind w:firstLine="0" w:firstLineChars="0"/>
                    <w:jc w:val="center"/>
                    <w:rPr>
                      <w:rFonts w:cs="Times New Roman"/>
                      <w:b/>
                      <w:bCs/>
                      <w:sz w:val="21"/>
                      <w:szCs w:val="21"/>
                    </w:rPr>
                  </w:pPr>
                </w:p>
              </w:tc>
              <w:tc>
                <w:tcPr>
                  <w:tcW w:w="520" w:type="pct"/>
                  <w:vMerge w:val="continue"/>
                  <w:vAlign w:val="center"/>
                </w:tcPr>
                <w:p>
                  <w:pPr>
                    <w:pStyle w:val="110"/>
                    <w:spacing w:line="240" w:lineRule="auto"/>
                    <w:ind w:firstLine="0" w:firstLineChars="0"/>
                    <w:jc w:val="center"/>
                    <w:rPr>
                      <w:rFonts w:cs="Times New Roman"/>
                      <w:b/>
                      <w:bCs/>
                      <w:sz w:val="21"/>
                      <w:szCs w:val="21"/>
                    </w:rPr>
                  </w:pPr>
                </w:p>
              </w:tc>
              <w:tc>
                <w:tcPr>
                  <w:tcW w:w="445" w:type="pct"/>
                  <w:vAlign w:val="center"/>
                </w:tcPr>
                <w:p>
                  <w:pPr>
                    <w:pStyle w:val="110"/>
                    <w:spacing w:line="240" w:lineRule="auto"/>
                    <w:ind w:firstLine="0" w:firstLineChars="0"/>
                    <w:jc w:val="center"/>
                    <w:rPr>
                      <w:rFonts w:ascii="Times New Roman" w:hAnsi="Times New Roman" w:eastAsia="宋体" w:cs="Times New Roman"/>
                      <w:kern w:val="0"/>
                      <w:sz w:val="21"/>
                      <w:szCs w:val="21"/>
                      <w:lang w:val="en-US" w:eastAsia="zh-CN" w:bidi="ar-SA"/>
                    </w:rPr>
                  </w:pPr>
                  <w:r>
                    <w:rPr>
                      <w:rFonts w:cs="Times New Roman"/>
                      <w:sz w:val="21"/>
                      <w:szCs w:val="21"/>
                    </w:rPr>
                    <w:t>0.39</w:t>
                  </w:r>
                </w:p>
              </w:tc>
              <w:tc>
                <w:tcPr>
                  <w:tcW w:w="445" w:type="pct"/>
                  <w:vAlign w:val="center"/>
                </w:tcPr>
                <w:p>
                  <w:pPr>
                    <w:pStyle w:val="110"/>
                    <w:spacing w:line="240" w:lineRule="auto"/>
                    <w:ind w:firstLine="0" w:firstLineChars="0"/>
                    <w:jc w:val="center"/>
                    <w:rPr>
                      <w:rFonts w:ascii="Times New Roman" w:hAnsi="Times New Roman" w:eastAsia="宋体" w:cs="Times New Roman"/>
                      <w:kern w:val="0"/>
                      <w:sz w:val="21"/>
                      <w:szCs w:val="21"/>
                      <w:lang w:val="en-US" w:eastAsia="zh-CN" w:bidi="ar-SA"/>
                    </w:rPr>
                  </w:pPr>
                  <w:r>
                    <w:rPr>
                      <w:rFonts w:cs="Times New Roman"/>
                      <w:sz w:val="21"/>
                      <w:szCs w:val="21"/>
                    </w:rPr>
                    <w:t>0.22</w:t>
                  </w:r>
                </w:p>
              </w:tc>
              <w:tc>
                <w:tcPr>
                  <w:tcW w:w="445" w:type="pct"/>
                  <w:vAlign w:val="center"/>
                </w:tcPr>
                <w:p>
                  <w:pPr>
                    <w:pStyle w:val="110"/>
                    <w:spacing w:line="240" w:lineRule="auto"/>
                    <w:ind w:firstLine="0" w:firstLineChars="0"/>
                    <w:jc w:val="center"/>
                    <w:rPr>
                      <w:rFonts w:ascii="Times New Roman" w:hAnsi="Times New Roman" w:eastAsia="宋体" w:cs="Times New Roman"/>
                      <w:kern w:val="0"/>
                      <w:sz w:val="21"/>
                      <w:szCs w:val="21"/>
                      <w:lang w:val="en-US" w:eastAsia="zh-CN" w:bidi="ar-SA"/>
                    </w:rPr>
                  </w:pPr>
                  <w:r>
                    <w:rPr>
                      <w:rFonts w:cs="Times New Roman"/>
                      <w:sz w:val="21"/>
                      <w:szCs w:val="21"/>
                    </w:rPr>
                    <w:t>3.13</w:t>
                  </w:r>
                </w:p>
              </w:tc>
              <w:tc>
                <w:tcPr>
                  <w:tcW w:w="469" w:type="pct"/>
                  <w:vMerge w:val="continue"/>
                  <w:vAlign w:val="center"/>
                </w:tcPr>
                <w:p>
                  <w:pPr>
                    <w:pStyle w:val="110"/>
                    <w:spacing w:line="240" w:lineRule="auto"/>
                    <w:ind w:firstLine="0" w:firstLineChars="0"/>
                    <w:jc w:val="center"/>
                    <w:rPr>
                      <w:rFonts w:cs="Times New Roman"/>
                      <w:b/>
                      <w:bCs/>
                      <w:sz w:val="21"/>
                      <w:szCs w:val="21"/>
                    </w:rPr>
                  </w:pPr>
                </w:p>
              </w:tc>
              <w:tc>
                <w:tcPr>
                  <w:tcW w:w="366" w:type="pct"/>
                  <w:vMerge w:val="continue"/>
                  <w:vAlign w:val="center"/>
                </w:tcPr>
                <w:p>
                  <w:pPr>
                    <w:spacing w:line="240" w:lineRule="auto"/>
                    <w:jc w:val="center"/>
                    <w:rPr>
                      <w:rFonts w:cs="Times New Roman"/>
                      <w:b/>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 w:type="pct"/>
                  <w:vMerge w:val="continue"/>
                  <w:vAlign w:val="center"/>
                </w:tcPr>
                <w:p>
                  <w:pPr>
                    <w:pStyle w:val="110"/>
                    <w:spacing w:line="240" w:lineRule="auto"/>
                    <w:ind w:firstLine="0" w:firstLineChars="0"/>
                    <w:jc w:val="center"/>
                    <w:rPr>
                      <w:rFonts w:cs="Times New Roman"/>
                      <w:b/>
                      <w:bCs/>
                      <w:sz w:val="21"/>
                      <w:szCs w:val="21"/>
                    </w:rPr>
                  </w:pPr>
                </w:p>
              </w:tc>
              <w:tc>
                <w:tcPr>
                  <w:tcW w:w="613" w:type="pct"/>
                  <w:vMerge w:val="restart"/>
                  <w:vAlign w:val="center"/>
                </w:tcPr>
                <w:p>
                  <w:pPr>
                    <w:pStyle w:val="110"/>
                    <w:spacing w:line="240" w:lineRule="auto"/>
                    <w:ind w:firstLine="0" w:firstLineChars="0"/>
                    <w:jc w:val="center"/>
                    <w:rPr>
                      <w:rFonts w:cs="Times New Roman"/>
                      <w:b/>
                      <w:bCs/>
                      <w:sz w:val="21"/>
                      <w:szCs w:val="21"/>
                    </w:rPr>
                  </w:pPr>
                  <w:r>
                    <w:rPr>
                      <w:rFonts w:cs="Times New Roman"/>
                      <w:sz w:val="21"/>
                      <w:szCs w:val="21"/>
                    </w:rPr>
                    <w:t>2019.7.02</w:t>
                  </w:r>
                </w:p>
              </w:tc>
              <w:tc>
                <w:tcPr>
                  <w:tcW w:w="412" w:type="pct"/>
                  <w:vAlign w:val="center"/>
                </w:tcPr>
                <w:p>
                  <w:pPr>
                    <w:pStyle w:val="110"/>
                    <w:spacing w:line="240" w:lineRule="auto"/>
                    <w:ind w:firstLine="0" w:firstLineChars="0"/>
                    <w:jc w:val="center"/>
                    <w:rPr>
                      <w:rFonts w:ascii="Times New Roman" w:hAnsi="Times New Roman" w:eastAsia="宋体" w:cs="Times New Roman"/>
                      <w:kern w:val="0"/>
                      <w:sz w:val="21"/>
                      <w:szCs w:val="21"/>
                      <w:lang w:val="en-US" w:eastAsia="zh-CN" w:bidi="ar-SA"/>
                    </w:rPr>
                  </w:pPr>
                  <w:r>
                    <w:rPr>
                      <w:rFonts w:cs="Times New Roman"/>
                      <w:sz w:val="21"/>
                      <w:szCs w:val="21"/>
                    </w:rPr>
                    <w:t>1#</w:t>
                  </w:r>
                </w:p>
              </w:tc>
              <w:tc>
                <w:tcPr>
                  <w:tcW w:w="856" w:type="pct"/>
                  <w:vAlign w:val="center"/>
                </w:tcPr>
                <w:p>
                  <w:pPr>
                    <w:pStyle w:val="110"/>
                    <w:spacing w:line="240" w:lineRule="auto"/>
                    <w:ind w:firstLine="0" w:firstLineChars="0"/>
                    <w:jc w:val="center"/>
                    <w:rPr>
                      <w:rFonts w:ascii="Times New Roman" w:hAnsi="Times New Roman" w:eastAsia="宋体" w:cs="Times New Roman"/>
                      <w:kern w:val="0"/>
                      <w:sz w:val="21"/>
                      <w:szCs w:val="21"/>
                      <w:lang w:val="en-US" w:eastAsia="zh-CN" w:bidi="ar-SA"/>
                    </w:rPr>
                  </w:pPr>
                  <w:r>
                    <w:rPr>
                      <w:rFonts w:cs="Times New Roman"/>
                      <w:sz w:val="21"/>
                      <w:szCs w:val="21"/>
                    </w:rPr>
                    <w:t>/</w:t>
                  </w:r>
                </w:p>
              </w:tc>
              <w:tc>
                <w:tcPr>
                  <w:tcW w:w="520" w:type="pct"/>
                  <w:vAlign w:val="center"/>
                </w:tcPr>
                <w:p>
                  <w:pPr>
                    <w:pStyle w:val="110"/>
                    <w:spacing w:line="240" w:lineRule="auto"/>
                    <w:ind w:firstLine="0" w:firstLineChars="0"/>
                    <w:jc w:val="center"/>
                    <w:rPr>
                      <w:rFonts w:ascii="Times New Roman" w:hAnsi="Times New Roman" w:eastAsia="宋体" w:cs="Times New Roman"/>
                      <w:kern w:val="0"/>
                      <w:sz w:val="21"/>
                      <w:szCs w:val="21"/>
                      <w:lang w:val="en-US" w:eastAsia="zh-CN" w:bidi="ar-SA"/>
                    </w:rPr>
                  </w:pPr>
                  <w:r>
                    <w:rPr>
                      <w:rFonts w:cs="Times New Roman"/>
                      <w:sz w:val="21"/>
                      <w:szCs w:val="21"/>
                    </w:rPr>
                    <w:t>/</w:t>
                  </w:r>
                </w:p>
              </w:tc>
              <w:tc>
                <w:tcPr>
                  <w:tcW w:w="445" w:type="pct"/>
                  <w:vAlign w:val="center"/>
                </w:tcPr>
                <w:p>
                  <w:pPr>
                    <w:pStyle w:val="110"/>
                    <w:spacing w:line="240" w:lineRule="auto"/>
                    <w:ind w:firstLine="0" w:firstLineChars="0"/>
                    <w:jc w:val="center"/>
                    <w:rPr>
                      <w:rFonts w:ascii="Times New Roman" w:hAnsi="Times New Roman" w:eastAsia="宋体" w:cs="Times New Roman"/>
                      <w:kern w:val="0"/>
                      <w:sz w:val="21"/>
                      <w:szCs w:val="21"/>
                      <w:lang w:val="en-US" w:eastAsia="zh-CN" w:bidi="ar-SA"/>
                    </w:rPr>
                  </w:pPr>
                  <w:r>
                    <w:rPr>
                      <w:rFonts w:cs="Times New Roman"/>
                      <w:sz w:val="21"/>
                      <w:szCs w:val="21"/>
                    </w:rPr>
                    <w:t>0.96</w:t>
                  </w:r>
                </w:p>
              </w:tc>
              <w:tc>
                <w:tcPr>
                  <w:tcW w:w="445" w:type="pct"/>
                  <w:vAlign w:val="center"/>
                </w:tcPr>
                <w:p>
                  <w:pPr>
                    <w:pStyle w:val="110"/>
                    <w:spacing w:line="240" w:lineRule="auto"/>
                    <w:ind w:firstLine="0" w:firstLineChars="0"/>
                    <w:jc w:val="center"/>
                    <w:rPr>
                      <w:rFonts w:ascii="Times New Roman" w:hAnsi="Times New Roman" w:eastAsia="宋体" w:cs="Times New Roman"/>
                      <w:kern w:val="0"/>
                      <w:sz w:val="21"/>
                      <w:szCs w:val="21"/>
                      <w:lang w:val="en-US" w:eastAsia="zh-CN" w:bidi="ar-SA"/>
                    </w:rPr>
                  </w:pPr>
                  <w:r>
                    <w:rPr>
                      <w:rFonts w:cs="Times New Roman"/>
                      <w:sz w:val="21"/>
                      <w:szCs w:val="21"/>
                    </w:rPr>
                    <w:t>1.84</w:t>
                  </w:r>
                </w:p>
              </w:tc>
              <w:tc>
                <w:tcPr>
                  <w:tcW w:w="445" w:type="pct"/>
                  <w:vAlign w:val="center"/>
                </w:tcPr>
                <w:p>
                  <w:pPr>
                    <w:pStyle w:val="110"/>
                    <w:spacing w:line="240" w:lineRule="auto"/>
                    <w:ind w:firstLine="0" w:firstLineChars="0"/>
                    <w:jc w:val="center"/>
                    <w:rPr>
                      <w:rFonts w:ascii="Times New Roman" w:hAnsi="Times New Roman" w:eastAsia="宋体" w:cs="Times New Roman"/>
                      <w:kern w:val="0"/>
                      <w:sz w:val="21"/>
                      <w:szCs w:val="21"/>
                      <w:lang w:val="en-US" w:eastAsia="zh-CN" w:bidi="ar-SA"/>
                    </w:rPr>
                  </w:pPr>
                  <w:r>
                    <w:rPr>
                      <w:rFonts w:cs="Times New Roman"/>
                      <w:sz w:val="21"/>
                      <w:szCs w:val="21"/>
                    </w:rPr>
                    <w:t>3.54</w:t>
                  </w:r>
                </w:p>
              </w:tc>
              <w:tc>
                <w:tcPr>
                  <w:tcW w:w="469" w:type="pct"/>
                  <w:vMerge w:val="restart"/>
                  <w:vAlign w:val="center"/>
                </w:tcPr>
                <w:p>
                  <w:pPr>
                    <w:pStyle w:val="110"/>
                    <w:spacing w:line="240" w:lineRule="auto"/>
                    <w:ind w:firstLine="0" w:firstLineChars="0"/>
                    <w:jc w:val="center"/>
                    <w:rPr>
                      <w:rFonts w:ascii="Times New Roman" w:hAnsi="Times New Roman" w:eastAsia="宋体" w:cs="Times New Roman"/>
                      <w:kern w:val="0"/>
                      <w:sz w:val="21"/>
                      <w:szCs w:val="21"/>
                      <w:lang w:val="en-US" w:eastAsia="zh-CN" w:bidi="ar-SA"/>
                    </w:rPr>
                  </w:pPr>
                  <w:r>
                    <w:rPr>
                      <w:rFonts w:cs="Times New Roman"/>
                      <w:sz w:val="21"/>
                      <w:szCs w:val="21"/>
                    </w:rPr>
                    <w:t>2.81</w:t>
                  </w:r>
                </w:p>
              </w:tc>
              <w:tc>
                <w:tcPr>
                  <w:tcW w:w="366" w:type="pct"/>
                  <w:vMerge w:val="restart"/>
                  <w:vAlign w:val="center"/>
                </w:tcPr>
                <w:p>
                  <w:pPr>
                    <w:pStyle w:val="110"/>
                    <w:spacing w:line="240" w:lineRule="auto"/>
                    <w:ind w:firstLine="0" w:firstLineChars="0"/>
                    <w:jc w:val="center"/>
                    <w:rPr>
                      <w:rFonts w:ascii="Times New Roman" w:hAnsi="Times New Roman" w:eastAsia="宋体" w:cs="Times New Roman"/>
                      <w:kern w:val="0"/>
                      <w:sz w:val="21"/>
                      <w:szCs w:val="21"/>
                      <w:lang w:val="en-US" w:eastAsia="zh-CN" w:bidi="ar-SA"/>
                    </w:rPr>
                  </w:pPr>
                  <w:r>
                    <w:rPr>
                      <w:rFonts w:cs="Times New Roman"/>
                      <w:sz w:val="21"/>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 w:type="pct"/>
                  <w:vMerge w:val="continue"/>
                  <w:vAlign w:val="center"/>
                </w:tcPr>
                <w:p>
                  <w:pPr>
                    <w:pStyle w:val="110"/>
                    <w:spacing w:line="240" w:lineRule="auto"/>
                    <w:ind w:firstLine="0" w:firstLineChars="0"/>
                    <w:jc w:val="center"/>
                    <w:rPr>
                      <w:rFonts w:cs="Times New Roman"/>
                      <w:b/>
                      <w:bCs/>
                      <w:sz w:val="21"/>
                      <w:szCs w:val="21"/>
                    </w:rPr>
                  </w:pPr>
                </w:p>
              </w:tc>
              <w:tc>
                <w:tcPr>
                  <w:tcW w:w="613" w:type="pct"/>
                  <w:vMerge w:val="continue"/>
                  <w:vAlign w:val="center"/>
                </w:tcPr>
                <w:p>
                  <w:pPr>
                    <w:pStyle w:val="110"/>
                    <w:spacing w:line="240" w:lineRule="auto"/>
                    <w:ind w:firstLine="0" w:firstLineChars="0"/>
                    <w:jc w:val="center"/>
                    <w:rPr>
                      <w:rFonts w:cs="Times New Roman"/>
                      <w:b/>
                      <w:bCs/>
                      <w:sz w:val="21"/>
                      <w:szCs w:val="21"/>
                    </w:rPr>
                  </w:pPr>
                </w:p>
              </w:tc>
              <w:tc>
                <w:tcPr>
                  <w:tcW w:w="412" w:type="pct"/>
                  <w:vAlign w:val="center"/>
                </w:tcPr>
                <w:p>
                  <w:pPr>
                    <w:pStyle w:val="110"/>
                    <w:spacing w:line="240" w:lineRule="auto"/>
                    <w:ind w:firstLine="0" w:firstLineChars="0"/>
                    <w:jc w:val="center"/>
                    <w:rPr>
                      <w:rFonts w:ascii="Times New Roman" w:hAnsi="Times New Roman" w:eastAsia="宋体" w:cs="Times New Roman"/>
                      <w:kern w:val="0"/>
                      <w:sz w:val="21"/>
                      <w:szCs w:val="21"/>
                      <w:lang w:val="en-US" w:eastAsia="zh-CN" w:bidi="ar-SA"/>
                    </w:rPr>
                  </w:pPr>
                  <w:r>
                    <w:rPr>
                      <w:rFonts w:cs="Times New Roman"/>
                      <w:sz w:val="21"/>
                      <w:szCs w:val="21"/>
                    </w:rPr>
                    <w:t>2#</w:t>
                  </w:r>
                </w:p>
              </w:tc>
              <w:tc>
                <w:tcPr>
                  <w:tcW w:w="856" w:type="pct"/>
                  <w:vMerge w:val="restart"/>
                  <w:vAlign w:val="center"/>
                </w:tcPr>
                <w:p>
                  <w:pPr>
                    <w:pStyle w:val="110"/>
                    <w:spacing w:line="240" w:lineRule="auto"/>
                    <w:ind w:firstLine="0" w:firstLineChars="0"/>
                    <w:jc w:val="center"/>
                    <w:rPr>
                      <w:rFonts w:ascii="Times New Roman" w:hAnsi="Times New Roman" w:eastAsia="宋体" w:cs="Times New Roman"/>
                      <w:kern w:val="0"/>
                      <w:sz w:val="21"/>
                      <w:szCs w:val="21"/>
                      <w:lang w:val="en-US" w:eastAsia="zh-CN" w:bidi="ar-SA"/>
                    </w:rPr>
                  </w:pPr>
                  <w:r>
                    <w:rPr>
                      <w:rFonts w:cs="Times New Roman"/>
                      <w:sz w:val="21"/>
                      <w:szCs w:val="21"/>
                    </w:rPr>
                    <w:t>周界外浓度最高点</w:t>
                  </w:r>
                </w:p>
              </w:tc>
              <w:tc>
                <w:tcPr>
                  <w:tcW w:w="520" w:type="pct"/>
                  <w:vMerge w:val="restart"/>
                  <w:vAlign w:val="center"/>
                </w:tcPr>
                <w:p>
                  <w:pPr>
                    <w:pStyle w:val="110"/>
                    <w:spacing w:line="240" w:lineRule="auto"/>
                    <w:ind w:firstLine="0" w:firstLineChars="0"/>
                    <w:jc w:val="center"/>
                    <w:rPr>
                      <w:rFonts w:ascii="Times New Roman" w:hAnsi="Times New Roman" w:eastAsia="宋体" w:cs="Times New Roman"/>
                      <w:kern w:val="0"/>
                      <w:sz w:val="21"/>
                      <w:szCs w:val="21"/>
                      <w:lang w:val="en-US" w:eastAsia="zh-CN" w:bidi="ar-SA"/>
                    </w:rPr>
                  </w:pPr>
                  <w:r>
                    <w:rPr>
                      <w:rFonts w:cs="Times New Roman"/>
                      <w:sz w:val="21"/>
                      <w:szCs w:val="21"/>
                    </w:rPr>
                    <w:t>4.0</w:t>
                  </w:r>
                </w:p>
              </w:tc>
              <w:tc>
                <w:tcPr>
                  <w:tcW w:w="445" w:type="pct"/>
                  <w:vAlign w:val="center"/>
                </w:tcPr>
                <w:p>
                  <w:pPr>
                    <w:pStyle w:val="110"/>
                    <w:spacing w:line="240" w:lineRule="auto"/>
                    <w:ind w:firstLine="0" w:firstLineChars="0"/>
                    <w:jc w:val="center"/>
                    <w:rPr>
                      <w:rFonts w:ascii="Times New Roman" w:hAnsi="Times New Roman" w:eastAsia="宋体" w:cs="Times New Roman"/>
                      <w:kern w:val="0"/>
                      <w:sz w:val="21"/>
                      <w:szCs w:val="21"/>
                      <w:lang w:val="en-US" w:eastAsia="zh-CN" w:bidi="ar-SA"/>
                    </w:rPr>
                  </w:pPr>
                  <w:r>
                    <w:rPr>
                      <w:rFonts w:cs="Times New Roman"/>
                      <w:sz w:val="21"/>
                      <w:szCs w:val="21"/>
                    </w:rPr>
                    <w:t>0.64</w:t>
                  </w:r>
                </w:p>
              </w:tc>
              <w:tc>
                <w:tcPr>
                  <w:tcW w:w="445" w:type="pct"/>
                  <w:vAlign w:val="center"/>
                </w:tcPr>
                <w:p>
                  <w:pPr>
                    <w:pStyle w:val="110"/>
                    <w:spacing w:line="240" w:lineRule="auto"/>
                    <w:ind w:firstLine="0" w:firstLineChars="0"/>
                    <w:jc w:val="center"/>
                    <w:rPr>
                      <w:rFonts w:ascii="Times New Roman" w:hAnsi="Times New Roman" w:eastAsia="宋体" w:cs="Times New Roman"/>
                      <w:kern w:val="0"/>
                      <w:sz w:val="21"/>
                      <w:szCs w:val="21"/>
                      <w:lang w:val="en-US" w:eastAsia="zh-CN" w:bidi="ar-SA"/>
                    </w:rPr>
                  </w:pPr>
                  <w:r>
                    <w:rPr>
                      <w:rFonts w:cs="Times New Roman"/>
                      <w:sz w:val="21"/>
                      <w:szCs w:val="21"/>
                    </w:rPr>
                    <w:t>1.37</w:t>
                  </w:r>
                </w:p>
              </w:tc>
              <w:tc>
                <w:tcPr>
                  <w:tcW w:w="445" w:type="pct"/>
                  <w:vAlign w:val="center"/>
                </w:tcPr>
                <w:p>
                  <w:pPr>
                    <w:pStyle w:val="110"/>
                    <w:spacing w:line="240" w:lineRule="auto"/>
                    <w:ind w:firstLine="0" w:firstLineChars="0"/>
                    <w:jc w:val="center"/>
                    <w:rPr>
                      <w:rFonts w:ascii="Times New Roman" w:hAnsi="Times New Roman" w:eastAsia="宋体" w:cs="Times New Roman"/>
                      <w:kern w:val="0"/>
                      <w:sz w:val="21"/>
                      <w:szCs w:val="21"/>
                      <w:lang w:val="en-US" w:eastAsia="zh-CN" w:bidi="ar-SA"/>
                    </w:rPr>
                  </w:pPr>
                  <w:r>
                    <w:rPr>
                      <w:rFonts w:cs="Times New Roman"/>
                      <w:sz w:val="21"/>
                      <w:szCs w:val="21"/>
                    </w:rPr>
                    <w:t>1.37</w:t>
                  </w:r>
                </w:p>
              </w:tc>
              <w:tc>
                <w:tcPr>
                  <w:tcW w:w="469" w:type="pct"/>
                  <w:vMerge w:val="continue"/>
                  <w:vAlign w:val="center"/>
                </w:tcPr>
                <w:p>
                  <w:pPr>
                    <w:pStyle w:val="110"/>
                    <w:spacing w:line="240" w:lineRule="auto"/>
                    <w:ind w:firstLine="0" w:firstLineChars="0"/>
                    <w:jc w:val="center"/>
                    <w:rPr>
                      <w:rFonts w:cs="Times New Roman"/>
                      <w:b/>
                      <w:bCs/>
                      <w:sz w:val="21"/>
                      <w:szCs w:val="21"/>
                    </w:rPr>
                  </w:pPr>
                </w:p>
              </w:tc>
              <w:tc>
                <w:tcPr>
                  <w:tcW w:w="366" w:type="pct"/>
                  <w:vMerge w:val="continue"/>
                  <w:vAlign w:val="center"/>
                </w:tcPr>
                <w:p>
                  <w:pPr>
                    <w:spacing w:line="240" w:lineRule="auto"/>
                    <w:jc w:val="center"/>
                    <w:rPr>
                      <w:rFonts w:cs="Times New Roman"/>
                      <w:b/>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 w:type="pct"/>
                  <w:vMerge w:val="continue"/>
                  <w:vAlign w:val="center"/>
                </w:tcPr>
                <w:p>
                  <w:pPr>
                    <w:pStyle w:val="110"/>
                    <w:spacing w:line="240" w:lineRule="auto"/>
                    <w:ind w:firstLine="0" w:firstLineChars="0"/>
                    <w:jc w:val="center"/>
                    <w:rPr>
                      <w:rFonts w:cs="Times New Roman"/>
                      <w:b/>
                      <w:bCs/>
                      <w:sz w:val="21"/>
                      <w:szCs w:val="21"/>
                    </w:rPr>
                  </w:pPr>
                </w:p>
              </w:tc>
              <w:tc>
                <w:tcPr>
                  <w:tcW w:w="613" w:type="pct"/>
                  <w:vMerge w:val="continue"/>
                  <w:vAlign w:val="center"/>
                </w:tcPr>
                <w:p>
                  <w:pPr>
                    <w:pStyle w:val="110"/>
                    <w:spacing w:line="240" w:lineRule="auto"/>
                    <w:ind w:firstLine="0" w:firstLineChars="0"/>
                    <w:jc w:val="center"/>
                    <w:rPr>
                      <w:rFonts w:cs="Times New Roman"/>
                      <w:b/>
                      <w:bCs/>
                      <w:sz w:val="21"/>
                      <w:szCs w:val="21"/>
                    </w:rPr>
                  </w:pPr>
                </w:p>
              </w:tc>
              <w:tc>
                <w:tcPr>
                  <w:tcW w:w="412" w:type="pct"/>
                  <w:vAlign w:val="center"/>
                </w:tcPr>
                <w:p>
                  <w:pPr>
                    <w:pStyle w:val="110"/>
                    <w:spacing w:line="240" w:lineRule="auto"/>
                    <w:ind w:firstLine="0" w:firstLineChars="0"/>
                    <w:jc w:val="center"/>
                    <w:rPr>
                      <w:rFonts w:ascii="Times New Roman" w:hAnsi="Times New Roman" w:eastAsia="宋体" w:cs="Times New Roman"/>
                      <w:kern w:val="0"/>
                      <w:sz w:val="21"/>
                      <w:szCs w:val="21"/>
                      <w:lang w:val="en-US" w:eastAsia="zh-CN" w:bidi="ar-SA"/>
                    </w:rPr>
                  </w:pPr>
                  <w:r>
                    <w:rPr>
                      <w:rFonts w:cs="Times New Roman"/>
                      <w:sz w:val="21"/>
                      <w:szCs w:val="21"/>
                    </w:rPr>
                    <w:t>3#</w:t>
                  </w:r>
                </w:p>
              </w:tc>
              <w:tc>
                <w:tcPr>
                  <w:tcW w:w="856" w:type="pct"/>
                  <w:vMerge w:val="continue"/>
                  <w:vAlign w:val="center"/>
                </w:tcPr>
                <w:p>
                  <w:pPr>
                    <w:pStyle w:val="110"/>
                    <w:spacing w:line="240" w:lineRule="auto"/>
                    <w:ind w:firstLine="0" w:firstLineChars="0"/>
                    <w:jc w:val="center"/>
                    <w:rPr>
                      <w:rFonts w:cs="Times New Roman"/>
                      <w:b/>
                      <w:bCs/>
                      <w:sz w:val="21"/>
                      <w:szCs w:val="21"/>
                    </w:rPr>
                  </w:pPr>
                </w:p>
              </w:tc>
              <w:tc>
                <w:tcPr>
                  <w:tcW w:w="520" w:type="pct"/>
                  <w:vMerge w:val="continue"/>
                  <w:vAlign w:val="center"/>
                </w:tcPr>
                <w:p>
                  <w:pPr>
                    <w:pStyle w:val="110"/>
                    <w:spacing w:line="240" w:lineRule="auto"/>
                    <w:ind w:firstLine="0" w:firstLineChars="0"/>
                    <w:jc w:val="center"/>
                    <w:rPr>
                      <w:rFonts w:cs="Times New Roman"/>
                      <w:b/>
                      <w:bCs/>
                      <w:sz w:val="21"/>
                      <w:szCs w:val="21"/>
                    </w:rPr>
                  </w:pPr>
                </w:p>
              </w:tc>
              <w:tc>
                <w:tcPr>
                  <w:tcW w:w="445" w:type="pct"/>
                  <w:vAlign w:val="center"/>
                </w:tcPr>
                <w:p>
                  <w:pPr>
                    <w:pStyle w:val="110"/>
                    <w:spacing w:line="240" w:lineRule="auto"/>
                    <w:ind w:firstLine="0" w:firstLineChars="0"/>
                    <w:jc w:val="center"/>
                    <w:rPr>
                      <w:rFonts w:ascii="Times New Roman" w:hAnsi="Times New Roman" w:eastAsia="宋体" w:cs="Times New Roman"/>
                      <w:kern w:val="0"/>
                      <w:sz w:val="21"/>
                      <w:szCs w:val="21"/>
                      <w:lang w:val="en-US" w:eastAsia="zh-CN" w:bidi="ar-SA"/>
                    </w:rPr>
                  </w:pPr>
                  <w:r>
                    <w:rPr>
                      <w:rFonts w:cs="Times New Roman"/>
                      <w:sz w:val="21"/>
                      <w:szCs w:val="21"/>
                    </w:rPr>
                    <w:t>0.78</w:t>
                  </w:r>
                </w:p>
              </w:tc>
              <w:tc>
                <w:tcPr>
                  <w:tcW w:w="445" w:type="pct"/>
                  <w:vAlign w:val="center"/>
                </w:tcPr>
                <w:p>
                  <w:pPr>
                    <w:pStyle w:val="110"/>
                    <w:spacing w:line="240" w:lineRule="auto"/>
                    <w:ind w:firstLine="0" w:firstLineChars="0"/>
                    <w:jc w:val="center"/>
                    <w:rPr>
                      <w:rFonts w:ascii="Times New Roman" w:hAnsi="Times New Roman" w:eastAsia="宋体" w:cs="Times New Roman"/>
                      <w:kern w:val="0"/>
                      <w:sz w:val="21"/>
                      <w:szCs w:val="21"/>
                      <w:lang w:val="en-US" w:eastAsia="zh-CN" w:bidi="ar-SA"/>
                    </w:rPr>
                  </w:pPr>
                  <w:r>
                    <w:rPr>
                      <w:rFonts w:cs="Times New Roman"/>
                      <w:sz w:val="21"/>
                      <w:szCs w:val="21"/>
                    </w:rPr>
                    <w:t>0.59</w:t>
                  </w:r>
                </w:p>
              </w:tc>
              <w:tc>
                <w:tcPr>
                  <w:tcW w:w="445" w:type="pct"/>
                  <w:vAlign w:val="center"/>
                </w:tcPr>
                <w:p>
                  <w:pPr>
                    <w:pStyle w:val="110"/>
                    <w:spacing w:line="240" w:lineRule="auto"/>
                    <w:ind w:firstLine="0" w:firstLineChars="0"/>
                    <w:jc w:val="center"/>
                    <w:rPr>
                      <w:rFonts w:ascii="Times New Roman" w:hAnsi="Times New Roman" w:eastAsia="宋体" w:cs="Times New Roman"/>
                      <w:kern w:val="0"/>
                      <w:sz w:val="21"/>
                      <w:szCs w:val="21"/>
                      <w:lang w:val="en-US" w:eastAsia="zh-CN" w:bidi="ar-SA"/>
                    </w:rPr>
                  </w:pPr>
                  <w:r>
                    <w:rPr>
                      <w:rFonts w:cs="Times New Roman"/>
                      <w:sz w:val="21"/>
                      <w:szCs w:val="21"/>
                    </w:rPr>
                    <w:t>2.81</w:t>
                  </w:r>
                </w:p>
              </w:tc>
              <w:tc>
                <w:tcPr>
                  <w:tcW w:w="469" w:type="pct"/>
                  <w:vMerge w:val="continue"/>
                  <w:vAlign w:val="center"/>
                </w:tcPr>
                <w:p>
                  <w:pPr>
                    <w:pStyle w:val="110"/>
                    <w:spacing w:line="240" w:lineRule="auto"/>
                    <w:ind w:firstLine="0" w:firstLineChars="0"/>
                    <w:jc w:val="center"/>
                    <w:rPr>
                      <w:rFonts w:cs="Times New Roman"/>
                      <w:b/>
                      <w:bCs/>
                      <w:sz w:val="21"/>
                      <w:szCs w:val="21"/>
                    </w:rPr>
                  </w:pPr>
                </w:p>
              </w:tc>
              <w:tc>
                <w:tcPr>
                  <w:tcW w:w="366" w:type="pct"/>
                  <w:vMerge w:val="continue"/>
                  <w:vAlign w:val="center"/>
                </w:tcPr>
                <w:p>
                  <w:pPr>
                    <w:spacing w:line="240" w:lineRule="auto"/>
                    <w:jc w:val="center"/>
                    <w:rPr>
                      <w:rFonts w:cs="Times New Roman"/>
                      <w:b/>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 w:type="pct"/>
                  <w:vMerge w:val="continue"/>
                  <w:vAlign w:val="center"/>
                </w:tcPr>
                <w:p>
                  <w:pPr>
                    <w:pStyle w:val="110"/>
                    <w:spacing w:line="240" w:lineRule="auto"/>
                    <w:ind w:firstLine="0" w:firstLineChars="0"/>
                    <w:jc w:val="center"/>
                    <w:rPr>
                      <w:rFonts w:cs="Times New Roman"/>
                      <w:b/>
                      <w:bCs/>
                      <w:sz w:val="21"/>
                      <w:szCs w:val="21"/>
                    </w:rPr>
                  </w:pPr>
                </w:p>
              </w:tc>
              <w:tc>
                <w:tcPr>
                  <w:tcW w:w="613" w:type="pct"/>
                  <w:vMerge w:val="continue"/>
                  <w:vAlign w:val="center"/>
                </w:tcPr>
                <w:p>
                  <w:pPr>
                    <w:pStyle w:val="110"/>
                    <w:spacing w:line="240" w:lineRule="auto"/>
                    <w:ind w:firstLine="0" w:firstLineChars="0"/>
                    <w:jc w:val="center"/>
                    <w:rPr>
                      <w:rFonts w:cs="Times New Roman"/>
                      <w:b/>
                      <w:bCs/>
                      <w:sz w:val="21"/>
                      <w:szCs w:val="21"/>
                    </w:rPr>
                  </w:pPr>
                </w:p>
              </w:tc>
              <w:tc>
                <w:tcPr>
                  <w:tcW w:w="412" w:type="pct"/>
                  <w:vAlign w:val="center"/>
                </w:tcPr>
                <w:p>
                  <w:pPr>
                    <w:pStyle w:val="110"/>
                    <w:spacing w:line="240" w:lineRule="auto"/>
                    <w:ind w:firstLine="0" w:firstLineChars="0"/>
                    <w:jc w:val="center"/>
                    <w:rPr>
                      <w:rFonts w:ascii="Times New Roman" w:hAnsi="Times New Roman" w:eastAsia="宋体" w:cs="Times New Roman"/>
                      <w:kern w:val="0"/>
                      <w:sz w:val="21"/>
                      <w:szCs w:val="21"/>
                      <w:lang w:val="en-US" w:eastAsia="zh-CN" w:bidi="ar-SA"/>
                    </w:rPr>
                  </w:pPr>
                  <w:r>
                    <w:rPr>
                      <w:rFonts w:cs="Times New Roman"/>
                      <w:sz w:val="21"/>
                      <w:szCs w:val="21"/>
                    </w:rPr>
                    <w:t>4#</w:t>
                  </w:r>
                </w:p>
              </w:tc>
              <w:tc>
                <w:tcPr>
                  <w:tcW w:w="856" w:type="pct"/>
                  <w:vMerge w:val="continue"/>
                  <w:vAlign w:val="center"/>
                </w:tcPr>
                <w:p>
                  <w:pPr>
                    <w:pStyle w:val="110"/>
                    <w:spacing w:line="240" w:lineRule="auto"/>
                    <w:ind w:firstLine="0" w:firstLineChars="0"/>
                    <w:jc w:val="center"/>
                    <w:rPr>
                      <w:rFonts w:cs="Times New Roman"/>
                      <w:b/>
                      <w:bCs/>
                      <w:sz w:val="21"/>
                      <w:szCs w:val="21"/>
                    </w:rPr>
                  </w:pPr>
                </w:p>
              </w:tc>
              <w:tc>
                <w:tcPr>
                  <w:tcW w:w="520" w:type="pct"/>
                  <w:vMerge w:val="continue"/>
                  <w:vAlign w:val="center"/>
                </w:tcPr>
                <w:p>
                  <w:pPr>
                    <w:pStyle w:val="110"/>
                    <w:spacing w:line="240" w:lineRule="auto"/>
                    <w:ind w:firstLine="0" w:firstLineChars="0"/>
                    <w:jc w:val="center"/>
                    <w:rPr>
                      <w:rFonts w:cs="Times New Roman"/>
                      <w:b/>
                      <w:bCs/>
                      <w:sz w:val="21"/>
                      <w:szCs w:val="21"/>
                    </w:rPr>
                  </w:pPr>
                </w:p>
              </w:tc>
              <w:tc>
                <w:tcPr>
                  <w:tcW w:w="445" w:type="pct"/>
                  <w:vAlign w:val="center"/>
                </w:tcPr>
                <w:p>
                  <w:pPr>
                    <w:pStyle w:val="110"/>
                    <w:spacing w:line="240" w:lineRule="auto"/>
                    <w:ind w:firstLine="0" w:firstLineChars="0"/>
                    <w:jc w:val="center"/>
                    <w:rPr>
                      <w:rFonts w:ascii="Times New Roman" w:hAnsi="Times New Roman" w:eastAsia="宋体" w:cs="Times New Roman"/>
                      <w:kern w:val="0"/>
                      <w:sz w:val="21"/>
                      <w:szCs w:val="21"/>
                      <w:lang w:val="en-US" w:eastAsia="zh-CN" w:bidi="ar-SA"/>
                    </w:rPr>
                  </w:pPr>
                  <w:r>
                    <w:rPr>
                      <w:rFonts w:cs="Times New Roman"/>
                      <w:sz w:val="21"/>
                      <w:szCs w:val="21"/>
                    </w:rPr>
                    <w:t>0.25</w:t>
                  </w:r>
                </w:p>
              </w:tc>
              <w:tc>
                <w:tcPr>
                  <w:tcW w:w="445" w:type="pct"/>
                  <w:vAlign w:val="center"/>
                </w:tcPr>
                <w:p>
                  <w:pPr>
                    <w:pStyle w:val="110"/>
                    <w:spacing w:line="240" w:lineRule="auto"/>
                    <w:ind w:firstLine="0" w:firstLineChars="0"/>
                    <w:jc w:val="center"/>
                    <w:rPr>
                      <w:rFonts w:ascii="Times New Roman" w:hAnsi="Times New Roman" w:eastAsia="宋体" w:cs="Times New Roman"/>
                      <w:kern w:val="0"/>
                      <w:sz w:val="21"/>
                      <w:szCs w:val="21"/>
                      <w:lang w:val="en-US" w:eastAsia="zh-CN" w:bidi="ar-SA"/>
                    </w:rPr>
                  </w:pPr>
                  <w:r>
                    <w:rPr>
                      <w:rFonts w:cs="Times New Roman"/>
                      <w:sz w:val="21"/>
                      <w:szCs w:val="21"/>
                    </w:rPr>
                    <w:t>0.56</w:t>
                  </w:r>
                </w:p>
              </w:tc>
              <w:tc>
                <w:tcPr>
                  <w:tcW w:w="445" w:type="pct"/>
                  <w:vAlign w:val="center"/>
                </w:tcPr>
                <w:p>
                  <w:pPr>
                    <w:pStyle w:val="110"/>
                    <w:spacing w:line="240" w:lineRule="auto"/>
                    <w:ind w:firstLine="0" w:firstLineChars="0"/>
                    <w:jc w:val="center"/>
                    <w:rPr>
                      <w:rFonts w:ascii="Times New Roman" w:hAnsi="Times New Roman" w:eastAsia="宋体" w:cs="Times New Roman"/>
                      <w:kern w:val="0"/>
                      <w:sz w:val="21"/>
                      <w:szCs w:val="21"/>
                      <w:lang w:val="en-US" w:eastAsia="zh-CN" w:bidi="ar-SA"/>
                    </w:rPr>
                  </w:pPr>
                  <w:r>
                    <w:rPr>
                      <w:rFonts w:cs="Times New Roman"/>
                      <w:sz w:val="21"/>
                      <w:szCs w:val="21"/>
                    </w:rPr>
                    <w:t>0.48</w:t>
                  </w:r>
                </w:p>
              </w:tc>
              <w:tc>
                <w:tcPr>
                  <w:tcW w:w="469" w:type="pct"/>
                  <w:vMerge w:val="continue"/>
                  <w:vAlign w:val="center"/>
                </w:tcPr>
                <w:p>
                  <w:pPr>
                    <w:pStyle w:val="110"/>
                    <w:spacing w:line="240" w:lineRule="auto"/>
                    <w:ind w:firstLine="0" w:firstLineChars="0"/>
                    <w:jc w:val="center"/>
                    <w:rPr>
                      <w:rFonts w:cs="Times New Roman"/>
                      <w:b/>
                      <w:bCs/>
                      <w:sz w:val="21"/>
                      <w:szCs w:val="21"/>
                    </w:rPr>
                  </w:pPr>
                </w:p>
              </w:tc>
              <w:tc>
                <w:tcPr>
                  <w:tcW w:w="366" w:type="pct"/>
                  <w:vMerge w:val="continue"/>
                  <w:vAlign w:val="center"/>
                </w:tcPr>
                <w:p>
                  <w:pPr>
                    <w:spacing w:line="240" w:lineRule="auto"/>
                    <w:jc w:val="center"/>
                    <w:rPr>
                      <w:rFonts w:cs="Times New Roman"/>
                      <w:b/>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 w:type="pct"/>
                  <w:tcBorders>
                    <w:bottom w:val="single" w:color="auto" w:sz="12" w:space="0"/>
                  </w:tcBorders>
                  <w:vAlign w:val="center"/>
                </w:tcPr>
                <w:p>
                  <w:pPr>
                    <w:pStyle w:val="110"/>
                    <w:spacing w:line="240" w:lineRule="auto"/>
                    <w:ind w:firstLine="0" w:firstLineChars="0"/>
                    <w:jc w:val="center"/>
                    <w:rPr>
                      <w:rFonts w:cs="Times New Roman"/>
                      <w:b/>
                      <w:bCs/>
                      <w:sz w:val="21"/>
                      <w:szCs w:val="21"/>
                    </w:rPr>
                  </w:pPr>
                  <w:r>
                    <w:rPr>
                      <w:rFonts w:cs="Times New Roman"/>
                    </w:rPr>
                    <w:t>备注</w:t>
                  </w:r>
                </w:p>
              </w:tc>
              <w:tc>
                <w:tcPr>
                  <w:tcW w:w="4577" w:type="pct"/>
                  <w:gridSpan w:val="9"/>
                  <w:tcBorders>
                    <w:bottom w:val="single" w:color="auto" w:sz="12" w:space="0"/>
                  </w:tcBorders>
                  <w:vAlign w:val="center"/>
                </w:tcPr>
                <w:p>
                  <w:pPr>
                    <w:bidi w:val="0"/>
                    <w:spacing w:line="240" w:lineRule="auto"/>
                    <w:rPr>
                      <w:sz w:val="21"/>
                      <w:szCs w:val="21"/>
                    </w:rPr>
                  </w:pPr>
                  <w:r>
                    <w:rPr>
                      <w:sz w:val="21"/>
                      <w:szCs w:val="21"/>
                    </w:rPr>
                    <w:t>1.“/”表示1#点为上风向点，不做限值要求；</w:t>
                  </w:r>
                </w:p>
                <w:p>
                  <w:pPr>
                    <w:bidi w:val="0"/>
                    <w:spacing w:line="240" w:lineRule="auto"/>
                    <w:rPr>
                      <w:sz w:val="21"/>
                      <w:szCs w:val="21"/>
                    </w:rPr>
                  </w:pPr>
                  <w:r>
                    <w:rPr>
                      <w:sz w:val="21"/>
                      <w:szCs w:val="21"/>
                    </w:rPr>
                    <w:t>2.参照标准《合成树脂工业污染物排放标准》（GB31572-2015）表</w:t>
                  </w:r>
                  <w:r>
                    <w:rPr>
                      <w:rFonts w:hint="eastAsia"/>
                      <w:sz w:val="21"/>
                      <w:szCs w:val="21"/>
                    </w:rPr>
                    <w:t>9</w:t>
                  </w:r>
                  <w:r>
                    <w:rPr>
                      <w:sz w:val="21"/>
                      <w:szCs w:val="21"/>
                    </w:rPr>
                    <w:t xml:space="preserve"> 无组织标准限值要求。</w:t>
                  </w:r>
                </w:p>
                <w:p>
                  <w:pPr>
                    <w:bidi w:val="0"/>
                    <w:spacing w:line="240" w:lineRule="auto"/>
                    <w:rPr>
                      <w:rFonts w:cs="Times New Roman"/>
                      <w:b/>
                      <w:bCs/>
                      <w:szCs w:val="21"/>
                    </w:rPr>
                  </w:pPr>
                  <w:r>
                    <w:rPr>
                      <w:sz w:val="21"/>
                      <w:szCs w:val="21"/>
                    </w:rPr>
                    <w:t>3. 1#监测点为企业无组织监测点的上风向，出现上风向检测数据高于下风向检测数据的情况。原因分析：因项目所在地周围存在其他排污企业，其他公司生产排放废气的时间不确定，检测数据有可能受到干扰。</w:t>
                  </w:r>
                </w:p>
              </w:tc>
            </w:tr>
          </w:tbl>
          <w:p>
            <w:pPr>
              <w:rPr>
                <w:rFonts w:hint="eastAsia"/>
                <w:lang w:eastAsia="zh-CN"/>
              </w:rPr>
            </w:pPr>
            <w:r>
              <w:rPr>
                <w:rFonts w:hint="eastAsia"/>
                <w:lang w:val="en-US" w:eastAsia="zh-CN"/>
              </w:rPr>
              <w:t>2）</w:t>
            </w:r>
            <w:r>
              <w:rPr>
                <w:rFonts w:hint="eastAsia"/>
                <w:lang w:eastAsia="zh-CN"/>
              </w:rPr>
              <w:t>废水</w:t>
            </w:r>
          </w:p>
          <w:p>
            <w:pPr>
              <w:ind w:firstLine="480" w:firstLineChars="200"/>
              <w:rPr>
                <w:rFonts w:hint="eastAsia"/>
                <w:lang w:eastAsia="zh-CN"/>
              </w:rPr>
            </w:pPr>
            <w:r>
              <w:rPr>
                <w:rFonts w:hint="eastAsia"/>
                <w:lang w:eastAsia="zh-CN"/>
              </w:rPr>
              <w:t>项目建成后，职工数12人，生活污水量约为113.6t/a，主要为员工的盥洗用水，无生产废水，间接设备冷却用水循环使用不外排，生活废水经工业区污水管网排入高新区白荡污水处理厂，处理达标后排入京杭运河。</w:t>
            </w:r>
          </w:p>
          <w:p>
            <w:pPr>
              <w:pStyle w:val="2"/>
              <w:spacing w:line="240" w:lineRule="auto"/>
              <w:ind w:left="0" w:leftChars="0" w:firstLine="0" w:firstLineChars="0"/>
              <w:jc w:val="center"/>
              <w:rPr>
                <w:rFonts w:hint="eastAsia"/>
                <w:lang w:eastAsia="zh-CN"/>
              </w:rPr>
            </w:pPr>
            <w:r>
              <w:rPr>
                <w:rFonts w:hint="eastAsia"/>
                <w:b/>
                <w:bCs/>
                <w:sz w:val="21"/>
                <w:szCs w:val="21"/>
                <w:lang w:val="en-US" w:eastAsia="zh-CN"/>
              </w:rPr>
              <w:t>表1-14废水检测结果</w:t>
            </w:r>
          </w:p>
          <w:tbl>
            <w:tblPr>
              <w:tblStyle w:val="26"/>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58"/>
              <w:gridCol w:w="803"/>
              <w:gridCol w:w="858"/>
              <w:gridCol w:w="2002"/>
              <w:gridCol w:w="937"/>
              <w:gridCol w:w="943"/>
              <w:gridCol w:w="943"/>
              <w:gridCol w:w="875"/>
              <w:gridCol w:w="100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988" w:type="pct"/>
                  <w:gridSpan w:val="2"/>
                  <w:vMerge w:val="restart"/>
                  <w:vAlign w:val="center"/>
                </w:tcPr>
                <w:p>
                  <w:pPr>
                    <w:pStyle w:val="110"/>
                    <w:rPr>
                      <w:rFonts w:cs="Times New Roman"/>
                      <w:b/>
                      <w:bCs/>
                    </w:rPr>
                  </w:pPr>
                  <w:r>
                    <w:rPr>
                      <w:rFonts w:cs="Times New Roman"/>
                      <w:b/>
                      <w:bCs/>
                    </w:rPr>
                    <w:t>采样</w:t>
                  </w:r>
                </w:p>
                <w:p>
                  <w:pPr>
                    <w:pStyle w:val="110"/>
                    <w:rPr>
                      <w:rFonts w:cs="Times New Roman"/>
                      <w:b/>
                      <w:bCs/>
                    </w:rPr>
                  </w:pPr>
                  <w:r>
                    <w:rPr>
                      <w:rFonts w:cs="Times New Roman"/>
                      <w:b/>
                      <w:bCs/>
                    </w:rPr>
                    <w:t>地点</w:t>
                  </w:r>
                </w:p>
              </w:tc>
              <w:tc>
                <w:tcPr>
                  <w:tcW w:w="455" w:type="pct"/>
                  <w:vMerge w:val="restart"/>
                  <w:vAlign w:val="center"/>
                </w:tcPr>
                <w:p>
                  <w:pPr>
                    <w:pStyle w:val="110"/>
                    <w:rPr>
                      <w:rFonts w:cs="Times New Roman"/>
                      <w:b/>
                      <w:bCs/>
                    </w:rPr>
                  </w:pPr>
                  <w:r>
                    <w:rPr>
                      <w:rFonts w:cs="Times New Roman"/>
                      <w:b/>
                      <w:bCs/>
                    </w:rPr>
                    <w:t>采样</w:t>
                  </w:r>
                </w:p>
                <w:p>
                  <w:pPr>
                    <w:pStyle w:val="110"/>
                    <w:rPr>
                      <w:rFonts w:cs="Times New Roman"/>
                      <w:b/>
                      <w:bCs/>
                    </w:rPr>
                  </w:pPr>
                  <w:r>
                    <w:rPr>
                      <w:rFonts w:cs="Times New Roman"/>
                      <w:b/>
                      <w:bCs/>
                    </w:rPr>
                    <w:t>时间</w:t>
                  </w:r>
                </w:p>
              </w:tc>
              <w:tc>
                <w:tcPr>
                  <w:tcW w:w="1061" w:type="pct"/>
                  <w:vMerge w:val="restart"/>
                  <w:vAlign w:val="center"/>
                </w:tcPr>
                <w:p>
                  <w:pPr>
                    <w:pStyle w:val="110"/>
                    <w:rPr>
                      <w:rFonts w:cs="Times New Roman"/>
                      <w:b/>
                      <w:bCs/>
                    </w:rPr>
                  </w:pPr>
                  <w:r>
                    <w:rPr>
                      <w:rFonts w:cs="Times New Roman"/>
                      <w:b/>
                      <w:bCs/>
                    </w:rPr>
                    <w:t>样品状态</w:t>
                  </w:r>
                </w:p>
              </w:tc>
              <w:tc>
                <w:tcPr>
                  <w:tcW w:w="2494" w:type="pct"/>
                  <w:gridSpan w:val="5"/>
                  <w:vAlign w:val="center"/>
                </w:tcPr>
                <w:p>
                  <w:pPr>
                    <w:pStyle w:val="110"/>
                    <w:rPr>
                      <w:rFonts w:cs="Times New Roman"/>
                      <w:b/>
                      <w:bCs/>
                    </w:rPr>
                  </w:pPr>
                  <w:r>
                    <w:rPr>
                      <w:rFonts w:cs="Times New Roman"/>
                      <w:b/>
                      <w:bCs/>
                    </w:rPr>
                    <w:t>检测项目（mg/L）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988" w:type="pct"/>
                  <w:gridSpan w:val="2"/>
                  <w:vMerge w:val="continue"/>
                  <w:tcBorders>
                    <w:bottom w:val="single" w:color="auto" w:sz="12" w:space="0"/>
                  </w:tcBorders>
                  <w:vAlign w:val="center"/>
                </w:tcPr>
                <w:p>
                  <w:pPr>
                    <w:pStyle w:val="110"/>
                    <w:rPr>
                      <w:rFonts w:cs="Times New Roman"/>
                      <w:b/>
                      <w:bCs/>
                    </w:rPr>
                  </w:pPr>
                </w:p>
              </w:tc>
              <w:tc>
                <w:tcPr>
                  <w:tcW w:w="455" w:type="pct"/>
                  <w:vMerge w:val="continue"/>
                  <w:tcBorders>
                    <w:bottom w:val="single" w:color="auto" w:sz="12" w:space="0"/>
                  </w:tcBorders>
                  <w:vAlign w:val="center"/>
                </w:tcPr>
                <w:p>
                  <w:pPr>
                    <w:pStyle w:val="110"/>
                    <w:rPr>
                      <w:rFonts w:cs="Times New Roman"/>
                      <w:b/>
                      <w:bCs/>
                    </w:rPr>
                  </w:pPr>
                </w:p>
              </w:tc>
              <w:tc>
                <w:tcPr>
                  <w:tcW w:w="1061" w:type="pct"/>
                  <w:vMerge w:val="continue"/>
                  <w:tcBorders>
                    <w:bottom w:val="single" w:color="auto" w:sz="12" w:space="0"/>
                  </w:tcBorders>
                  <w:vAlign w:val="center"/>
                </w:tcPr>
                <w:p>
                  <w:pPr>
                    <w:pStyle w:val="110"/>
                    <w:rPr>
                      <w:rFonts w:cs="Times New Roman"/>
                      <w:b/>
                      <w:bCs/>
                    </w:rPr>
                  </w:pPr>
                </w:p>
              </w:tc>
              <w:tc>
                <w:tcPr>
                  <w:tcW w:w="497" w:type="pct"/>
                  <w:tcBorders>
                    <w:bottom w:val="single" w:color="auto" w:sz="12" w:space="0"/>
                  </w:tcBorders>
                  <w:vAlign w:val="center"/>
                </w:tcPr>
                <w:p>
                  <w:pPr>
                    <w:pStyle w:val="110"/>
                    <w:rPr>
                      <w:rFonts w:cs="Times New Roman"/>
                      <w:b/>
                      <w:bCs/>
                    </w:rPr>
                  </w:pPr>
                  <w:r>
                    <w:rPr>
                      <w:rFonts w:cs="Times New Roman"/>
                      <w:b/>
                      <w:bCs/>
                    </w:rPr>
                    <w:t>pH值</w:t>
                  </w:r>
                </w:p>
              </w:tc>
              <w:tc>
                <w:tcPr>
                  <w:tcW w:w="500" w:type="pct"/>
                  <w:tcBorders>
                    <w:bottom w:val="single" w:color="auto" w:sz="12" w:space="0"/>
                  </w:tcBorders>
                  <w:vAlign w:val="center"/>
                </w:tcPr>
                <w:p>
                  <w:pPr>
                    <w:pStyle w:val="110"/>
                    <w:rPr>
                      <w:rFonts w:cs="Times New Roman"/>
                      <w:b/>
                      <w:bCs/>
                    </w:rPr>
                  </w:pPr>
                  <w:r>
                    <w:rPr>
                      <w:rFonts w:cs="Times New Roman"/>
                      <w:b/>
                      <w:bCs/>
                    </w:rPr>
                    <w:t>悬浮物</w:t>
                  </w:r>
                </w:p>
              </w:tc>
              <w:tc>
                <w:tcPr>
                  <w:tcW w:w="500" w:type="pct"/>
                  <w:tcBorders>
                    <w:bottom w:val="single" w:color="auto" w:sz="12" w:space="0"/>
                  </w:tcBorders>
                  <w:vAlign w:val="center"/>
                </w:tcPr>
                <w:p>
                  <w:pPr>
                    <w:pStyle w:val="110"/>
                    <w:rPr>
                      <w:rFonts w:cs="Times New Roman"/>
                      <w:b/>
                      <w:bCs/>
                    </w:rPr>
                  </w:pPr>
                  <w:r>
                    <w:rPr>
                      <w:rFonts w:cs="Times New Roman"/>
                      <w:b/>
                      <w:bCs/>
                    </w:rPr>
                    <w:t>氨氮</w:t>
                  </w:r>
                </w:p>
              </w:tc>
              <w:tc>
                <w:tcPr>
                  <w:tcW w:w="464" w:type="pct"/>
                  <w:tcBorders>
                    <w:bottom w:val="single" w:color="auto" w:sz="12" w:space="0"/>
                  </w:tcBorders>
                  <w:vAlign w:val="center"/>
                </w:tcPr>
                <w:p>
                  <w:pPr>
                    <w:pStyle w:val="110"/>
                    <w:rPr>
                      <w:rFonts w:cs="Times New Roman"/>
                      <w:b/>
                      <w:bCs/>
                    </w:rPr>
                  </w:pPr>
                  <w:r>
                    <w:rPr>
                      <w:rFonts w:cs="Times New Roman"/>
                      <w:b/>
                      <w:bCs/>
                    </w:rPr>
                    <w:t>总磷</w:t>
                  </w:r>
                </w:p>
              </w:tc>
              <w:tc>
                <w:tcPr>
                  <w:tcW w:w="531" w:type="pct"/>
                  <w:tcBorders>
                    <w:bottom w:val="single" w:color="auto" w:sz="12" w:space="0"/>
                  </w:tcBorders>
                  <w:vAlign w:val="center"/>
                </w:tcPr>
                <w:p>
                  <w:pPr>
                    <w:pStyle w:val="110"/>
                    <w:rPr>
                      <w:rFonts w:cs="Times New Roman"/>
                      <w:b/>
                      <w:bCs/>
                    </w:rPr>
                  </w:pPr>
                  <w:r>
                    <w:rPr>
                      <w:rFonts w:cs="Times New Roman"/>
                      <w:b/>
                      <w:bCs/>
                    </w:rPr>
                    <w:t>化学需氧量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988" w:type="pct"/>
                  <w:gridSpan w:val="2"/>
                  <w:vMerge w:val="restart"/>
                  <w:tcBorders>
                    <w:top w:val="single" w:color="auto" w:sz="12" w:space="0"/>
                  </w:tcBorders>
                  <w:vAlign w:val="center"/>
                </w:tcPr>
                <w:p>
                  <w:pPr>
                    <w:pStyle w:val="110"/>
                    <w:rPr>
                      <w:rFonts w:cs="Times New Roman"/>
                      <w:highlight w:val="yellow"/>
                    </w:rPr>
                  </w:pPr>
                  <w:r>
                    <w:rPr>
                      <w:rFonts w:cs="Times New Roman"/>
                    </w:rPr>
                    <w:t>污水接管口（2019.07.01）</w:t>
                  </w:r>
                </w:p>
              </w:tc>
              <w:tc>
                <w:tcPr>
                  <w:tcW w:w="455" w:type="pct"/>
                  <w:tcBorders>
                    <w:top w:val="single" w:color="auto" w:sz="12" w:space="0"/>
                  </w:tcBorders>
                  <w:vAlign w:val="center"/>
                </w:tcPr>
                <w:p>
                  <w:pPr>
                    <w:pStyle w:val="110"/>
                    <w:rPr>
                      <w:rFonts w:eastAsia="宋体" w:cs="Times New Roman"/>
                      <w:kern w:val="2"/>
                    </w:rPr>
                  </w:pPr>
                  <w:r>
                    <w:rPr>
                      <w:rFonts w:cs="Times New Roman"/>
                    </w:rPr>
                    <w:t>14:30</w:t>
                  </w:r>
                </w:p>
              </w:tc>
              <w:tc>
                <w:tcPr>
                  <w:tcW w:w="1061" w:type="pct"/>
                  <w:tcBorders>
                    <w:top w:val="single" w:color="auto" w:sz="12" w:space="0"/>
                  </w:tcBorders>
                  <w:vAlign w:val="center"/>
                </w:tcPr>
                <w:p>
                  <w:pPr>
                    <w:pStyle w:val="110"/>
                    <w:rPr>
                      <w:rFonts w:eastAsia="宋体" w:cs="Times New Roman"/>
                      <w:kern w:val="2"/>
                    </w:rPr>
                  </w:pPr>
                  <w:r>
                    <w:rPr>
                      <w:rFonts w:cs="Times New Roman"/>
                    </w:rPr>
                    <w:t>微黄微浊无浮油</w:t>
                  </w:r>
                </w:p>
              </w:tc>
              <w:tc>
                <w:tcPr>
                  <w:tcW w:w="497" w:type="pct"/>
                  <w:tcBorders>
                    <w:top w:val="single" w:color="auto" w:sz="12" w:space="0"/>
                  </w:tcBorders>
                  <w:vAlign w:val="center"/>
                </w:tcPr>
                <w:p>
                  <w:pPr>
                    <w:pStyle w:val="110"/>
                    <w:rPr>
                      <w:rFonts w:eastAsia="宋体" w:cs="Times New Roman"/>
                      <w:kern w:val="2"/>
                    </w:rPr>
                  </w:pPr>
                  <w:r>
                    <w:rPr>
                      <w:rFonts w:cs="Times New Roman"/>
                    </w:rPr>
                    <w:t>8.78</w:t>
                  </w:r>
                </w:p>
              </w:tc>
              <w:tc>
                <w:tcPr>
                  <w:tcW w:w="500" w:type="pct"/>
                  <w:tcBorders>
                    <w:top w:val="single" w:color="auto" w:sz="12" w:space="0"/>
                  </w:tcBorders>
                  <w:vAlign w:val="center"/>
                </w:tcPr>
                <w:p>
                  <w:pPr>
                    <w:pStyle w:val="110"/>
                    <w:rPr>
                      <w:rFonts w:cs="Times New Roman"/>
                    </w:rPr>
                  </w:pPr>
                  <w:r>
                    <w:rPr>
                      <w:rFonts w:cs="Times New Roman"/>
                    </w:rPr>
                    <w:t>44</w:t>
                  </w:r>
                </w:p>
              </w:tc>
              <w:tc>
                <w:tcPr>
                  <w:tcW w:w="500" w:type="pct"/>
                  <w:tcBorders>
                    <w:top w:val="single" w:color="auto" w:sz="12" w:space="0"/>
                  </w:tcBorders>
                  <w:vAlign w:val="center"/>
                </w:tcPr>
                <w:p>
                  <w:pPr>
                    <w:pStyle w:val="110"/>
                    <w:rPr>
                      <w:rFonts w:cs="Times New Roman"/>
                    </w:rPr>
                  </w:pPr>
                  <w:r>
                    <w:rPr>
                      <w:rFonts w:cs="Times New Roman"/>
                    </w:rPr>
                    <w:t>5.30</w:t>
                  </w:r>
                </w:p>
              </w:tc>
              <w:tc>
                <w:tcPr>
                  <w:tcW w:w="464" w:type="pct"/>
                  <w:tcBorders>
                    <w:top w:val="single" w:color="auto" w:sz="12" w:space="0"/>
                  </w:tcBorders>
                  <w:vAlign w:val="center"/>
                </w:tcPr>
                <w:p>
                  <w:pPr>
                    <w:pStyle w:val="110"/>
                    <w:rPr>
                      <w:rFonts w:cs="Times New Roman"/>
                    </w:rPr>
                  </w:pPr>
                  <w:r>
                    <w:rPr>
                      <w:rFonts w:cs="Times New Roman"/>
                    </w:rPr>
                    <w:t>0.88</w:t>
                  </w:r>
                </w:p>
              </w:tc>
              <w:tc>
                <w:tcPr>
                  <w:tcW w:w="531" w:type="pct"/>
                  <w:tcBorders>
                    <w:top w:val="single" w:color="auto" w:sz="12" w:space="0"/>
                  </w:tcBorders>
                  <w:vAlign w:val="center"/>
                </w:tcPr>
                <w:p>
                  <w:pPr>
                    <w:pStyle w:val="110"/>
                    <w:rPr>
                      <w:rFonts w:cs="Times New Roman"/>
                    </w:rPr>
                  </w:pPr>
                  <w:r>
                    <w:rPr>
                      <w:rFonts w:cs="Times New Roman"/>
                    </w:rPr>
                    <w:t>29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988" w:type="pct"/>
                  <w:gridSpan w:val="2"/>
                  <w:vMerge w:val="continue"/>
                  <w:vAlign w:val="center"/>
                </w:tcPr>
                <w:p>
                  <w:pPr>
                    <w:pStyle w:val="110"/>
                    <w:rPr>
                      <w:rFonts w:cs="Times New Roman"/>
                      <w:highlight w:val="yellow"/>
                    </w:rPr>
                  </w:pPr>
                </w:p>
              </w:tc>
              <w:tc>
                <w:tcPr>
                  <w:tcW w:w="455" w:type="pct"/>
                  <w:vAlign w:val="center"/>
                </w:tcPr>
                <w:p>
                  <w:pPr>
                    <w:pStyle w:val="110"/>
                    <w:rPr>
                      <w:rFonts w:cs="Times New Roman"/>
                    </w:rPr>
                  </w:pPr>
                  <w:r>
                    <w:rPr>
                      <w:rFonts w:cs="Times New Roman"/>
                    </w:rPr>
                    <w:t>15:32</w:t>
                  </w:r>
                </w:p>
              </w:tc>
              <w:tc>
                <w:tcPr>
                  <w:tcW w:w="1061" w:type="pct"/>
                  <w:vAlign w:val="center"/>
                </w:tcPr>
                <w:p>
                  <w:pPr>
                    <w:pStyle w:val="110"/>
                    <w:rPr>
                      <w:rFonts w:cs="Times New Roman"/>
                    </w:rPr>
                  </w:pPr>
                  <w:r>
                    <w:rPr>
                      <w:rFonts w:cs="Times New Roman"/>
                    </w:rPr>
                    <w:t>微黄微浊无浮油</w:t>
                  </w:r>
                </w:p>
              </w:tc>
              <w:tc>
                <w:tcPr>
                  <w:tcW w:w="497" w:type="pct"/>
                  <w:vAlign w:val="center"/>
                </w:tcPr>
                <w:p>
                  <w:pPr>
                    <w:pStyle w:val="110"/>
                    <w:rPr>
                      <w:rFonts w:cs="Times New Roman"/>
                    </w:rPr>
                  </w:pPr>
                  <w:r>
                    <w:rPr>
                      <w:rFonts w:cs="Times New Roman"/>
                    </w:rPr>
                    <w:t>8.56</w:t>
                  </w:r>
                </w:p>
              </w:tc>
              <w:tc>
                <w:tcPr>
                  <w:tcW w:w="500" w:type="pct"/>
                  <w:vAlign w:val="center"/>
                </w:tcPr>
                <w:p>
                  <w:pPr>
                    <w:pStyle w:val="110"/>
                    <w:rPr>
                      <w:rFonts w:cs="Times New Roman"/>
                    </w:rPr>
                  </w:pPr>
                  <w:r>
                    <w:rPr>
                      <w:rFonts w:cs="Times New Roman"/>
                    </w:rPr>
                    <w:t>48</w:t>
                  </w:r>
                </w:p>
              </w:tc>
              <w:tc>
                <w:tcPr>
                  <w:tcW w:w="500" w:type="pct"/>
                  <w:vAlign w:val="center"/>
                </w:tcPr>
                <w:p>
                  <w:pPr>
                    <w:pStyle w:val="110"/>
                    <w:rPr>
                      <w:rFonts w:cs="Times New Roman"/>
                    </w:rPr>
                  </w:pPr>
                  <w:r>
                    <w:rPr>
                      <w:rFonts w:cs="Times New Roman"/>
                    </w:rPr>
                    <w:t>10.3</w:t>
                  </w:r>
                </w:p>
              </w:tc>
              <w:tc>
                <w:tcPr>
                  <w:tcW w:w="464" w:type="pct"/>
                  <w:vAlign w:val="center"/>
                </w:tcPr>
                <w:p>
                  <w:pPr>
                    <w:pStyle w:val="110"/>
                    <w:rPr>
                      <w:rFonts w:cs="Times New Roman"/>
                    </w:rPr>
                  </w:pPr>
                  <w:r>
                    <w:rPr>
                      <w:rFonts w:cs="Times New Roman"/>
                    </w:rPr>
                    <w:t>1.32</w:t>
                  </w:r>
                </w:p>
              </w:tc>
              <w:tc>
                <w:tcPr>
                  <w:tcW w:w="531" w:type="pct"/>
                  <w:vAlign w:val="center"/>
                </w:tcPr>
                <w:p>
                  <w:pPr>
                    <w:pStyle w:val="110"/>
                    <w:rPr>
                      <w:rFonts w:cs="Times New Roman"/>
                    </w:rPr>
                  </w:pPr>
                  <w:r>
                    <w:rPr>
                      <w:rFonts w:cs="Times New Roman"/>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988" w:type="pct"/>
                  <w:gridSpan w:val="2"/>
                  <w:vMerge w:val="continue"/>
                  <w:vAlign w:val="center"/>
                </w:tcPr>
                <w:p>
                  <w:pPr>
                    <w:pStyle w:val="110"/>
                    <w:rPr>
                      <w:rFonts w:cs="Times New Roman"/>
                      <w:highlight w:val="yellow"/>
                    </w:rPr>
                  </w:pPr>
                </w:p>
              </w:tc>
              <w:tc>
                <w:tcPr>
                  <w:tcW w:w="455" w:type="pct"/>
                  <w:vAlign w:val="center"/>
                </w:tcPr>
                <w:p>
                  <w:pPr>
                    <w:pStyle w:val="110"/>
                    <w:rPr>
                      <w:rFonts w:cs="Times New Roman"/>
                    </w:rPr>
                  </w:pPr>
                  <w:r>
                    <w:rPr>
                      <w:rFonts w:cs="Times New Roman"/>
                    </w:rPr>
                    <w:t>16:34</w:t>
                  </w:r>
                </w:p>
              </w:tc>
              <w:tc>
                <w:tcPr>
                  <w:tcW w:w="1061" w:type="pct"/>
                  <w:vAlign w:val="center"/>
                </w:tcPr>
                <w:p>
                  <w:pPr>
                    <w:pStyle w:val="110"/>
                    <w:rPr>
                      <w:rFonts w:cs="Times New Roman"/>
                    </w:rPr>
                  </w:pPr>
                  <w:r>
                    <w:rPr>
                      <w:rFonts w:cs="Times New Roman"/>
                    </w:rPr>
                    <w:t>微黄微浊无浮油</w:t>
                  </w:r>
                </w:p>
              </w:tc>
              <w:tc>
                <w:tcPr>
                  <w:tcW w:w="497" w:type="pct"/>
                  <w:vAlign w:val="center"/>
                </w:tcPr>
                <w:p>
                  <w:pPr>
                    <w:pStyle w:val="110"/>
                    <w:rPr>
                      <w:rFonts w:cs="Times New Roman"/>
                    </w:rPr>
                  </w:pPr>
                  <w:r>
                    <w:rPr>
                      <w:rFonts w:cs="Times New Roman"/>
                    </w:rPr>
                    <w:t>8.35</w:t>
                  </w:r>
                </w:p>
              </w:tc>
              <w:tc>
                <w:tcPr>
                  <w:tcW w:w="500" w:type="pct"/>
                  <w:vAlign w:val="center"/>
                </w:tcPr>
                <w:p>
                  <w:pPr>
                    <w:pStyle w:val="110"/>
                    <w:rPr>
                      <w:rFonts w:cs="Times New Roman"/>
                    </w:rPr>
                  </w:pPr>
                  <w:r>
                    <w:rPr>
                      <w:rFonts w:cs="Times New Roman"/>
                    </w:rPr>
                    <w:t>32</w:t>
                  </w:r>
                </w:p>
              </w:tc>
              <w:tc>
                <w:tcPr>
                  <w:tcW w:w="500" w:type="pct"/>
                  <w:vAlign w:val="center"/>
                </w:tcPr>
                <w:p>
                  <w:pPr>
                    <w:pStyle w:val="110"/>
                    <w:rPr>
                      <w:rFonts w:cs="Times New Roman"/>
                    </w:rPr>
                  </w:pPr>
                  <w:r>
                    <w:rPr>
                      <w:rFonts w:cs="Times New Roman"/>
                    </w:rPr>
                    <w:t>8.42</w:t>
                  </w:r>
                </w:p>
              </w:tc>
              <w:tc>
                <w:tcPr>
                  <w:tcW w:w="464" w:type="pct"/>
                  <w:vAlign w:val="center"/>
                </w:tcPr>
                <w:p>
                  <w:pPr>
                    <w:pStyle w:val="110"/>
                    <w:rPr>
                      <w:rFonts w:cs="Times New Roman"/>
                    </w:rPr>
                  </w:pPr>
                  <w:r>
                    <w:rPr>
                      <w:rFonts w:cs="Times New Roman"/>
                    </w:rPr>
                    <w:t>2.67</w:t>
                  </w:r>
                </w:p>
              </w:tc>
              <w:tc>
                <w:tcPr>
                  <w:tcW w:w="531" w:type="pct"/>
                  <w:vAlign w:val="center"/>
                </w:tcPr>
                <w:p>
                  <w:pPr>
                    <w:pStyle w:val="110"/>
                    <w:rPr>
                      <w:rFonts w:cs="Times New Roman"/>
                    </w:rPr>
                  </w:pPr>
                  <w:r>
                    <w:rPr>
                      <w:rFonts w:cs="Times New Roman"/>
                    </w:rPr>
                    <w:t>63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8" w:type="pct"/>
                  <w:gridSpan w:val="2"/>
                  <w:vMerge w:val="continue"/>
                  <w:vAlign w:val="center"/>
                </w:tcPr>
                <w:p>
                  <w:pPr>
                    <w:pStyle w:val="110"/>
                    <w:rPr>
                      <w:rFonts w:cs="Times New Roman"/>
                      <w:highlight w:val="yellow"/>
                    </w:rPr>
                  </w:pPr>
                </w:p>
              </w:tc>
              <w:tc>
                <w:tcPr>
                  <w:tcW w:w="455" w:type="pct"/>
                  <w:vAlign w:val="center"/>
                </w:tcPr>
                <w:p>
                  <w:pPr>
                    <w:pStyle w:val="110"/>
                    <w:rPr>
                      <w:rFonts w:cs="Times New Roman"/>
                    </w:rPr>
                  </w:pPr>
                  <w:r>
                    <w:rPr>
                      <w:rFonts w:cs="Times New Roman"/>
                    </w:rPr>
                    <w:t>17:36</w:t>
                  </w:r>
                </w:p>
              </w:tc>
              <w:tc>
                <w:tcPr>
                  <w:tcW w:w="1061" w:type="pct"/>
                  <w:vAlign w:val="center"/>
                </w:tcPr>
                <w:p>
                  <w:pPr>
                    <w:pStyle w:val="110"/>
                    <w:rPr>
                      <w:rFonts w:cs="Times New Roman"/>
                    </w:rPr>
                  </w:pPr>
                  <w:r>
                    <w:rPr>
                      <w:rFonts w:cs="Times New Roman"/>
                    </w:rPr>
                    <w:t>微黄微浊无浮油</w:t>
                  </w:r>
                </w:p>
              </w:tc>
              <w:tc>
                <w:tcPr>
                  <w:tcW w:w="497" w:type="pct"/>
                  <w:vAlign w:val="center"/>
                </w:tcPr>
                <w:p>
                  <w:pPr>
                    <w:pStyle w:val="110"/>
                    <w:rPr>
                      <w:rFonts w:cs="Times New Roman"/>
                    </w:rPr>
                  </w:pPr>
                  <w:r>
                    <w:rPr>
                      <w:rFonts w:cs="Times New Roman"/>
                    </w:rPr>
                    <w:t>8.32</w:t>
                  </w:r>
                </w:p>
              </w:tc>
              <w:tc>
                <w:tcPr>
                  <w:tcW w:w="500" w:type="pct"/>
                  <w:vAlign w:val="center"/>
                </w:tcPr>
                <w:p>
                  <w:pPr>
                    <w:pStyle w:val="110"/>
                    <w:rPr>
                      <w:rFonts w:cs="Times New Roman"/>
                    </w:rPr>
                  </w:pPr>
                  <w:r>
                    <w:rPr>
                      <w:rFonts w:cs="Times New Roman"/>
                    </w:rPr>
                    <w:t>182</w:t>
                  </w:r>
                </w:p>
              </w:tc>
              <w:tc>
                <w:tcPr>
                  <w:tcW w:w="500" w:type="pct"/>
                  <w:vAlign w:val="center"/>
                </w:tcPr>
                <w:p>
                  <w:pPr>
                    <w:pStyle w:val="110"/>
                    <w:rPr>
                      <w:rFonts w:cs="Times New Roman"/>
                    </w:rPr>
                  </w:pPr>
                  <w:r>
                    <w:rPr>
                      <w:rFonts w:cs="Times New Roman"/>
                    </w:rPr>
                    <w:t>4.95</w:t>
                  </w:r>
                </w:p>
              </w:tc>
              <w:tc>
                <w:tcPr>
                  <w:tcW w:w="464" w:type="pct"/>
                  <w:vAlign w:val="center"/>
                </w:tcPr>
                <w:p>
                  <w:pPr>
                    <w:pStyle w:val="110"/>
                    <w:rPr>
                      <w:rFonts w:cs="Times New Roman"/>
                    </w:rPr>
                  </w:pPr>
                  <w:r>
                    <w:rPr>
                      <w:rFonts w:cs="Times New Roman"/>
                    </w:rPr>
                    <w:t>2.40</w:t>
                  </w:r>
                </w:p>
              </w:tc>
              <w:tc>
                <w:tcPr>
                  <w:tcW w:w="531" w:type="pct"/>
                  <w:vAlign w:val="center"/>
                </w:tcPr>
                <w:p>
                  <w:pPr>
                    <w:pStyle w:val="110"/>
                    <w:rPr>
                      <w:rFonts w:cs="Times New Roman"/>
                    </w:rPr>
                  </w:pPr>
                  <w:r>
                    <w:rPr>
                      <w:rFonts w:cs="Times New Roman"/>
                    </w:rPr>
                    <w:t>42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05" w:type="pct"/>
                  <w:gridSpan w:val="4"/>
                  <w:vAlign w:val="center"/>
                </w:tcPr>
                <w:p>
                  <w:pPr>
                    <w:pStyle w:val="110"/>
                    <w:rPr>
                      <w:rFonts w:cs="Times New Roman"/>
                    </w:rPr>
                  </w:pPr>
                  <w:r>
                    <w:rPr>
                      <w:rFonts w:cs="Times New Roman"/>
                    </w:rPr>
                    <w:t>平均值</w:t>
                  </w:r>
                </w:p>
              </w:tc>
              <w:tc>
                <w:tcPr>
                  <w:tcW w:w="497" w:type="pct"/>
                  <w:vAlign w:val="center"/>
                </w:tcPr>
                <w:p>
                  <w:pPr>
                    <w:pStyle w:val="110"/>
                    <w:rPr>
                      <w:rFonts w:eastAsia="宋体" w:cs="Times New Roman"/>
                      <w:kern w:val="2"/>
                    </w:rPr>
                  </w:pPr>
                  <w:r>
                    <w:rPr>
                      <w:rFonts w:cs="Times New Roman"/>
                    </w:rPr>
                    <w:t>/</w:t>
                  </w:r>
                </w:p>
              </w:tc>
              <w:tc>
                <w:tcPr>
                  <w:tcW w:w="500" w:type="pct"/>
                  <w:vAlign w:val="center"/>
                </w:tcPr>
                <w:p>
                  <w:pPr>
                    <w:pStyle w:val="110"/>
                    <w:rPr>
                      <w:rFonts w:cs="Times New Roman"/>
                    </w:rPr>
                  </w:pPr>
                  <w:r>
                    <w:rPr>
                      <w:rFonts w:cs="Times New Roman"/>
                    </w:rPr>
                    <w:t>76</w:t>
                  </w:r>
                </w:p>
              </w:tc>
              <w:tc>
                <w:tcPr>
                  <w:tcW w:w="500" w:type="pct"/>
                  <w:vAlign w:val="center"/>
                </w:tcPr>
                <w:p>
                  <w:pPr>
                    <w:pStyle w:val="110"/>
                    <w:rPr>
                      <w:rFonts w:cs="Times New Roman"/>
                    </w:rPr>
                  </w:pPr>
                  <w:r>
                    <w:rPr>
                      <w:rFonts w:cs="Times New Roman"/>
                    </w:rPr>
                    <w:t>7.24</w:t>
                  </w:r>
                </w:p>
              </w:tc>
              <w:tc>
                <w:tcPr>
                  <w:tcW w:w="464" w:type="pct"/>
                  <w:vAlign w:val="center"/>
                </w:tcPr>
                <w:p>
                  <w:pPr>
                    <w:pStyle w:val="110"/>
                    <w:rPr>
                      <w:rFonts w:cs="Times New Roman"/>
                    </w:rPr>
                  </w:pPr>
                  <w:r>
                    <w:rPr>
                      <w:rFonts w:cs="Times New Roman"/>
                    </w:rPr>
                    <w:t>1.82</w:t>
                  </w:r>
                </w:p>
              </w:tc>
              <w:tc>
                <w:tcPr>
                  <w:tcW w:w="531" w:type="pct"/>
                  <w:vAlign w:val="center"/>
                </w:tcPr>
                <w:p>
                  <w:pPr>
                    <w:pStyle w:val="110"/>
                    <w:rPr>
                      <w:rFonts w:cs="Times New Roman"/>
                    </w:rPr>
                  </w:pPr>
                  <w:r>
                    <w:rPr>
                      <w:rFonts w:cs="Times New Roman"/>
                    </w:rPr>
                    <w:t>51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05" w:type="pct"/>
                  <w:gridSpan w:val="4"/>
                  <w:tcBorders>
                    <w:bottom w:val="single" w:color="auto" w:sz="12" w:space="0"/>
                  </w:tcBorders>
                  <w:vAlign w:val="center"/>
                </w:tcPr>
                <w:p>
                  <w:pPr>
                    <w:pStyle w:val="110"/>
                    <w:rPr>
                      <w:rFonts w:cs="Times New Roman"/>
                    </w:rPr>
                  </w:pPr>
                  <w:r>
                    <w:rPr>
                      <w:rFonts w:cs="Times New Roman"/>
                    </w:rPr>
                    <w:t>最高允许排放浓度/限值</w:t>
                  </w:r>
                </w:p>
              </w:tc>
              <w:tc>
                <w:tcPr>
                  <w:tcW w:w="497" w:type="pct"/>
                  <w:tcBorders>
                    <w:bottom w:val="single" w:color="auto" w:sz="12" w:space="0"/>
                  </w:tcBorders>
                  <w:vAlign w:val="center"/>
                </w:tcPr>
                <w:p>
                  <w:pPr>
                    <w:pStyle w:val="110"/>
                    <w:rPr>
                      <w:rFonts w:cs="Times New Roman"/>
                      <w:kern w:val="2"/>
                    </w:rPr>
                  </w:pPr>
                  <w:r>
                    <w:rPr>
                      <w:rFonts w:cs="Times New Roman"/>
                    </w:rPr>
                    <w:t>6～9</w:t>
                  </w:r>
                </w:p>
              </w:tc>
              <w:tc>
                <w:tcPr>
                  <w:tcW w:w="500" w:type="pct"/>
                  <w:tcBorders>
                    <w:bottom w:val="single" w:color="auto" w:sz="12" w:space="0"/>
                  </w:tcBorders>
                  <w:vAlign w:val="center"/>
                </w:tcPr>
                <w:p>
                  <w:pPr>
                    <w:pStyle w:val="110"/>
                    <w:rPr>
                      <w:rFonts w:cs="Times New Roman"/>
                    </w:rPr>
                  </w:pPr>
                  <w:r>
                    <w:rPr>
                      <w:rFonts w:cs="Times New Roman"/>
                    </w:rPr>
                    <w:t>400</w:t>
                  </w:r>
                </w:p>
              </w:tc>
              <w:tc>
                <w:tcPr>
                  <w:tcW w:w="500" w:type="pct"/>
                  <w:tcBorders>
                    <w:bottom w:val="single" w:color="auto" w:sz="12" w:space="0"/>
                  </w:tcBorders>
                  <w:vAlign w:val="center"/>
                </w:tcPr>
                <w:p>
                  <w:pPr>
                    <w:pStyle w:val="110"/>
                    <w:rPr>
                      <w:rFonts w:cs="Times New Roman"/>
                    </w:rPr>
                  </w:pPr>
                  <w:r>
                    <w:rPr>
                      <w:rFonts w:cs="Times New Roman"/>
                    </w:rPr>
                    <w:t>45</w:t>
                  </w:r>
                </w:p>
              </w:tc>
              <w:tc>
                <w:tcPr>
                  <w:tcW w:w="464" w:type="pct"/>
                  <w:tcBorders>
                    <w:bottom w:val="single" w:color="auto" w:sz="12" w:space="0"/>
                  </w:tcBorders>
                  <w:vAlign w:val="center"/>
                </w:tcPr>
                <w:p>
                  <w:pPr>
                    <w:pStyle w:val="110"/>
                    <w:rPr>
                      <w:rFonts w:cs="Times New Roman"/>
                    </w:rPr>
                  </w:pPr>
                  <w:r>
                    <w:rPr>
                      <w:rFonts w:cs="Times New Roman"/>
                    </w:rPr>
                    <w:t>8</w:t>
                  </w:r>
                </w:p>
              </w:tc>
              <w:tc>
                <w:tcPr>
                  <w:tcW w:w="531" w:type="pct"/>
                  <w:tcBorders>
                    <w:bottom w:val="single" w:color="auto" w:sz="12" w:space="0"/>
                  </w:tcBorders>
                  <w:vAlign w:val="center"/>
                </w:tcPr>
                <w:p>
                  <w:pPr>
                    <w:pStyle w:val="110"/>
                    <w:rPr>
                      <w:rFonts w:cs="Times New Roman"/>
                    </w:rPr>
                  </w:pPr>
                  <w:r>
                    <w:rPr>
                      <w:rFonts w:cs="Times New Roman"/>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05" w:type="pct"/>
                  <w:gridSpan w:val="4"/>
                  <w:tcBorders>
                    <w:bottom w:val="single" w:color="auto" w:sz="12" w:space="0"/>
                  </w:tcBorders>
                  <w:vAlign w:val="center"/>
                </w:tcPr>
                <w:p>
                  <w:pPr>
                    <w:pStyle w:val="110"/>
                    <w:rPr>
                      <w:rFonts w:cs="Times New Roman"/>
                    </w:rPr>
                  </w:pPr>
                  <w:r>
                    <w:rPr>
                      <w:rFonts w:cs="Times New Roman"/>
                    </w:rPr>
                    <w:t>评价</w:t>
                  </w:r>
                </w:p>
              </w:tc>
              <w:tc>
                <w:tcPr>
                  <w:tcW w:w="497" w:type="pct"/>
                  <w:tcBorders>
                    <w:bottom w:val="single" w:color="auto" w:sz="12" w:space="0"/>
                  </w:tcBorders>
                  <w:vAlign w:val="center"/>
                </w:tcPr>
                <w:p>
                  <w:pPr>
                    <w:pStyle w:val="110"/>
                    <w:rPr>
                      <w:rFonts w:cs="Times New Roman"/>
                    </w:rPr>
                  </w:pPr>
                  <w:r>
                    <w:rPr>
                      <w:rFonts w:cs="Times New Roman"/>
                    </w:rPr>
                    <w:t>达标</w:t>
                  </w:r>
                </w:p>
              </w:tc>
              <w:tc>
                <w:tcPr>
                  <w:tcW w:w="500" w:type="pct"/>
                  <w:tcBorders>
                    <w:bottom w:val="single" w:color="auto" w:sz="12" w:space="0"/>
                  </w:tcBorders>
                  <w:vAlign w:val="center"/>
                </w:tcPr>
                <w:p>
                  <w:pPr>
                    <w:pStyle w:val="110"/>
                    <w:rPr>
                      <w:rFonts w:cs="Times New Roman"/>
                    </w:rPr>
                  </w:pPr>
                  <w:r>
                    <w:rPr>
                      <w:rFonts w:cs="Times New Roman"/>
                    </w:rPr>
                    <w:t>达标</w:t>
                  </w:r>
                </w:p>
              </w:tc>
              <w:tc>
                <w:tcPr>
                  <w:tcW w:w="500" w:type="pct"/>
                  <w:tcBorders>
                    <w:bottom w:val="single" w:color="auto" w:sz="12" w:space="0"/>
                  </w:tcBorders>
                  <w:vAlign w:val="center"/>
                </w:tcPr>
                <w:p>
                  <w:pPr>
                    <w:pStyle w:val="110"/>
                    <w:rPr>
                      <w:rFonts w:cs="Times New Roman"/>
                    </w:rPr>
                  </w:pPr>
                  <w:r>
                    <w:rPr>
                      <w:rFonts w:cs="Times New Roman"/>
                    </w:rPr>
                    <w:t>达标</w:t>
                  </w:r>
                </w:p>
              </w:tc>
              <w:tc>
                <w:tcPr>
                  <w:tcW w:w="464" w:type="pct"/>
                  <w:tcBorders>
                    <w:bottom w:val="single" w:color="auto" w:sz="12" w:space="0"/>
                  </w:tcBorders>
                  <w:vAlign w:val="center"/>
                </w:tcPr>
                <w:p>
                  <w:pPr>
                    <w:pStyle w:val="110"/>
                    <w:rPr>
                      <w:rFonts w:cs="Times New Roman"/>
                    </w:rPr>
                  </w:pPr>
                  <w:r>
                    <w:rPr>
                      <w:rFonts w:cs="Times New Roman"/>
                    </w:rPr>
                    <w:t>达标</w:t>
                  </w:r>
                </w:p>
              </w:tc>
              <w:tc>
                <w:tcPr>
                  <w:tcW w:w="531" w:type="pct"/>
                  <w:tcBorders>
                    <w:bottom w:val="single" w:color="auto" w:sz="12" w:space="0"/>
                  </w:tcBorders>
                  <w:vAlign w:val="center"/>
                </w:tcPr>
                <w:p>
                  <w:pPr>
                    <w:pStyle w:val="110"/>
                    <w:rPr>
                      <w:rFonts w:cs="Times New Roman"/>
                    </w:rPr>
                  </w:pPr>
                  <w:r>
                    <w:rPr>
                      <w:rFonts w:cs="Times New Roma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988" w:type="pct"/>
                  <w:gridSpan w:val="2"/>
                  <w:vMerge w:val="restart"/>
                  <w:tcBorders>
                    <w:top w:val="single" w:color="auto" w:sz="12" w:space="0"/>
                    <w:bottom w:val="single" w:color="auto" w:sz="4" w:space="0"/>
                  </w:tcBorders>
                  <w:vAlign w:val="center"/>
                </w:tcPr>
                <w:p>
                  <w:pPr>
                    <w:pStyle w:val="110"/>
                    <w:rPr>
                      <w:rFonts w:cs="Times New Roman"/>
                      <w:b/>
                      <w:bCs/>
                    </w:rPr>
                  </w:pPr>
                  <w:r>
                    <w:rPr>
                      <w:rFonts w:cs="Times New Roman"/>
                      <w:b/>
                      <w:bCs/>
                    </w:rPr>
                    <w:t>采样</w:t>
                  </w:r>
                </w:p>
                <w:p>
                  <w:pPr>
                    <w:pStyle w:val="110"/>
                    <w:rPr>
                      <w:rFonts w:cs="Times New Roman"/>
                      <w:b/>
                      <w:bCs/>
                    </w:rPr>
                  </w:pPr>
                  <w:r>
                    <w:rPr>
                      <w:rFonts w:cs="Times New Roman"/>
                      <w:b/>
                      <w:bCs/>
                    </w:rPr>
                    <w:t>地点</w:t>
                  </w:r>
                </w:p>
              </w:tc>
              <w:tc>
                <w:tcPr>
                  <w:tcW w:w="455" w:type="pct"/>
                  <w:vMerge w:val="restart"/>
                  <w:tcBorders>
                    <w:top w:val="single" w:color="auto" w:sz="12" w:space="0"/>
                    <w:bottom w:val="single" w:color="auto" w:sz="4" w:space="0"/>
                  </w:tcBorders>
                  <w:vAlign w:val="center"/>
                </w:tcPr>
                <w:p>
                  <w:pPr>
                    <w:pStyle w:val="110"/>
                    <w:rPr>
                      <w:rFonts w:cs="Times New Roman"/>
                      <w:b/>
                      <w:bCs/>
                    </w:rPr>
                  </w:pPr>
                  <w:r>
                    <w:rPr>
                      <w:rFonts w:cs="Times New Roman"/>
                      <w:b/>
                      <w:bCs/>
                    </w:rPr>
                    <w:t>采样</w:t>
                  </w:r>
                </w:p>
                <w:p>
                  <w:pPr>
                    <w:pStyle w:val="110"/>
                    <w:rPr>
                      <w:rFonts w:cs="Times New Roman"/>
                      <w:b/>
                      <w:bCs/>
                    </w:rPr>
                  </w:pPr>
                  <w:r>
                    <w:rPr>
                      <w:rFonts w:cs="Times New Roman"/>
                      <w:b/>
                      <w:bCs/>
                    </w:rPr>
                    <w:t>时间</w:t>
                  </w:r>
                </w:p>
              </w:tc>
              <w:tc>
                <w:tcPr>
                  <w:tcW w:w="1061" w:type="pct"/>
                  <w:vMerge w:val="restart"/>
                  <w:tcBorders>
                    <w:top w:val="single" w:color="auto" w:sz="12" w:space="0"/>
                    <w:bottom w:val="single" w:color="auto" w:sz="4" w:space="0"/>
                  </w:tcBorders>
                  <w:vAlign w:val="center"/>
                </w:tcPr>
                <w:p>
                  <w:pPr>
                    <w:pStyle w:val="110"/>
                    <w:rPr>
                      <w:rFonts w:cs="Times New Roman"/>
                      <w:b/>
                      <w:bCs/>
                    </w:rPr>
                  </w:pPr>
                  <w:r>
                    <w:rPr>
                      <w:rFonts w:cs="Times New Roman"/>
                      <w:b/>
                      <w:bCs/>
                    </w:rPr>
                    <w:t>样品状态</w:t>
                  </w:r>
                </w:p>
              </w:tc>
              <w:tc>
                <w:tcPr>
                  <w:tcW w:w="2494" w:type="pct"/>
                  <w:gridSpan w:val="5"/>
                  <w:tcBorders>
                    <w:top w:val="single" w:color="auto" w:sz="12" w:space="0"/>
                    <w:bottom w:val="single" w:color="auto" w:sz="4" w:space="0"/>
                  </w:tcBorders>
                  <w:vAlign w:val="center"/>
                </w:tcPr>
                <w:p>
                  <w:pPr>
                    <w:pStyle w:val="110"/>
                    <w:rPr>
                      <w:rFonts w:cs="Times New Roman"/>
                      <w:b/>
                      <w:bCs/>
                    </w:rPr>
                  </w:pPr>
                  <w:r>
                    <w:rPr>
                      <w:rFonts w:cs="Times New Roman"/>
                      <w:b/>
                      <w:bCs/>
                    </w:rPr>
                    <w:t>检测项目（mg/L）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88" w:type="pct"/>
                  <w:gridSpan w:val="2"/>
                  <w:vMerge w:val="continue"/>
                  <w:tcBorders>
                    <w:top w:val="single" w:color="auto" w:sz="4" w:space="0"/>
                    <w:bottom w:val="single" w:color="auto" w:sz="12" w:space="0"/>
                  </w:tcBorders>
                  <w:vAlign w:val="center"/>
                </w:tcPr>
                <w:p>
                  <w:pPr>
                    <w:pStyle w:val="110"/>
                    <w:rPr>
                      <w:rFonts w:cs="Times New Roman"/>
                      <w:b/>
                      <w:bCs/>
                    </w:rPr>
                  </w:pPr>
                </w:p>
              </w:tc>
              <w:tc>
                <w:tcPr>
                  <w:tcW w:w="455" w:type="pct"/>
                  <w:vMerge w:val="continue"/>
                  <w:tcBorders>
                    <w:top w:val="single" w:color="auto" w:sz="4" w:space="0"/>
                    <w:bottom w:val="single" w:color="auto" w:sz="12" w:space="0"/>
                  </w:tcBorders>
                  <w:vAlign w:val="center"/>
                </w:tcPr>
                <w:p>
                  <w:pPr>
                    <w:pStyle w:val="110"/>
                    <w:rPr>
                      <w:rFonts w:cs="Times New Roman"/>
                      <w:b/>
                      <w:bCs/>
                    </w:rPr>
                  </w:pPr>
                </w:p>
              </w:tc>
              <w:tc>
                <w:tcPr>
                  <w:tcW w:w="1061" w:type="pct"/>
                  <w:vMerge w:val="continue"/>
                  <w:tcBorders>
                    <w:top w:val="single" w:color="auto" w:sz="4" w:space="0"/>
                    <w:bottom w:val="single" w:color="auto" w:sz="12" w:space="0"/>
                  </w:tcBorders>
                  <w:vAlign w:val="center"/>
                </w:tcPr>
                <w:p>
                  <w:pPr>
                    <w:pStyle w:val="110"/>
                    <w:rPr>
                      <w:rFonts w:cs="Times New Roman"/>
                      <w:b/>
                      <w:bCs/>
                    </w:rPr>
                  </w:pPr>
                </w:p>
              </w:tc>
              <w:tc>
                <w:tcPr>
                  <w:tcW w:w="497" w:type="pct"/>
                  <w:tcBorders>
                    <w:top w:val="single" w:color="auto" w:sz="4" w:space="0"/>
                    <w:bottom w:val="single" w:color="auto" w:sz="12" w:space="0"/>
                  </w:tcBorders>
                  <w:vAlign w:val="center"/>
                </w:tcPr>
                <w:p>
                  <w:pPr>
                    <w:pStyle w:val="110"/>
                    <w:rPr>
                      <w:rFonts w:cs="Times New Roman"/>
                      <w:b/>
                      <w:bCs/>
                    </w:rPr>
                  </w:pPr>
                  <w:r>
                    <w:rPr>
                      <w:rFonts w:cs="Times New Roman"/>
                      <w:b/>
                      <w:bCs/>
                    </w:rPr>
                    <w:t>pH值</w:t>
                  </w:r>
                </w:p>
              </w:tc>
              <w:tc>
                <w:tcPr>
                  <w:tcW w:w="500" w:type="pct"/>
                  <w:tcBorders>
                    <w:top w:val="single" w:color="auto" w:sz="4" w:space="0"/>
                    <w:bottom w:val="single" w:color="auto" w:sz="12" w:space="0"/>
                  </w:tcBorders>
                  <w:vAlign w:val="center"/>
                </w:tcPr>
                <w:p>
                  <w:pPr>
                    <w:pStyle w:val="110"/>
                    <w:rPr>
                      <w:rFonts w:cs="Times New Roman"/>
                      <w:b/>
                      <w:bCs/>
                    </w:rPr>
                  </w:pPr>
                  <w:r>
                    <w:rPr>
                      <w:rFonts w:cs="Times New Roman"/>
                      <w:b/>
                      <w:bCs/>
                    </w:rPr>
                    <w:t>悬浮物</w:t>
                  </w:r>
                </w:p>
              </w:tc>
              <w:tc>
                <w:tcPr>
                  <w:tcW w:w="500" w:type="pct"/>
                  <w:tcBorders>
                    <w:top w:val="single" w:color="auto" w:sz="4" w:space="0"/>
                    <w:bottom w:val="single" w:color="auto" w:sz="12" w:space="0"/>
                  </w:tcBorders>
                  <w:vAlign w:val="center"/>
                </w:tcPr>
                <w:p>
                  <w:pPr>
                    <w:pStyle w:val="110"/>
                    <w:rPr>
                      <w:rFonts w:cs="Times New Roman"/>
                      <w:b/>
                      <w:bCs/>
                    </w:rPr>
                  </w:pPr>
                  <w:r>
                    <w:rPr>
                      <w:rFonts w:cs="Times New Roman"/>
                      <w:b/>
                      <w:bCs/>
                    </w:rPr>
                    <w:t>氨氮</w:t>
                  </w:r>
                </w:p>
              </w:tc>
              <w:tc>
                <w:tcPr>
                  <w:tcW w:w="464" w:type="pct"/>
                  <w:tcBorders>
                    <w:top w:val="single" w:color="auto" w:sz="4" w:space="0"/>
                    <w:bottom w:val="single" w:color="auto" w:sz="12" w:space="0"/>
                  </w:tcBorders>
                  <w:vAlign w:val="center"/>
                </w:tcPr>
                <w:p>
                  <w:pPr>
                    <w:pStyle w:val="110"/>
                    <w:rPr>
                      <w:rFonts w:cs="Times New Roman"/>
                      <w:b/>
                      <w:bCs/>
                    </w:rPr>
                  </w:pPr>
                  <w:r>
                    <w:rPr>
                      <w:rFonts w:cs="Times New Roman"/>
                      <w:b/>
                      <w:bCs/>
                    </w:rPr>
                    <w:t>总磷</w:t>
                  </w:r>
                </w:p>
              </w:tc>
              <w:tc>
                <w:tcPr>
                  <w:tcW w:w="531" w:type="pct"/>
                  <w:tcBorders>
                    <w:top w:val="single" w:color="auto" w:sz="4" w:space="0"/>
                    <w:bottom w:val="single" w:color="auto" w:sz="12" w:space="0"/>
                  </w:tcBorders>
                  <w:vAlign w:val="center"/>
                </w:tcPr>
                <w:p>
                  <w:pPr>
                    <w:pStyle w:val="110"/>
                    <w:rPr>
                      <w:rFonts w:cs="Times New Roman"/>
                      <w:b/>
                      <w:bCs/>
                    </w:rPr>
                  </w:pPr>
                  <w:r>
                    <w:rPr>
                      <w:rFonts w:cs="Times New Roman"/>
                      <w:b/>
                      <w:bCs/>
                    </w:rPr>
                    <w:t>化学需氧量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8" w:type="pct"/>
                  <w:gridSpan w:val="2"/>
                  <w:vMerge w:val="restart"/>
                  <w:tcBorders>
                    <w:top w:val="single" w:color="auto" w:sz="12" w:space="0"/>
                  </w:tcBorders>
                  <w:vAlign w:val="center"/>
                </w:tcPr>
                <w:p>
                  <w:pPr>
                    <w:pStyle w:val="110"/>
                    <w:rPr>
                      <w:rFonts w:eastAsia="宋体" w:cs="Times New Roman"/>
                      <w:sz w:val="24"/>
                      <w:szCs w:val="24"/>
                    </w:rPr>
                  </w:pPr>
                  <w:r>
                    <w:rPr>
                      <w:rFonts w:cs="Times New Roman"/>
                    </w:rPr>
                    <w:t>污水接管口（2019.07.02）</w:t>
                  </w:r>
                </w:p>
              </w:tc>
              <w:tc>
                <w:tcPr>
                  <w:tcW w:w="455" w:type="pct"/>
                  <w:tcBorders>
                    <w:top w:val="single" w:color="auto" w:sz="12" w:space="0"/>
                  </w:tcBorders>
                  <w:vAlign w:val="center"/>
                </w:tcPr>
                <w:p>
                  <w:pPr>
                    <w:pStyle w:val="110"/>
                    <w:rPr>
                      <w:rFonts w:eastAsia="宋体" w:cs="Times New Roman"/>
                      <w:kern w:val="2"/>
                    </w:rPr>
                  </w:pPr>
                  <w:r>
                    <w:rPr>
                      <w:rFonts w:cs="Times New Roman"/>
                    </w:rPr>
                    <w:t>08:00</w:t>
                  </w:r>
                </w:p>
              </w:tc>
              <w:tc>
                <w:tcPr>
                  <w:tcW w:w="1061" w:type="pct"/>
                  <w:tcBorders>
                    <w:top w:val="single" w:color="auto" w:sz="12" w:space="0"/>
                  </w:tcBorders>
                  <w:vAlign w:val="center"/>
                </w:tcPr>
                <w:p>
                  <w:pPr>
                    <w:pStyle w:val="110"/>
                    <w:rPr>
                      <w:rFonts w:eastAsia="宋体" w:cs="Times New Roman"/>
                      <w:kern w:val="2"/>
                      <w:szCs w:val="24"/>
                    </w:rPr>
                  </w:pPr>
                  <w:r>
                    <w:rPr>
                      <w:rFonts w:cs="Times New Roman"/>
                    </w:rPr>
                    <w:t>微黄微浊无浮油</w:t>
                  </w:r>
                </w:p>
              </w:tc>
              <w:tc>
                <w:tcPr>
                  <w:tcW w:w="497" w:type="pct"/>
                  <w:tcBorders>
                    <w:top w:val="single" w:color="auto" w:sz="12" w:space="0"/>
                  </w:tcBorders>
                  <w:vAlign w:val="center"/>
                </w:tcPr>
                <w:p>
                  <w:pPr>
                    <w:pStyle w:val="110"/>
                    <w:rPr>
                      <w:rFonts w:eastAsia="宋体" w:cs="Times New Roman"/>
                      <w:kern w:val="2"/>
                    </w:rPr>
                  </w:pPr>
                  <w:r>
                    <w:rPr>
                      <w:rFonts w:cs="Times New Roman"/>
                    </w:rPr>
                    <w:t>8.43</w:t>
                  </w:r>
                </w:p>
              </w:tc>
              <w:tc>
                <w:tcPr>
                  <w:tcW w:w="500" w:type="pct"/>
                  <w:tcBorders>
                    <w:top w:val="single" w:color="auto" w:sz="12" w:space="0"/>
                  </w:tcBorders>
                  <w:vAlign w:val="center"/>
                </w:tcPr>
                <w:p>
                  <w:pPr>
                    <w:pStyle w:val="110"/>
                    <w:rPr>
                      <w:rFonts w:cs="Times New Roman"/>
                    </w:rPr>
                  </w:pPr>
                  <w:r>
                    <w:rPr>
                      <w:rFonts w:cs="Times New Roman"/>
                    </w:rPr>
                    <w:t>42</w:t>
                  </w:r>
                </w:p>
              </w:tc>
              <w:tc>
                <w:tcPr>
                  <w:tcW w:w="500" w:type="pct"/>
                  <w:tcBorders>
                    <w:top w:val="single" w:color="auto" w:sz="12" w:space="0"/>
                  </w:tcBorders>
                  <w:vAlign w:val="center"/>
                </w:tcPr>
                <w:p>
                  <w:pPr>
                    <w:pStyle w:val="110"/>
                    <w:rPr>
                      <w:rFonts w:cs="Times New Roman"/>
                    </w:rPr>
                  </w:pPr>
                  <w:r>
                    <w:rPr>
                      <w:rFonts w:cs="Times New Roman"/>
                    </w:rPr>
                    <w:t>5.48</w:t>
                  </w:r>
                </w:p>
              </w:tc>
              <w:tc>
                <w:tcPr>
                  <w:tcW w:w="464" w:type="pct"/>
                  <w:tcBorders>
                    <w:top w:val="single" w:color="auto" w:sz="12" w:space="0"/>
                  </w:tcBorders>
                  <w:vAlign w:val="center"/>
                </w:tcPr>
                <w:p>
                  <w:pPr>
                    <w:pStyle w:val="110"/>
                    <w:rPr>
                      <w:rFonts w:cs="Times New Roman"/>
                    </w:rPr>
                  </w:pPr>
                  <w:r>
                    <w:rPr>
                      <w:rFonts w:cs="Times New Roman"/>
                    </w:rPr>
                    <w:t>0.96</w:t>
                  </w:r>
                </w:p>
              </w:tc>
              <w:tc>
                <w:tcPr>
                  <w:tcW w:w="531" w:type="pct"/>
                  <w:tcBorders>
                    <w:top w:val="single" w:color="auto" w:sz="12" w:space="0"/>
                  </w:tcBorders>
                  <w:vAlign w:val="center"/>
                </w:tcPr>
                <w:p>
                  <w:pPr>
                    <w:pStyle w:val="110"/>
                    <w:rPr>
                      <w:rFonts w:cs="Times New Roman"/>
                    </w:rPr>
                  </w:pPr>
                  <w:r>
                    <w:rPr>
                      <w:rFonts w:cs="Times New Roman"/>
                    </w:rPr>
                    <w:t>31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8" w:type="pct"/>
                  <w:gridSpan w:val="2"/>
                  <w:vMerge w:val="continue"/>
                  <w:vAlign w:val="center"/>
                </w:tcPr>
                <w:p>
                  <w:pPr>
                    <w:pStyle w:val="110"/>
                    <w:rPr>
                      <w:rFonts w:cs="Times New Roman"/>
                      <w:highlight w:val="yellow"/>
                    </w:rPr>
                  </w:pPr>
                </w:p>
              </w:tc>
              <w:tc>
                <w:tcPr>
                  <w:tcW w:w="455" w:type="pct"/>
                  <w:vAlign w:val="center"/>
                </w:tcPr>
                <w:p>
                  <w:pPr>
                    <w:pStyle w:val="110"/>
                    <w:rPr>
                      <w:rFonts w:cs="Times New Roman"/>
                    </w:rPr>
                  </w:pPr>
                  <w:r>
                    <w:rPr>
                      <w:rFonts w:cs="Times New Roman"/>
                    </w:rPr>
                    <w:t>09:02</w:t>
                  </w:r>
                </w:p>
              </w:tc>
              <w:tc>
                <w:tcPr>
                  <w:tcW w:w="1061" w:type="pct"/>
                  <w:vAlign w:val="center"/>
                </w:tcPr>
                <w:p>
                  <w:pPr>
                    <w:pStyle w:val="110"/>
                    <w:rPr>
                      <w:rFonts w:cs="Times New Roman"/>
                    </w:rPr>
                  </w:pPr>
                  <w:r>
                    <w:rPr>
                      <w:rFonts w:cs="Times New Roman"/>
                    </w:rPr>
                    <w:t>微黄微浊无浮油</w:t>
                  </w:r>
                </w:p>
              </w:tc>
              <w:tc>
                <w:tcPr>
                  <w:tcW w:w="497" w:type="pct"/>
                  <w:vAlign w:val="center"/>
                </w:tcPr>
                <w:p>
                  <w:pPr>
                    <w:pStyle w:val="110"/>
                    <w:rPr>
                      <w:rFonts w:cs="Times New Roman"/>
                    </w:rPr>
                  </w:pPr>
                  <w:r>
                    <w:rPr>
                      <w:rFonts w:cs="Times New Roman"/>
                    </w:rPr>
                    <w:t>8.37</w:t>
                  </w:r>
                </w:p>
              </w:tc>
              <w:tc>
                <w:tcPr>
                  <w:tcW w:w="500" w:type="pct"/>
                  <w:vAlign w:val="center"/>
                </w:tcPr>
                <w:p>
                  <w:pPr>
                    <w:pStyle w:val="110"/>
                    <w:rPr>
                      <w:rFonts w:cs="Times New Roman"/>
                    </w:rPr>
                  </w:pPr>
                  <w:r>
                    <w:rPr>
                      <w:rFonts w:cs="Times New Roman"/>
                    </w:rPr>
                    <w:t>44</w:t>
                  </w:r>
                </w:p>
              </w:tc>
              <w:tc>
                <w:tcPr>
                  <w:tcW w:w="500" w:type="pct"/>
                  <w:vAlign w:val="center"/>
                </w:tcPr>
                <w:p>
                  <w:pPr>
                    <w:pStyle w:val="110"/>
                    <w:rPr>
                      <w:rFonts w:cs="Times New Roman"/>
                    </w:rPr>
                  </w:pPr>
                  <w:r>
                    <w:rPr>
                      <w:rFonts w:cs="Times New Roman"/>
                    </w:rPr>
                    <w:t>9.61</w:t>
                  </w:r>
                </w:p>
              </w:tc>
              <w:tc>
                <w:tcPr>
                  <w:tcW w:w="464" w:type="pct"/>
                  <w:vAlign w:val="center"/>
                </w:tcPr>
                <w:p>
                  <w:pPr>
                    <w:pStyle w:val="110"/>
                    <w:rPr>
                      <w:rFonts w:cs="Times New Roman"/>
                    </w:rPr>
                  </w:pPr>
                  <w:r>
                    <w:rPr>
                      <w:rFonts w:cs="Times New Roman"/>
                    </w:rPr>
                    <w:t>1.28</w:t>
                  </w:r>
                </w:p>
              </w:tc>
              <w:tc>
                <w:tcPr>
                  <w:tcW w:w="531" w:type="pct"/>
                  <w:vAlign w:val="center"/>
                </w:tcPr>
                <w:p>
                  <w:pPr>
                    <w:pStyle w:val="110"/>
                    <w:rPr>
                      <w:rFonts w:cs="Times New Roman"/>
                    </w:rPr>
                  </w:pPr>
                  <w:r>
                    <w:rPr>
                      <w:rFonts w:cs="Times New Roman"/>
                    </w:rPr>
                    <w:t>71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8" w:type="pct"/>
                  <w:gridSpan w:val="2"/>
                  <w:vMerge w:val="continue"/>
                  <w:vAlign w:val="center"/>
                </w:tcPr>
                <w:p>
                  <w:pPr>
                    <w:pStyle w:val="110"/>
                    <w:rPr>
                      <w:rFonts w:cs="Times New Roman"/>
                      <w:highlight w:val="yellow"/>
                    </w:rPr>
                  </w:pPr>
                </w:p>
              </w:tc>
              <w:tc>
                <w:tcPr>
                  <w:tcW w:w="455" w:type="pct"/>
                  <w:vAlign w:val="center"/>
                </w:tcPr>
                <w:p>
                  <w:pPr>
                    <w:pStyle w:val="110"/>
                    <w:rPr>
                      <w:rFonts w:cs="Times New Roman"/>
                    </w:rPr>
                  </w:pPr>
                  <w:r>
                    <w:rPr>
                      <w:rFonts w:cs="Times New Roman"/>
                    </w:rPr>
                    <w:t>10:04</w:t>
                  </w:r>
                </w:p>
              </w:tc>
              <w:tc>
                <w:tcPr>
                  <w:tcW w:w="1061" w:type="pct"/>
                  <w:vAlign w:val="center"/>
                </w:tcPr>
                <w:p>
                  <w:pPr>
                    <w:pStyle w:val="110"/>
                    <w:rPr>
                      <w:rFonts w:cs="Times New Roman"/>
                    </w:rPr>
                  </w:pPr>
                  <w:r>
                    <w:rPr>
                      <w:rFonts w:cs="Times New Roman"/>
                    </w:rPr>
                    <w:t>微黄微浊无浮油</w:t>
                  </w:r>
                </w:p>
              </w:tc>
              <w:tc>
                <w:tcPr>
                  <w:tcW w:w="497" w:type="pct"/>
                  <w:vAlign w:val="center"/>
                </w:tcPr>
                <w:p>
                  <w:pPr>
                    <w:pStyle w:val="110"/>
                    <w:rPr>
                      <w:rFonts w:cs="Times New Roman"/>
                    </w:rPr>
                  </w:pPr>
                  <w:r>
                    <w:rPr>
                      <w:rFonts w:cs="Times New Roman"/>
                    </w:rPr>
                    <w:t>8.29</w:t>
                  </w:r>
                </w:p>
              </w:tc>
              <w:tc>
                <w:tcPr>
                  <w:tcW w:w="500" w:type="pct"/>
                  <w:vAlign w:val="center"/>
                </w:tcPr>
                <w:p>
                  <w:pPr>
                    <w:pStyle w:val="110"/>
                    <w:rPr>
                      <w:rFonts w:cs="Times New Roman"/>
                    </w:rPr>
                  </w:pPr>
                  <w:r>
                    <w:rPr>
                      <w:rFonts w:cs="Times New Roman"/>
                    </w:rPr>
                    <w:t>34</w:t>
                  </w:r>
                </w:p>
              </w:tc>
              <w:tc>
                <w:tcPr>
                  <w:tcW w:w="500" w:type="pct"/>
                  <w:vAlign w:val="center"/>
                </w:tcPr>
                <w:p>
                  <w:pPr>
                    <w:pStyle w:val="110"/>
                    <w:rPr>
                      <w:rFonts w:cs="Times New Roman"/>
                    </w:rPr>
                  </w:pPr>
                  <w:r>
                    <w:rPr>
                      <w:rFonts w:cs="Times New Roman"/>
                    </w:rPr>
                    <w:t>8.32</w:t>
                  </w:r>
                </w:p>
              </w:tc>
              <w:tc>
                <w:tcPr>
                  <w:tcW w:w="464" w:type="pct"/>
                  <w:vAlign w:val="center"/>
                </w:tcPr>
                <w:p>
                  <w:pPr>
                    <w:pStyle w:val="110"/>
                    <w:rPr>
                      <w:rFonts w:cs="Times New Roman"/>
                    </w:rPr>
                  </w:pPr>
                  <w:r>
                    <w:rPr>
                      <w:rFonts w:cs="Times New Roman"/>
                    </w:rPr>
                    <w:t>2.51</w:t>
                  </w:r>
                </w:p>
              </w:tc>
              <w:tc>
                <w:tcPr>
                  <w:tcW w:w="531" w:type="pct"/>
                  <w:vAlign w:val="center"/>
                </w:tcPr>
                <w:p>
                  <w:pPr>
                    <w:pStyle w:val="110"/>
                    <w:rPr>
                      <w:rFonts w:cs="Times New Roman"/>
                    </w:rPr>
                  </w:pPr>
                  <w:r>
                    <w:rPr>
                      <w:rFonts w:cs="Times New Roman"/>
                    </w:rP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8" w:type="pct"/>
                  <w:gridSpan w:val="2"/>
                  <w:vMerge w:val="continue"/>
                  <w:vAlign w:val="center"/>
                </w:tcPr>
                <w:p>
                  <w:pPr>
                    <w:widowControl/>
                    <w:autoSpaceDE w:val="0"/>
                    <w:autoSpaceDN w:val="0"/>
                    <w:adjustRightInd w:val="0"/>
                    <w:snapToGrid w:val="0"/>
                    <w:ind w:firstLine="560"/>
                    <w:jc w:val="center"/>
                    <w:rPr>
                      <w:rFonts w:cs="Times New Roman"/>
                      <w:szCs w:val="21"/>
                      <w:highlight w:val="yellow"/>
                    </w:rPr>
                  </w:pPr>
                </w:p>
              </w:tc>
              <w:tc>
                <w:tcPr>
                  <w:tcW w:w="455" w:type="pct"/>
                  <w:vAlign w:val="center"/>
                </w:tcPr>
                <w:p>
                  <w:pPr>
                    <w:pStyle w:val="110"/>
                    <w:rPr>
                      <w:rFonts w:cs="Times New Roman"/>
                    </w:rPr>
                  </w:pPr>
                  <w:r>
                    <w:rPr>
                      <w:rFonts w:cs="Times New Roman"/>
                    </w:rPr>
                    <w:t>11:06</w:t>
                  </w:r>
                </w:p>
              </w:tc>
              <w:tc>
                <w:tcPr>
                  <w:tcW w:w="1061" w:type="pct"/>
                  <w:vAlign w:val="center"/>
                </w:tcPr>
                <w:p>
                  <w:pPr>
                    <w:pStyle w:val="110"/>
                    <w:rPr>
                      <w:rFonts w:cs="Times New Roman"/>
                    </w:rPr>
                  </w:pPr>
                  <w:r>
                    <w:rPr>
                      <w:rFonts w:cs="Times New Roman"/>
                    </w:rPr>
                    <w:t>微黄微浊无浮油</w:t>
                  </w:r>
                </w:p>
              </w:tc>
              <w:tc>
                <w:tcPr>
                  <w:tcW w:w="497" w:type="pct"/>
                  <w:vAlign w:val="center"/>
                </w:tcPr>
                <w:p>
                  <w:pPr>
                    <w:pStyle w:val="110"/>
                    <w:rPr>
                      <w:rFonts w:cs="Times New Roman"/>
                    </w:rPr>
                  </w:pPr>
                  <w:r>
                    <w:rPr>
                      <w:rFonts w:cs="Times New Roman"/>
                    </w:rPr>
                    <w:t>8.22</w:t>
                  </w:r>
                </w:p>
              </w:tc>
              <w:tc>
                <w:tcPr>
                  <w:tcW w:w="500" w:type="pct"/>
                  <w:vAlign w:val="center"/>
                </w:tcPr>
                <w:p>
                  <w:pPr>
                    <w:pStyle w:val="110"/>
                    <w:rPr>
                      <w:rFonts w:cs="Times New Roman"/>
                    </w:rPr>
                  </w:pPr>
                  <w:r>
                    <w:rPr>
                      <w:rFonts w:cs="Times New Roman"/>
                    </w:rPr>
                    <w:t>169</w:t>
                  </w:r>
                </w:p>
              </w:tc>
              <w:tc>
                <w:tcPr>
                  <w:tcW w:w="500" w:type="pct"/>
                  <w:vAlign w:val="center"/>
                </w:tcPr>
                <w:p>
                  <w:pPr>
                    <w:pStyle w:val="110"/>
                    <w:rPr>
                      <w:rFonts w:cs="Times New Roman"/>
                    </w:rPr>
                  </w:pPr>
                  <w:r>
                    <w:rPr>
                      <w:rFonts w:cs="Times New Roman"/>
                    </w:rPr>
                    <w:t>4.79</w:t>
                  </w:r>
                </w:p>
              </w:tc>
              <w:tc>
                <w:tcPr>
                  <w:tcW w:w="464" w:type="pct"/>
                  <w:vAlign w:val="center"/>
                </w:tcPr>
                <w:p>
                  <w:pPr>
                    <w:pStyle w:val="110"/>
                    <w:rPr>
                      <w:rFonts w:cs="Times New Roman"/>
                    </w:rPr>
                  </w:pPr>
                  <w:r>
                    <w:rPr>
                      <w:rFonts w:cs="Times New Roman"/>
                    </w:rPr>
                    <w:t>2.52</w:t>
                  </w:r>
                </w:p>
              </w:tc>
              <w:tc>
                <w:tcPr>
                  <w:tcW w:w="531" w:type="pct"/>
                  <w:vAlign w:val="center"/>
                </w:tcPr>
                <w:p>
                  <w:pPr>
                    <w:pStyle w:val="110"/>
                    <w:rPr>
                      <w:rFonts w:cs="Times New Roman"/>
                    </w:rPr>
                  </w:pPr>
                  <w:r>
                    <w:rPr>
                      <w:rFonts w:cs="Times New Roman"/>
                    </w:rPr>
                    <w:t>44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05" w:type="pct"/>
                  <w:gridSpan w:val="4"/>
                  <w:vAlign w:val="center"/>
                </w:tcPr>
                <w:p>
                  <w:pPr>
                    <w:pStyle w:val="110"/>
                    <w:rPr>
                      <w:rFonts w:cs="Times New Roman"/>
                    </w:rPr>
                  </w:pPr>
                  <w:r>
                    <w:rPr>
                      <w:rFonts w:cs="Times New Roman"/>
                    </w:rPr>
                    <w:t>平均值</w:t>
                  </w:r>
                </w:p>
              </w:tc>
              <w:tc>
                <w:tcPr>
                  <w:tcW w:w="497" w:type="pct"/>
                  <w:vAlign w:val="center"/>
                </w:tcPr>
                <w:p>
                  <w:pPr>
                    <w:pStyle w:val="110"/>
                    <w:rPr>
                      <w:rFonts w:eastAsia="宋体" w:cs="Times New Roman"/>
                      <w:kern w:val="2"/>
                    </w:rPr>
                  </w:pPr>
                  <w:r>
                    <w:rPr>
                      <w:rFonts w:cs="Times New Roman"/>
                    </w:rPr>
                    <w:t>/</w:t>
                  </w:r>
                </w:p>
              </w:tc>
              <w:tc>
                <w:tcPr>
                  <w:tcW w:w="500" w:type="pct"/>
                  <w:vAlign w:val="center"/>
                </w:tcPr>
                <w:p>
                  <w:pPr>
                    <w:pStyle w:val="110"/>
                    <w:rPr>
                      <w:rFonts w:cs="Times New Roman"/>
                    </w:rPr>
                  </w:pPr>
                  <w:r>
                    <w:rPr>
                      <w:rFonts w:cs="Times New Roman"/>
                    </w:rPr>
                    <w:t>72</w:t>
                  </w:r>
                </w:p>
              </w:tc>
              <w:tc>
                <w:tcPr>
                  <w:tcW w:w="500" w:type="pct"/>
                  <w:vAlign w:val="center"/>
                </w:tcPr>
                <w:p>
                  <w:pPr>
                    <w:pStyle w:val="110"/>
                    <w:rPr>
                      <w:rFonts w:cs="Times New Roman"/>
                    </w:rPr>
                  </w:pPr>
                  <w:r>
                    <w:rPr>
                      <w:rFonts w:cs="Times New Roman"/>
                    </w:rPr>
                    <w:t>7.05</w:t>
                  </w:r>
                </w:p>
              </w:tc>
              <w:tc>
                <w:tcPr>
                  <w:tcW w:w="464" w:type="pct"/>
                  <w:vAlign w:val="center"/>
                </w:tcPr>
                <w:p>
                  <w:pPr>
                    <w:pStyle w:val="110"/>
                    <w:rPr>
                      <w:rFonts w:cs="Times New Roman"/>
                    </w:rPr>
                  </w:pPr>
                  <w:r>
                    <w:rPr>
                      <w:rFonts w:cs="Times New Roman"/>
                    </w:rPr>
                    <w:t>1.82</w:t>
                  </w:r>
                </w:p>
              </w:tc>
              <w:tc>
                <w:tcPr>
                  <w:tcW w:w="531" w:type="pct"/>
                  <w:vAlign w:val="center"/>
                </w:tcPr>
                <w:p>
                  <w:pPr>
                    <w:pStyle w:val="110"/>
                    <w:rPr>
                      <w:rFonts w:cs="Times New Roman"/>
                    </w:rPr>
                  </w:pPr>
                  <w:r>
                    <w:rPr>
                      <w:rFonts w:cs="Times New Roman"/>
                    </w:rPr>
                    <w:t>53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05" w:type="pct"/>
                  <w:gridSpan w:val="4"/>
                  <w:vAlign w:val="center"/>
                </w:tcPr>
                <w:p>
                  <w:pPr>
                    <w:pStyle w:val="110"/>
                    <w:rPr>
                      <w:rFonts w:cs="Times New Roman"/>
                    </w:rPr>
                  </w:pPr>
                  <w:r>
                    <w:rPr>
                      <w:rFonts w:cs="Times New Roman"/>
                    </w:rPr>
                    <w:t>最高允许排放浓度/限值</w:t>
                  </w:r>
                </w:p>
              </w:tc>
              <w:tc>
                <w:tcPr>
                  <w:tcW w:w="497" w:type="pct"/>
                  <w:vAlign w:val="center"/>
                </w:tcPr>
                <w:p>
                  <w:pPr>
                    <w:pStyle w:val="110"/>
                    <w:rPr>
                      <w:rFonts w:cs="Times New Roman"/>
                    </w:rPr>
                  </w:pPr>
                  <w:r>
                    <w:rPr>
                      <w:rFonts w:cs="Times New Roman"/>
                    </w:rPr>
                    <w:t>6～9</w:t>
                  </w:r>
                </w:p>
              </w:tc>
              <w:tc>
                <w:tcPr>
                  <w:tcW w:w="500" w:type="pct"/>
                  <w:vAlign w:val="center"/>
                </w:tcPr>
                <w:p>
                  <w:pPr>
                    <w:pStyle w:val="110"/>
                    <w:rPr>
                      <w:rFonts w:cs="Times New Roman"/>
                    </w:rPr>
                  </w:pPr>
                  <w:r>
                    <w:rPr>
                      <w:rFonts w:cs="Times New Roman"/>
                    </w:rPr>
                    <w:t>400</w:t>
                  </w:r>
                </w:p>
              </w:tc>
              <w:tc>
                <w:tcPr>
                  <w:tcW w:w="500" w:type="pct"/>
                  <w:vAlign w:val="center"/>
                </w:tcPr>
                <w:p>
                  <w:pPr>
                    <w:pStyle w:val="110"/>
                    <w:rPr>
                      <w:rFonts w:cs="Times New Roman"/>
                    </w:rPr>
                  </w:pPr>
                  <w:r>
                    <w:rPr>
                      <w:rFonts w:cs="Times New Roman"/>
                    </w:rPr>
                    <w:t>45</w:t>
                  </w:r>
                </w:p>
              </w:tc>
              <w:tc>
                <w:tcPr>
                  <w:tcW w:w="464" w:type="pct"/>
                  <w:vAlign w:val="center"/>
                </w:tcPr>
                <w:p>
                  <w:pPr>
                    <w:pStyle w:val="110"/>
                    <w:rPr>
                      <w:rFonts w:cs="Times New Roman"/>
                    </w:rPr>
                  </w:pPr>
                  <w:r>
                    <w:rPr>
                      <w:rFonts w:cs="Times New Roman"/>
                    </w:rPr>
                    <w:t>8</w:t>
                  </w:r>
                </w:p>
              </w:tc>
              <w:tc>
                <w:tcPr>
                  <w:tcW w:w="531" w:type="pct"/>
                  <w:vAlign w:val="center"/>
                </w:tcPr>
                <w:p>
                  <w:pPr>
                    <w:pStyle w:val="110"/>
                    <w:rPr>
                      <w:rFonts w:cs="Times New Roman"/>
                    </w:rPr>
                  </w:pPr>
                  <w:r>
                    <w:rPr>
                      <w:rFonts w:cs="Times New Roman"/>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05" w:type="pct"/>
                  <w:gridSpan w:val="4"/>
                  <w:vAlign w:val="center"/>
                </w:tcPr>
                <w:p>
                  <w:pPr>
                    <w:pStyle w:val="110"/>
                    <w:rPr>
                      <w:rFonts w:cs="Times New Roman"/>
                    </w:rPr>
                  </w:pPr>
                  <w:r>
                    <w:rPr>
                      <w:rFonts w:cs="Times New Roman"/>
                    </w:rPr>
                    <w:t>评价</w:t>
                  </w:r>
                </w:p>
              </w:tc>
              <w:tc>
                <w:tcPr>
                  <w:tcW w:w="497" w:type="pct"/>
                  <w:vAlign w:val="center"/>
                </w:tcPr>
                <w:p>
                  <w:pPr>
                    <w:pStyle w:val="110"/>
                    <w:rPr>
                      <w:rFonts w:cs="Times New Roman"/>
                    </w:rPr>
                  </w:pPr>
                  <w:r>
                    <w:rPr>
                      <w:rFonts w:cs="Times New Roman"/>
                    </w:rPr>
                    <w:t>达标</w:t>
                  </w:r>
                </w:p>
              </w:tc>
              <w:tc>
                <w:tcPr>
                  <w:tcW w:w="500" w:type="pct"/>
                  <w:vAlign w:val="center"/>
                </w:tcPr>
                <w:p>
                  <w:pPr>
                    <w:pStyle w:val="110"/>
                    <w:rPr>
                      <w:rFonts w:cs="Times New Roman"/>
                    </w:rPr>
                  </w:pPr>
                  <w:r>
                    <w:rPr>
                      <w:rFonts w:cs="Times New Roman"/>
                    </w:rPr>
                    <w:t>达标</w:t>
                  </w:r>
                </w:p>
              </w:tc>
              <w:tc>
                <w:tcPr>
                  <w:tcW w:w="500" w:type="pct"/>
                  <w:vAlign w:val="center"/>
                </w:tcPr>
                <w:p>
                  <w:pPr>
                    <w:pStyle w:val="110"/>
                    <w:rPr>
                      <w:rFonts w:cs="Times New Roman"/>
                    </w:rPr>
                  </w:pPr>
                  <w:r>
                    <w:rPr>
                      <w:rFonts w:cs="Times New Roman"/>
                    </w:rPr>
                    <w:t>达标</w:t>
                  </w:r>
                </w:p>
              </w:tc>
              <w:tc>
                <w:tcPr>
                  <w:tcW w:w="464" w:type="pct"/>
                  <w:vAlign w:val="center"/>
                </w:tcPr>
                <w:p>
                  <w:pPr>
                    <w:pStyle w:val="110"/>
                    <w:rPr>
                      <w:rFonts w:cs="Times New Roman"/>
                    </w:rPr>
                  </w:pPr>
                  <w:r>
                    <w:rPr>
                      <w:rFonts w:cs="Times New Roman"/>
                    </w:rPr>
                    <w:t>达标</w:t>
                  </w:r>
                </w:p>
              </w:tc>
              <w:tc>
                <w:tcPr>
                  <w:tcW w:w="531" w:type="pct"/>
                  <w:vAlign w:val="center"/>
                </w:tcPr>
                <w:p>
                  <w:pPr>
                    <w:pStyle w:val="110"/>
                    <w:rPr>
                      <w:rFonts w:cs="Times New Roman"/>
                    </w:rPr>
                  </w:pPr>
                  <w:r>
                    <w:rPr>
                      <w:rFonts w:cs="Times New Roma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562" w:type="pct"/>
                  <w:vAlign w:val="center"/>
                </w:tcPr>
                <w:p>
                  <w:pPr>
                    <w:pStyle w:val="110"/>
                    <w:rPr>
                      <w:rFonts w:cs="Times New Roman"/>
                    </w:rPr>
                  </w:pPr>
                  <w:r>
                    <w:rPr>
                      <w:rFonts w:cs="Times New Roman"/>
                    </w:rPr>
                    <w:t>备 注</w:t>
                  </w:r>
                </w:p>
              </w:tc>
              <w:tc>
                <w:tcPr>
                  <w:tcW w:w="4437" w:type="pct"/>
                  <w:gridSpan w:val="8"/>
                  <w:vAlign w:val="center"/>
                </w:tcPr>
                <w:p>
                  <w:pPr>
                    <w:pStyle w:val="110"/>
                    <w:jc w:val="left"/>
                    <w:rPr>
                      <w:rFonts w:cs="Times New Roman"/>
                    </w:rPr>
                  </w:pPr>
                  <w:r>
                    <w:rPr>
                      <w:rFonts w:cs="Times New Roman"/>
                    </w:rPr>
                    <w:t>1.pH值为无量纲；</w:t>
                  </w:r>
                </w:p>
                <w:p>
                  <w:pPr>
                    <w:pStyle w:val="110"/>
                    <w:jc w:val="left"/>
                    <w:rPr>
                      <w:rFonts w:cs="Times New Roman"/>
                    </w:rPr>
                  </w:pPr>
                  <w:r>
                    <w:rPr>
                      <w:rFonts w:cs="Times New Roman"/>
                    </w:rPr>
                    <w:t>2.pH值、悬浮物、化学需氧量参照标准《污水综合排放标准》（GB8978-1996）表4三级标准；氨氮、总磷参照标准《污水排入城镇下水道水质标准》GB/T 31962-2015表1 B级标准限值要求。</w:t>
                  </w:r>
                </w:p>
              </w:tc>
            </w:tr>
          </w:tbl>
          <w:p>
            <w:pPr>
              <w:rPr>
                <w:rFonts w:hint="eastAsia"/>
                <w:lang w:eastAsia="zh-CN"/>
              </w:rPr>
            </w:pPr>
            <w:r>
              <w:rPr>
                <w:rFonts w:hint="eastAsia"/>
                <w:lang w:val="en-US" w:eastAsia="zh-CN"/>
              </w:rPr>
              <w:t>3）</w:t>
            </w:r>
            <w:r>
              <w:rPr>
                <w:rFonts w:hint="eastAsia"/>
                <w:lang w:eastAsia="zh-CN"/>
              </w:rPr>
              <w:t>噪声</w:t>
            </w:r>
          </w:p>
          <w:p>
            <w:pPr>
              <w:ind w:firstLine="480" w:firstLineChars="200"/>
              <w:rPr>
                <w:rFonts w:hint="eastAsia"/>
                <w:lang w:eastAsia="zh-CN"/>
              </w:rPr>
            </w:pPr>
            <w:r>
              <w:rPr>
                <w:rFonts w:hint="eastAsia"/>
                <w:lang w:eastAsia="zh-CN"/>
              </w:rPr>
              <w:t>项目生产环节主要为挤出成型机和空压机及冷却塔、风机在连续过程中产生噪声，源强约为60~85dB（A），冷却塔设置隔声板进行隔声，空压机设置专门房间进行隔声和消声处理，最终经设备减振、厂房隔声、距离衰减等，厂界噪声可以达到《工业企业厂界环境噪声排放标准》（GB12348-2008）表1中的3类标准。</w:t>
            </w:r>
          </w:p>
          <w:p>
            <w:pPr>
              <w:rPr>
                <w:rFonts w:hint="eastAsia"/>
                <w:lang w:eastAsia="zh-CN"/>
              </w:rPr>
            </w:pPr>
            <w:r>
              <w:rPr>
                <w:rFonts w:hint="eastAsia"/>
                <w:lang w:val="en-US" w:eastAsia="zh-CN"/>
              </w:rPr>
              <w:t>4）</w:t>
            </w:r>
            <w:r>
              <w:rPr>
                <w:rFonts w:hint="eastAsia"/>
                <w:lang w:eastAsia="zh-CN"/>
              </w:rPr>
              <w:t>固废</w:t>
            </w:r>
          </w:p>
          <w:p>
            <w:pPr>
              <w:pStyle w:val="2"/>
              <w:ind w:firstLine="480" w:firstLineChars="200"/>
              <w:rPr>
                <w:rFonts w:hint="eastAsia"/>
                <w:lang w:eastAsia="zh-CN"/>
              </w:rPr>
            </w:pPr>
            <w:r>
              <w:rPr>
                <w:rFonts w:hint="eastAsia"/>
                <w:lang w:eastAsia="zh-CN"/>
              </w:rPr>
              <w:t>本项目产生的固废有不合格产品、废包装物、饱和失效活性炭、生活垃圾。其中成型后检验环节产生不合格产品、废包装物，回收或外卖；饱和失效活性炭收集后委托给有资质单位处理；生活垃圾均由新区环卫部门统一收集处理。</w:t>
            </w:r>
          </w:p>
          <w:p>
            <w:pPr>
              <w:pStyle w:val="2"/>
              <w:numPr>
                <w:ilvl w:val="0"/>
                <w:numId w:val="0"/>
              </w:numPr>
              <w:rPr>
                <w:rFonts w:hint="eastAsia" w:ascii="Times New Roman" w:hAnsi="Times New Roman" w:cs="Times New Roman"/>
                <w:b/>
                <w:bCs/>
                <w:color w:val="000000"/>
                <w:lang w:val="en-US" w:eastAsia="zh-CN"/>
              </w:rPr>
            </w:pPr>
            <w:r>
              <w:rPr>
                <w:rFonts w:hint="eastAsia" w:cs="Times New Roman"/>
                <w:b/>
                <w:bCs/>
                <w:color w:val="000000"/>
                <w:lang w:val="en-US" w:eastAsia="zh-CN"/>
              </w:rPr>
              <w:t>4、</w:t>
            </w:r>
            <w:r>
              <w:rPr>
                <w:rFonts w:hint="eastAsia" w:ascii="Times New Roman" w:hAnsi="Times New Roman" w:cs="Times New Roman"/>
                <w:b/>
                <w:bCs/>
                <w:color w:val="000000"/>
                <w:lang w:val="en-US" w:eastAsia="zh-CN"/>
              </w:rPr>
              <w:t>现有项目污染物排放一览表</w:t>
            </w:r>
          </w:p>
          <w:p>
            <w:pPr>
              <w:ind w:right="120" w:rightChars="50"/>
              <w:jc w:val="center"/>
              <w:rPr>
                <w:b/>
                <w:szCs w:val="21"/>
              </w:rPr>
            </w:pPr>
            <w:r>
              <w:rPr>
                <w:rFonts w:hAnsi="宋体"/>
                <w:b/>
                <w:sz w:val="22"/>
                <w:szCs w:val="20"/>
              </w:rPr>
              <w:t>表</w:t>
            </w:r>
            <w:r>
              <w:rPr>
                <w:b/>
                <w:szCs w:val="21"/>
              </w:rPr>
              <w:t>1-</w:t>
            </w:r>
            <w:r>
              <w:rPr>
                <w:rFonts w:hint="eastAsia"/>
                <w:b/>
                <w:szCs w:val="21"/>
                <w:lang w:val="en-US" w:eastAsia="zh-CN"/>
              </w:rPr>
              <w:t>15</w:t>
            </w:r>
            <w:r>
              <w:rPr>
                <w:rFonts w:hAnsi="宋体"/>
                <w:b/>
                <w:szCs w:val="21"/>
              </w:rPr>
              <w:t>现有项目污染物</w:t>
            </w:r>
            <w:r>
              <w:rPr>
                <w:b/>
                <w:szCs w:val="21"/>
              </w:rPr>
              <w:t>“</w:t>
            </w:r>
            <w:r>
              <w:rPr>
                <w:rFonts w:hAnsi="宋体"/>
                <w:b/>
                <w:szCs w:val="21"/>
              </w:rPr>
              <w:t>三本帐</w:t>
            </w:r>
            <w:r>
              <w:rPr>
                <w:b/>
                <w:szCs w:val="21"/>
              </w:rPr>
              <w:t>”t/a</w:t>
            </w:r>
          </w:p>
          <w:tbl>
            <w:tblPr>
              <w:tblStyle w:val="26"/>
              <w:tblW w:w="499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805"/>
              <w:gridCol w:w="1080"/>
              <w:gridCol w:w="1380"/>
              <w:gridCol w:w="2049"/>
              <w:gridCol w:w="2049"/>
              <w:gridCol w:w="20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27" w:type="pct"/>
                  <w:tcBorders>
                    <w:bottom w:val="single" w:color="auto" w:sz="12" w:space="0"/>
                  </w:tcBorders>
                  <w:noWrap w:val="0"/>
                  <w:vAlign w:val="center"/>
                </w:tcPr>
                <w:p>
                  <w:pPr>
                    <w:adjustRightInd w:val="0"/>
                    <w:snapToGrid w:val="0"/>
                    <w:spacing w:line="240" w:lineRule="auto"/>
                    <w:jc w:val="center"/>
                    <w:rPr>
                      <w:b/>
                      <w:bCs/>
                      <w:color w:val="000000"/>
                      <w:sz w:val="21"/>
                      <w:szCs w:val="21"/>
                    </w:rPr>
                  </w:pPr>
                  <w:r>
                    <w:rPr>
                      <w:rFonts w:hAnsi="宋体"/>
                      <w:b/>
                      <w:color w:val="000000"/>
                      <w:sz w:val="21"/>
                      <w:szCs w:val="21"/>
                    </w:rPr>
                    <w:t>种类</w:t>
                  </w:r>
                </w:p>
              </w:tc>
              <w:tc>
                <w:tcPr>
                  <w:tcW w:w="1305" w:type="pct"/>
                  <w:gridSpan w:val="2"/>
                  <w:tcBorders>
                    <w:bottom w:val="single" w:color="auto" w:sz="12" w:space="0"/>
                  </w:tcBorders>
                  <w:noWrap w:val="0"/>
                  <w:vAlign w:val="center"/>
                </w:tcPr>
                <w:p>
                  <w:pPr>
                    <w:adjustRightInd w:val="0"/>
                    <w:snapToGrid w:val="0"/>
                    <w:spacing w:line="240" w:lineRule="auto"/>
                    <w:jc w:val="center"/>
                    <w:rPr>
                      <w:b/>
                      <w:bCs/>
                      <w:color w:val="000000"/>
                      <w:sz w:val="21"/>
                      <w:szCs w:val="21"/>
                    </w:rPr>
                  </w:pPr>
                  <w:r>
                    <w:rPr>
                      <w:b/>
                      <w:bCs/>
                      <w:color w:val="000000"/>
                      <w:sz w:val="21"/>
                      <w:szCs w:val="21"/>
                    </w:rPr>
                    <w:t>污染物</w:t>
                  </w:r>
                </w:p>
              </w:tc>
              <w:tc>
                <w:tcPr>
                  <w:tcW w:w="1087" w:type="pct"/>
                  <w:tcBorders>
                    <w:bottom w:val="single" w:color="auto" w:sz="12" w:space="0"/>
                  </w:tcBorders>
                  <w:noWrap w:val="0"/>
                  <w:vAlign w:val="center"/>
                </w:tcPr>
                <w:p>
                  <w:pPr>
                    <w:adjustRightInd w:val="0"/>
                    <w:snapToGrid w:val="0"/>
                    <w:spacing w:line="240" w:lineRule="auto"/>
                    <w:jc w:val="center"/>
                    <w:rPr>
                      <w:b/>
                      <w:color w:val="000000"/>
                      <w:sz w:val="21"/>
                      <w:szCs w:val="21"/>
                    </w:rPr>
                  </w:pPr>
                  <w:r>
                    <w:rPr>
                      <w:rFonts w:hint="eastAsia"/>
                      <w:b/>
                      <w:color w:val="000000"/>
                      <w:sz w:val="21"/>
                      <w:szCs w:val="21"/>
                    </w:rPr>
                    <w:t>产生量</w:t>
                  </w:r>
                </w:p>
              </w:tc>
              <w:tc>
                <w:tcPr>
                  <w:tcW w:w="1087" w:type="pct"/>
                  <w:tcBorders>
                    <w:bottom w:val="single" w:color="auto" w:sz="12" w:space="0"/>
                  </w:tcBorders>
                  <w:noWrap w:val="0"/>
                  <w:vAlign w:val="center"/>
                </w:tcPr>
                <w:p>
                  <w:pPr>
                    <w:adjustRightInd w:val="0"/>
                    <w:snapToGrid w:val="0"/>
                    <w:spacing w:line="240" w:lineRule="auto"/>
                    <w:jc w:val="center"/>
                    <w:rPr>
                      <w:b/>
                      <w:color w:val="000000"/>
                      <w:sz w:val="21"/>
                      <w:szCs w:val="21"/>
                    </w:rPr>
                  </w:pPr>
                  <w:r>
                    <w:rPr>
                      <w:rFonts w:hint="eastAsia"/>
                      <w:b/>
                      <w:color w:val="000000"/>
                      <w:sz w:val="21"/>
                      <w:szCs w:val="21"/>
                    </w:rPr>
                    <w:t>削减量</w:t>
                  </w:r>
                </w:p>
              </w:tc>
              <w:tc>
                <w:tcPr>
                  <w:tcW w:w="1090" w:type="pct"/>
                  <w:tcBorders>
                    <w:bottom w:val="single" w:color="auto" w:sz="12" w:space="0"/>
                  </w:tcBorders>
                  <w:noWrap w:val="0"/>
                  <w:vAlign w:val="center"/>
                </w:tcPr>
                <w:p>
                  <w:pPr>
                    <w:adjustRightInd w:val="0"/>
                    <w:snapToGrid w:val="0"/>
                    <w:spacing w:line="240" w:lineRule="auto"/>
                    <w:jc w:val="center"/>
                    <w:rPr>
                      <w:b/>
                      <w:color w:val="000000"/>
                      <w:sz w:val="21"/>
                      <w:szCs w:val="21"/>
                    </w:rPr>
                  </w:pPr>
                  <w:r>
                    <w:rPr>
                      <w:rFonts w:hint="eastAsia" w:hAnsi="宋体"/>
                      <w:b/>
                      <w:color w:val="000000"/>
                      <w:sz w:val="21"/>
                      <w:szCs w:val="21"/>
                    </w:rPr>
                    <w:t>排放量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27" w:type="pct"/>
                  <w:vMerge w:val="restart"/>
                  <w:tcBorders>
                    <w:top w:val="single" w:color="auto" w:sz="12" w:space="0"/>
                  </w:tcBorders>
                  <w:noWrap w:val="0"/>
                  <w:vAlign w:val="center"/>
                </w:tcPr>
                <w:p>
                  <w:pPr>
                    <w:adjustRightInd w:val="0"/>
                    <w:snapToGrid w:val="0"/>
                    <w:spacing w:line="240" w:lineRule="auto"/>
                    <w:jc w:val="center"/>
                    <w:rPr>
                      <w:rFonts w:hAnsi="宋体"/>
                      <w:color w:val="000000"/>
                      <w:sz w:val="21"/>
                      <w:szCs w:val="21"/>
                    </w:rPr>
                  </w:pPr>
                  <w:r>
                    <w:rPr>
                      <w:rFonts w:hint="eastAsia"/>
                      <w:sz w:val="21"/>
                      <w:szCs w:val="21"/>
                    </w:rPr>
                    <w:t>废水（食堂废水、生活污水</w:t>
                  </w:r>
                </w:p>
              </w:tc>
              <w:tc>
                <w:tcPr>
                  <w:tcW w:w="1305" w:type="pct"/>
                  <w:gridSpan w:val="2"/>
                  <w:tcBorders>
                    <w:top w:val="single" w:color="auto" w:sz="12" w:space="0"/>
                  </w:tcBorders>
                  <w:noWrap w:val="0"/>
                  <w:vAlign w:val="center"/>
                </w:tcPr>
                <w:p>
                  <w:pPr>
                    <w:spacing w:line="240" w:lineRule="auto"/>
                    <w:ind w:left="-120" w:leftChars="-50" w:right="-120" w:rightChars="-50"/>
                    <w:jc w:val="center"/>
                    <w:rPr>
                      <w:rFonts w:hint="eastAsia" w:hAnsi="宋体"/>
                      <w:sz w:val="21"/>
                      <w:szCs w:val="21"/>
                    </w:rPr>
                  </w:pPr>
                  <w:r>
                    <w:rPr>
                      <w:rFonts w:hint="eastAsia" w:hAnsi="宋体"/>
                      <w:sz w:val="21"/>
                      <w:szCs w:val="21"/>
                    </w:rPr>
                    <w:t>水量</w:t>
                  </w:r>
                </w:p>
              </w:tc>
              <w:tc>
                <w:tcPr>
                  <w:tcW w:w="1087" w:type="pct"/>
                  <w:tcBorders>
                    <w:top w:val="single" w:color="auto" w:sz="12" w:space="0"/>
                  </w:tcBorders>
                  <w:noWrap w:val="0"/>
                  <w:vAlign w:val="center"/>
                </w:tcPr>
                <w:p>
                  <w:pPr>
                    <w:widowControl/>
                    <w:spacing w:line="240" w:lineRule="auto"/>
                    <w:jc w:val="center"/>
                    <w:textAlignment w:val="center"/>
                    <w:rPr>
                      <w:rFonts w:hint="default" w:eastAsia="宋体"/>
                      <w:color w:val="000000"/>
                      <w:sz w:val="21"/>
                      <w:szCs w:val="21"/>
                      <w:lang w:val="en-US" w:eastAsia="zh-CN"/>
                    </w:rPr>
                  </w:pPr>
                  <w:r>
                    <w:rPr>
                      <w:rFonts w:hint="eastAsia"/>
                      <w:color w:val="000000"/>
                      <w:sz w:val="21"/>
                      <w:szCs w:val="21"/>
                      <w:lang w:val="en-US" w:eastAsia="zh-CN"/>
                    </w:rPr>
                    <w:t>260</w:t>
                  </w:r>
                </w:p>
              </w:tc>
              <w:tc>
                <w:tcPr>
                  <w:tcW w:w="1087" w:type="pct"/>
                  <w:tcBorders>
                    <w:top w:val="single" w:color="auto" w:sz="12" w:space="0"/>
                  </w:tcBorders>
                  <w:noWrap w:val="0"/>
                  <w:vAlign w:val="center"/>
                </w:tcPr>
                <w:p>
                  <w:pPr>
                    <w:spacing w:line="240" w:lineRule="auto"/>
                    <w:ind w:left="-120" w:leftChars="-50" w:right="-120" w:rightChars="-50"/>
                    <w:jc w:val="center"/>
                    <w:rPr>
                      <w:rFonts w:hint="eastAsia" w:eastAsia="宋体"/>
                      <w:sz w:val="21"/>
                      <w:szCs w:val="21"/>
                      <w:lang w:val="en-US" w:eastAsia="zh-CN"/>
                    </w:rPr>
                  </w:pPr>
                  <w:r>
                    <w:rPr>
                      <w:rFonts w:hint="eastAsia"/>
                      <w:sz w:val="21"/>
                      <w:szCs w:val="21"/>
                      <w:lang w:val="en-US" w:eastAsia="zh-CN"/>
                    </w:rPr>
                    <w:t>0</w:t>
                  </w:r>
                </w:p>
              </w:tc>
              <w:tc>
                <w:tcPr>
                  <w:tcW w:w="1090" w:type="pct"/>
                  <w:tcBorders>
                    <w:top w:val="single" w:color="auto" w:sz="12" w:space="0"/>
                  </w:tcBorders>
                  <w:noWrap w:val="0"/>
                  <w:vAlign w:val="center"/>
                </w:tcPr>
                <w:p>
                  <w:pPr>
                    <w:widowControl/>
                    <w:spacing w:line="240" w:lineRule="auto"/>
                    <w:jc w:val="center"/>
                    <w:textAlignment w:val="center"/>
                    <w:rPr>
                      <w:rFonts w:hint="default" w:eastAsia="宋体"/>
                      <w:color w:val="000000"/>
                      <w:sz w:val="21"/>
                      <w:szCs w:val="21"/>
                      <w:lang w:val="en-US" w:eastAsia="zh-CN"/>
                    </w:rPr>
                  </w:pPr>
                  <w:r>
                    <w:rPr>
                      <w:rFonts w:hint="eastAsia"/>
                      <w:color w:val="000000"/>
                      <w:sz w:val="21"/>
                      <w:szCs w:val="21"/>
                      <w:lang w:val="en-US" w:eastAsia="zh-CN"/>
                    </w:rPr>
                    <w:t>260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27" w:type="pct"/>
                  <w:vMerge w:val="continue"/>
                  <w:noWrap w:val="0"/>
                  <w:vAlign w:val="center"/>
                </w:tcPr>
                <w:p>
                  <w:pPr>
                    <w:adjustRightInd w:val="0"/>
                    <w:snapToGrid w:val="0"/>
                    <w:spacing w:line="240" w:lineRule="auto"/>
                    <w:jc w:val="center"/>
                    <w:rPr>
                      <w:rFonts w:hint="eastAsia" w:hAnsi="宋体"/>
                      <w:color w:val="000000"/>
                      <w:sz w:val="21"/>
                      <w:szCs w:val="21"/>
                    </w:rPr>
                  </w:pPr>
                </w:p>
              </w:tc>
              <w:tc>
                <w:tcPr>
                  <w:tcW w:w="1305" w:type="pct"/>
                  <w:gridSpan w:val="2"/>
                  <w:noWrap w:val="0"/>
                  <w:vAlign w:val="center"/>
                </w:tcPr>
                <w:p>
                  <w:pPr>
                    <w:spacing w:line="240" w:lineRule="auto"/>
                    <w:ind w:left="-120" w:leftChars="-50" w:right="-120" w:rightChars="-50"/>
                    <w:jc w:val="center"/>
                    <w:rPr>
                      <w:rFonts w:hint="eastAsia" w:hAnsi="宋体"/>
                      <w:sz w:val="21"/>
                      <w:szCs w:val="21"/>
                    </w:rPr>
                  </w:pPr>
                  <w:r>
                    <w:rPr>
                      <w:rFonts w:hAnsi="宋体"/>
                      <w:sz w:val="21"/>
                      <w:szCs w:val="21"/>
                    </w:rPr>
                    <w:t>COD</w:t>
                  </w:r>
                </w:p>
              </w:tc>
              <w:tc>
                <w:tcPr>
                  <w:tcW w:w="1087" w:type="pct"/>
                  <w:noWrap w:val="0"/>
                  <w:vAlign w:val="center"/>
                </w:tcPr>
                <w:p>
                  <w:pPr>
                    <w:widowControl/>
                    <w:spacing w:line="240" w:lineRule="auto"/>
                    <w:jc w:val="center"/>
                    <w:textAlignment w:val="center"/>
                    <w:rPr>
                      <w:rFonts w:hint="default" w:eastAsia="宋体"/>
                      <w:color w:val="000000"/>
                      <w:sz w:val="21"/>
                      <w:szCs w:val="21"/>
                      <w:lang w:val="en-US" w:eastAsia="zh-CN"/>
                    </w:rPr>
                  </w:pPr>
                  <w:r>
                    <w:rPr>
                      <w:rFonts w:hint="eastAsia"/>
                      <w:color w:val="000000"/>
                      <w:sz w:val="21"/>
                      <w:szCs w:val="21"/>
                      <w:lang w:val="en-US" w:eastAsia="zh-CN"/>
                    </w:rPr>
                    <w:t>0.098</w:t>
                  </w:r>
                </w:p>
              </w:tc>
              <w:tc>
                <w:tcPr>
                  <w:tcW w:w="1087" w:type="pct"/>
                  <w:noWrap w:val="0"/>
                  <w:vAlign w:val="center"/>
                </w:tcPr>
                <w:p>
                  <w:pPr>
                    <w:spacing w:line="240" w:lineRule="auto"/>
                    <w:jc w:val="center"/>
                    <w:rPr>
                      <w:rFonts w:hint="eastAsia" w:eastAsia="宋体"/>
                      <w:sz w:val="21"/>
                      <w:szCs w:val="21"/>
                      <w:lang w:val="en-US" w:eastAsia="zh-CN"/>
                    </w:rPr>
                  </w:pPr>
                  <w:r>
                    <w:rPr>
                      <w:rFonts w:hint="eastAsia"/>
                      <w:sz w:val="21"/>
                      <w:szCs w:val="21"/>
                      <w:lang w:val="en-US" w:eastAsia="zh-CN"/>
                    </w:rPr>
                    <w:t>0</w:t>
                  </w:r>
                </w:p>
              </w:tc>
              <w:tc>
                <w:tcPr>
                  <w:tcW w:w="1090" w:type="pct"/>
                  <w:noWrap w:val="0"/>
                  <w:vAlign w:val="center"/>
                </w:tcPr>
                <w:p>
                  <w:pPr>
                    <w:widowControl/>
                    <w:spacing w:line="240" w:lineRule="auto"/>
                    <w:jc w:val="center"/>
                    <w:textAlignment w:val="center"/>
                    <w:rPr>
                      <w:rFonts w:hint="default" w:eastAsia="宋体"/>
                      <w:color w:val="000000"/>
                      <w:sz w:val="21"/>
                      <w:szCs w:val="21"/>
                      <w:lang w:val="en-US" w:eastAsia="zh-CN"/>
                    </w:rPr>
                  </w:pPr>
                  <w:r>
                    <w:rPr>
                      <w:rFonts w:hint="eastAsia"/>
                      <w:color w:val="000000"/>
                      <w:sz w:val="21"/>
                      <w:szCs w:val="21"/>
                      <w:lang w:val="en-US" w:eastAsia="zh-CN"/>
                    </w:rPr>
                    <w:t>0.098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27" w:type="pct"/>
                  <w:vMerge w:val="continue"/>
                  <w:noWrap w:val="0"/>
                  <w:vAlign w:val="center"/>
                </w:tcPr>
                <w:p>
                  <w:pPr>
                    <w:adjustRightInd w:val="0"/>
                    <w:snapToGrid w:val="0"/>
                    <w:spacing w:line="240" w:lineRule="auto"/>
                    <w:jc w:val="center"/>
                    <w:rPr>
                      <w:rFonts w:hint="eastAsia" w:hAnsi="宋体"/>
                      <w:color w:val="000000"/>
                      <w:sz w:val="21"/>
                      <w:szCs w:val="21"/>
                    </w:rPr>
                  </w:pPr>
                </w:p>
              </w:tc>
              <w:tc>
                <w:tcPr>
                  <w:tcW w:w="1305" w:type="pct"/>
                  <w:gridSpan w:val="2"/>
                  <w:noWrap w:val="0"/>
                  <w:vAlign w:val="center"/>
                </w:tcPr>
                <w:p>
                  <w:pPr>
                    <w:spacing w:line="240" w:lineRule="auto"/>
                    <w:ind w:left="-120" w:leftChars="-50" w:right="-120" w:rightChars="-50"/>
                    <w:jc w:val="center"/>
                    <w:rPr>
                      <w:rFonts w:hint="eastAsia" w:hAnsi="宋体"/>
                      <w:sz w:val="21"/>
                      <w:szCs w:val="21"/>
                    </w:rPr>
                  </w:pPr>
                  <w:r>
                    <w:rPr>
                      <w:rFonts w:hint="eastAsia" w:hAnsi="宋体"/>
                      <w:sz w:val="21"/>
                      <w:szCs w:val="21"/>
                    </w:rPr>
                    <w:t>SS</w:t>
                  </w:r>
                </w:p>
              </w:tc>
              <w:tc>
                <w:tcPr>
                  <w:tcW w:w="1087" w:type="pct"/>
                  <w:noWrap w:val="0"/>
                  <w:vAlign w:val="center"/>
                </w:tcPr>
                <w:p>
                  <w:pPr>
                    <w:widowControl/>
                    <w:spacing w:line="240" w:lineRule="auto"/>
                    <w:jc w:val="center"/>
                    <w:textAlignment w:val="center"/>
                    <w:rPr>
                      <w:rFonts w:hint="default" w:eastAsia="宋体"/>
                      <w:color w:val="000000"/>
                      <w:sz w:val="21"/>
                      <w:szCs w:val="21"/>
                      <w:lang w:val="en-US" w:eastAsia="zh-CN"/>
                    </w:rPr>
                  </w:pPr>
                  <w:r>
                    <w:rPr>
                      <w:rFonts w:hint="eastAsia"/>
                      <w:color w:val="000000"/>
                      <w:sz w:val="21"/>
                      <w:szCs w:val="21"/>
                      <w:lang w:val="en-US" w:eastAsia="zh-CN"/>
                    </w:rPr>
                    <w:t>0.05</w:t>
                  </w:r>
                </w:p>
              </w:tc>
              <w:tc>
                <w:tcPr>
                  <w:tcW w:w="1087" w:type="pct"/>
                  <w:noWrap w:val="0"/>
                  <w:vAlign w:val="center"/>
                </w:tcPr>
                <w:p>
                  <w:pPr>
                    <w:spacing w:line="240" w:lineRule="auto"/>
                    <w:jc w:val="center"/>
                    <w:rPr>
                      <w:rFonts w:hint="eastAsia" w:eastAsia="宋体"/>
                      <w:sz w:val="21"/>
                      <w:szCs w:val="21"/>
                      <w:lang w:val="en-US" w:eastAsia="zh-CN"/>
                    </w:rPr>
                  </w:pPr>
                  <w:r>
                    <w:rPr>
                      <w:rFonts w:hint="eastAsia"/>
                      <w:sz w:val="21"/>
                      <w:szCs w:val="21"/>
                      <w:lang w:val="en-US" w:eastAsia="zh-CN"/>
                    </w:rPr>
                    <w:t>0</w:t>
                  </w:r>
                </w:p>
              </w:tc>
              <w:tc>
                <w:tcPr>
                  <w:tcW w:w="1090" w:type="pct"/>
                  <w:noWrap w:val="0"/>
                  <w:vAlign w:val="center"/>
                </w:tcPr>
                <w:p>
                  <w:pPr>
                    <w:widowControl/>
                    <w:spacing w:line="240" w:lineRule="auto"/>
                    <w:jc w:val="center"/>
                    <w:textAlignment w:val="center"/>
                    <w:rPr>
                      <w:rFonts w:hint="default" w:eastAsia="宋体"/>
                      <w:color w:val="000000"/>
                      <w:sz w:val="21"/>
                      <w:szCs w:val="21"/>
                      <w:lang w:val="en-US" w:eastAsia="zh-CN"/>
                    </w:rPr>
                  </w:pPr>
                  <w:r>
                    <w:rPr>
                      <w:rFonts w:hint="eastAsia"/>
                      <w:color w:val="000000"/>
                      <w:sz w:val="21"/>
                      <w:szCs w:val="21"/>
                      <w:lang w:val="en-US" w:eastAsia="zh-CN"/>
                    </w:rPr>
                    <w:t>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27" w:type="pct"/>
                  <w:vMerge w:val="continue"/>
                  <w:noWrap w:val="0"/>
                  <w:vAlign w:val="center"/>
                </w:tcPr>
                <w:p>
                  <w:pPr>
                    <w:adjustRightInd w:val="0"/>
                    <w:snapToGrid w:val="0"/>
                    <w:spacing w:line="240" w:lineRule="auto"/>
                    <w:jc w:val="center"/>
                    <w:rPr>
                      <w:rFonts w:hint="eastAsia" w:hAnsi="宋体"/>
                      <w:color w:val="000000"/>
                      <w:sz w:val="21"/>
                      <w:szCs w:val="21"/>
                    </w:rPr>
                  </w:pPr>
                </w:p>
              </w:tc>
              <w:tc>
                <w:tcPr>
                  <w:tcW w:w="1305" w:type="pct"/>
                  <w:gridSpan w:val="2"/>
                  <w:noWrap w:val="0"/>
                  <w:vAlign w:val="center"/>
                </w:tcPr>
                <w:p>
                  <w:pPr>
                    <w:spacing w:line="240" w:lineRule="auto"/>
                    <w:ind w:left="-120" w:leftChars="-50" w:right="-120" w:rightChars="-50"/>
                    <w:jc w:val="center"/>
                    <w:rPr>
                      <w:rFonts w:hint="eastAsia" w:hAnsi="宋体"/>
                      <w:sz w:val="21"/>
                      <w:szCs w:val="21"/>
                    </w:rPr>
                  </w:pPr>
                  <w:r>
                    <w:rPr>
                      <w:rFonts w:hint="eastAsia" w:hAnsi="宋体"/>
                      <w:sz w:val="21"/>
                      <w:szCs w:val="21"/>
                    </w:rPr>
                    <w:t>氨氮</w:t>
                  </w:r>
                </w:p>
              </w:tc>
              <w:tc>
                <w:tcPr>
                  <w:tcW w:w="1087" w:type="pct"/>
                  <w:noWrap w:val="0"/>
                  <w:vAlign w:val="center"/>
                </w:tcPr>
                <w:p>
                  <w:pPr>
                    <w:widowControl/>
                    <w:spacing w:line="240" w:lineRule="auto"/>
                    <w:jc w:val="center"/>
                    <w:textAlignment w:val="center"/>
                    <w:rPr>
                      <w:rFonts w:hint="default" w:eastAsia="宋体"/>
                      <w:color w:val="000000"/>
                      <w:sz w:val="21"/>
                      <w:szCs w:val="21"/>
                      <w:lang w:val="en-US" w:eastAsia="zh-CN"/>
                    </w:rPr>
                  </w:pPr>
                  <w:r>
                    <w:rPr>
                      <w:rFonts w:hint="eastAsia"/>
                      <w:color w:val="000000"/>
                      <w:sz w:val="21"/>
                      <w:szCs w:val="21"/>
                      <w:lang w:val="en-US" w:eastAsia="zh-CN"/>
                    </w:rPr>
                    <w:t>0.0072</w:t>
                  </w:r>
                </w:p>
              </w:tc>
              <w:tc>
                <w:tcPr>
                  <w:tcW w:w="1087" w:type="pct"/>
                  <w:noWrap w:val="0"/>
                  <w:vAlign w:val="center"/>
                </w:tcPr>
                <w:p>
                  <w:pPr>
                    <w:spacing w:line="240" w:lineRule="auto"/>
                    <w:jc w:val="center"/>
                    <w:rPr>
                      <w:rFonts w:hint="eastAsia" w:eastAsia="宋体"/>
                      <w:sz w:val="21"/>
                      <w:szCs w:val="21"/>
                      <w:lang w:val="en-US" w:eastAsia="zh-CN"/>
                    </w:rPr>
                  </w:pPr>
                  <w:r>
                    <w:rPr>
                      <w:rFonts w:hint="eastAsia"/>
                      <w:sz w:val="21"/>
                      <w:szCs w:val="21"/>
                      <w:lang w:val="en-US" w:eastAsia="zh-CN"/>
                    </w:rPr>
                    <w:t>0</w:t>
                  </w:r>
                </w:p>
              </w:tc>
              <w:tc>
                <w:tcPr>
                  <w:tcW w:w="1090" w:type="pct"/>
                  <w:noWrap w:val="0"/>
                  <w:vAlign w:val="center"/>
                </w:tcPr>
                <w:p>
                  <w:pPr>
                    <w:widowControl/>
                    <w:spacing w:line="240" w:lineRule="auto"/>
                    <w:jc w:val="center"/>
                    <w:textAlignment w:val="center"/>
                    <w:rPr>
                      <w:rFonts w:hint="default" w:eastAsia="宋体"/>
                      <w:color w:val="000000"/>
                      <w:sz w:val="21"/>
                      <w:szCs w:val="21"/>
                      <w:lang w:val="en-US" w:eastAsia="zh-CN"/>
                    </w:rPr>
                  </w:pPr>
                  <w:r>
                    <w:rPr>
                      <w:rFonts w:hint="eastAsia"/>
                      <w:color w:val="000000"/>
                      <w:sz w:val="21"/>
                      <w:szCs w:val="21"/>
                      <w:lang w:val="en-US" w:eastAsia="zh-CN"/>
                    </w:rPr>
                    <w:t>0.0072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27" w:type="pct"/>
                  <w:vMerge w:val="continue"/>
                  <w:noWrap w:val="0"/>
                  <w:vAlign w:val="center"/>
                </w:tcPr>
                <w:p>
                  <w:pPr>
                    <w:adjustRightInd w:val="0"/>
                    <w:snapToGrid w:val="0"/>
                    <w:spacing w:line="240" w:lineRule="auto"/>
                    <w:jc w:val="center"/>
                    <w:rPr>
                      <w:rFonts w:hint="eastAsia" w:hAnsi="宋体"/>
                      <w:color w:val="000000"/>
                      <w:sz w:val="21"/>
                      <w:szCs w:val="21"/>
                    </w:rPr>
                  </w:pPr>
                </w:p>
              </w:tc>
              <w:tc>
                <w:tcPr>
                  <w:tcW w:w="1305" w:type="pct"/>
                  <w:gridSpan w:val="2"/>
                  <w:noWrap w:val="0"/>
                  <w:vAlign w:val="center"/>
                </w:tcPr>
                <w:p>
                  <w:pPr>
                    <w:spacing w:line="240" w:lineRule="auto"/>
                    <w:ind w:left="-120" w:leftChars="-50" w:right="-120" w:rightChars="-50"/>
                    <w:jc w:val="center"/>
                    <w:rPr>
                      <w:rFonts w:hint="eastAsia" w:hAnsi="宋体"/>
                      <w:sz w:val="21"/>
                      <w:szCs w:val="21"/>
                    </w:rPr>
                  </w:pPr>
                  <w:r>
                    <w:rPr>
                      <w:rFonts w:hint="eastAsia" w:hAnsi="宋体"/>
                      <w:sz w:val="21"/>
                      <w:szCs w:val="21"/>
                    </w:rPr>
                    <w:t>总磷</w:t>
                  </w:r>
                </w:p>
              </w:tc>
              <w:tc>
                <w:tcPr>
                  <w:tcW w:w="1087" w:type="pct"/>
                  <w:noWrap w:val="0"/>
                  <w:vAlign w:val="center"/>
                </w:tcPr>
                <w:p>
                  <w:pPr>
                    <w:widowControl/>
                    <w:spacing w:line="240" w:lineRule="auto"/>
                    <w:jc w:val="center"/>
                    <w:textAlignment w:val="center"/>
                    <w:rPr>
                      <w:rFonts w:hint="default" w:eastAsia="宋体"/>
                      <w:color w:val="000000"/>
                      <w:sz w:val="21"/>
                      <w:szCs w:val="21"/>
                      <w:lang w:val="en-US" w:eastAsia="zh-CN"/>
                    </w:rPr>
                  </w:pPr>
                  <w:r>
                    <w:rPr>
                      <w:rFonts w:hint="eastAsia"/>
                      <w:color w:val="000000"/>
                      <w:sz w:val="21"/>
                      <w:szCs w:val="21"/>
                      <w:lang w:val="en-US" w:eastAsia="zh-CN"/>
                    </w:rPr>
                    <w:t>0.00096</w:t>
                  </w:r>
                </w:p>
              </w:tc>
              <w:tc>
                <w:tcPr>
                  <w:tcW w:w="1087" w:type="pct"/>
                  <w:noWrap w:val="0"/>
                  <w:vAlign w:val="center"/>
                </w:tcPr>
                <w:p>
                  <w:pPr>
                    <w:spacing w:line="240" w:lineRule="auto"/>
                    <w:jc w:val="center"/>
                    <w:rPr>
                      <w:rFonts w:hint="default" w:eastAsia="宋体"/>
                      <w:sz w:val="21"/>
                      <w:szCs w:val="21"/>
                      <w:lang w:val="en-US" w:eastAsia="zh-CN"/>
                    </w:rPr>
                  </w:pPr>
                  <w:r>
                    <w:rPr>
                      <w:rFonts w:hint="eastAsia"/>
                      <w:sz w:val="21"/>
                      <w:szCs w:val="21"/>
                      <w:lang w:val="en-US" w:eastAsia="zh-CN"/>
                    </w:rPr>
                    <w:t>0</w:t>
                  </w:r>
                </w:p>
              </w:tc>
              <w:tc>
                <w:tcPr>
                  <w:tcW w:w="1090" w:type="pct"/>
                  <w:noWrap w:val="0"/>
                  <w:vAlign w:val="center"/>
                </w:tcPr>
                <w:p>
                  <w:pPr>
                    <w:widowControl/>
                    <w:spacing w:line="240" w:lineRule="auto"/>
                    <w:jc w:val="center"/>
                    <w:textAlignment w:val="center"/>
                    <w:rPr>
                      <w:rFonts w:hint="default" w:eastAsia="宋体"/>
                      <w:color w:val="000000"/>
                      <w:sz w:val="21"/>
                      <w:szCs w:val="21"/>
                      <w:lang w:val="en-US" w:eastAsia="zh-CN"/>
                    </w:rPr>
                  </w:pPr>
                  <w:r>
                    <w:rPr>
                      <w:rFonts w:hint="eastAsia"/>
                      <w:color w:val="000000"/>
                      <w:sz w:val="21"/>
                      <w:szCs w:val="21"/>
                      <w:lang w:val="en-US" w:eastAsia="zh-CN"/>
                    </w:rPr>
                    <w:t>0.00096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27" w:type="pct"/>
                  <w:vMerge w:val="restart"/>
                  <w:noWrap w:val="0"/>
                  <w:vAlign w:val="center"/>
                </w:tcPr>
                <w:p>
                  <w:pPr>
                    <w:adjustRightInd w:val="0"/>
                    <w:snapToGrid w:val="0"/>
                    <w:spacing w:before="60" w:after="60" w:line="240" w:lineRule="auto"/>
                    <w:jc w:val="center"/>
                    <w:rPr>
                      <w:sz w:val="21"/>
                      <w:szCs w:val="21"/>
                    </w:rPr>
                  </w:pPr>
                  <w:r>
                    <w:rPr>
                      <w:rFonts w:hint="eastAsia"/>
                      <w:sz w:val="21"/>
                      <w:szCs w:val="21"/>
                    </w:rPr>
                    <w:t>废气</w:t>
                  </w:r>
                </w:p>
              </w:tc>
              <w:tc>
                <w:tcPr>
                  <w:tcW w:w="1305" w:type="pct"/>
                  <w:gridSpan w:val="2"/>
                  <w:noWrap w:val="0"/>
                  <w:vAlign w:val="center"/>
                </w:tcPr>
                <w:p>
                  <w:pPr>
                    <w:spacing w:line="240" w:lineRule="auto"/>
                    <w:jc w:val="center"/>
                    <w:rPr>
                      <w:rFonts w:hint="eastAsia" w:eastAsia="宋体"/>
                      <w:sz w:val="21"/>
                      <w:szCs w:val="21"/>
                      <w:lang w:eastAsia="zh-CN"/>
                    </w:rPr>
                  </w:pPr>
                  <w:r>
                    <w:rPr>
                      <w:rFonts w:hint="eastAsia"/>
                      <w:sz w:val="21"/>
                      <w:szCs w:val="21"/>
                      <w:lang w:eastAsia="zh-CN"/>
                    </w:rPr>
                    <w:t>废气量</w:t>
                  </w:r>
                </w:p>
              </w:tc>
              <w:tc>
                <w:tcPr>
                  <w:tcW w:w="1087" w:type="pct"/>
                  <w:noWrap w:val="0"/>
                  <w:vAlign w:val="center"/>
                </w:tcPr>
                <w:p>
                  <w:pPr>
                    <w:widowControl/>
                    <w:spacing w:line="240" w:lineRule="auto"/>
                    <w:jc w:val="center"/>
                    <w:textAlignment w:val="center"/>
                    <w:rPr>
                      <w:rFonts w:hint="default" w:eastAsia="宋体"/>
                      <w:color w:val="000000"/>
                      <w:sz w:val="21"/>
                      <w:szCs w:val="21"/>
                      <w:lang w:val="en-US" w:eastAsia="zh-CN"/>
                    </w:rPr>
                  </w:pPr>
                  <w:r>
                    <w:rPr>
                      <w:rFonts w:hint="eastAsia"/>
                      <w:color w:val="000000"/>
                      <w:sz w:val="21"/>
                      <w:szCs w:val="21"/>
                      <w:lang w:val="en-US" w:eastAsia="zh-CN"/>
                    </w:rPr>
                    <w:t>960万m</w:t>
                  </w:r>
                  <w:r>
                    <w:rPr>
                      <w:rFonts w:hint="eastAsia"/>
                      <w:color w:val="000000"/>
                      <w:sz w:val="21"/>
                      <w:szCs w:val="21"/>
                      <w:vertAlign w:val="superscript"/>
                      <w:lang w:val="en-US" w:eastAsia="zh-CN"/>
                    </w:rPr>
                    <w:t>3</w:t>
                  </w:r>
                  <w:r>
                    <w:rPr>
                      <w:rFonts w:hint="eastAsia"/>
                      <w:color w:val="000000"/>
                      <w:sz w:val="21"/>
                      <w:szCs w:val="21"/>
                      <w:lang w:val="en-US" w:eastAsia="zh-CN"/>
                    </w:rPr>
                    <w:t>/a</w:t>
                  </w:r>
                </w:p>
              </w:tc>
              <w:tc>
                <w:tcPr>
                  <w:tcW w:w="1087" w:type="pct"/>
                  <w:noWrap w:val="0"/>
                  <w:vAlign w:val="top"/>
                </w:tcPr>
                <w:p>
                  <w:pPr>
                    <w:spacing w:line="240" w:lineRule="auto"/>
                    <w:jc w:val="center"/>
                    <w:rPr>
                      <w:rFonts w:hint="eastAsia" w:eastAsia="宋体"/>
                      <w:sz w:val="21"/>
                      <w:szCs w:val="21"/>
                      <w:lang w:val="en-US" w:eastAsia="zh-CN"/>
                    </w:rPr>
                  </w:pPr>
                  <w:r>
                    <w:rPr>
                      <w:rFonts w:hint="eastAsia"/>
                      <w:sz w:val="21"/>
                      <w:szCs w:val="21"/>
                      <w:lang w:val="en-US" w:eastAsia="zh-CN"/>
                    </w:rPr>
                    <w:t>0</w:t>
                  </w:r>
                </w:p>
              </w:tc>
              <w:tc>
                <w:tcPr>
                  <w:tcW w:w="1090" w:type="pct"/>
                  <w:noWrap w:val="0"/>
                  <w:vAlign w:val="center"/>
                </w:tcPr>
                <w:p>
                  <w:pPr>
                    <w:widowControl/>
                    <w:spacing w:line="240" w:lineRule="auto"/>
                    <w:jc w:val="center"/>
                    <w:textAlignment w:val="center"/>
                    <w:rPr>
                      <w:color w:val="000000"/>
                      <w:sz w:val="21"/>
                      <w:szCs w:val="21"/>
                    </w:rPr>
                  </w:pPr>
                  <w:r>
                    <w:rPr>
                      <w:rFonts w:hint="eastAsia"/>
                      <w:color w:val="000000"/>
                      <w:sz w:val="21"/>
                      <w:szCs w:val="21"/>
                      <w:lang w:val="en-US" w:eastAsia="zh-CN"/>
                    </w:rPr>
                    <w:t>960万m</w:t>
                  </w:r>
                  <w:r>
                    <w:rPr>
                      <w:rFonts w:hint="eastAsia"/>
                      <w:color w:val="000000"/>
                      <w:sz w:val="21"/>
                      <w:szCs w:val="21"/>
                      <w:vertAlign w:val="superscript"/>
                      <w:lang w:val="en-US" w:eastAsia="zh-CN"/>
                    </w:rPr>
                    <w:t>3</w:t>
                  </w:r>
                  <w:r>
                    <w:rPr>
                      <w:rFonts w:hint="eastAsia"/>
                      <w:color w:val="000000"/>
                      <w:sz w:val="21"/>
                      <w:szCs w:val="21"/>
                      <w:lang w:val="en-US" w:eastAsia="zh-CN"/>
                    </w:rPr>
                    <w: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27" w:type="pct"/>
                  <w:vMerge w:val="continue"/>
                  <w:noWrap w:val="0"/>
                  <w:vAlign w:val="center"/>
                </w:tcPr>
                <w:p>
                  <w:pPr>
                    <w:adjustRightInd w:val="0"/>
                    <w:snapToGrid w:val="0"/>
                    <w:spacing w:before="60" w:after="60" w:line="240" w:lineRule="auto"/>
                    <w:jc w:val="center"/>
                    <w:rPr>
                      <w:rFonts w:hint="eastAsia"/>
                      <w:sz w:val="21"/>
                      <w:szCs w:val="21"/>
                    </w:rPr>
                  </w:pPr>
                </w:p>
              </w:tc>
              <w:tc>
                <w:tcPr>
                  <w:tcW w:w="1305" w:type="pct"/>
                  <w:gridSpan w:val="2"/>
                  <w:noWrap w:val="0"/>
                  <w:vAlign w:val="center"/>
                </w:tcPr>
                <w:p>
                  <w:pPr>
                    <w:spacing w:line="240" w:lineRule="auto"/>
                    <w:jc w:val="center"/>
                    <w:rPr>
                      <w:rFonts w:hint="eastAsia"/>
                      <w:sz w:val="21"/>
                      <w:szCs w:val="21"/>
                    </w:rPr>
                  </w:pPr>
                  <w:r>
                    <w:rPr>
                      <w:rFonts w:hint="eastAsia"/>
                      <w:sz w:val="21"/>
                      <w:szCs w:val="21"/>
                    </w:rPr>
                    <w:t>非甲烷总烃</w:t>
                  </w:r>
                </w:p>
              </w:tc>
              <w:tc>
                <w:tcPr>
                  <w:tcW w:w="1087" w:type="pct"/>
                  <w:noWrap w:val="0"/>
                  <w:vAlign w:val="center"/>
                </w:tcPr>
                <w:p>
                  <w:pPr>
                    <w:widowControl/>
                    <w:spacing w:line="240" w:lineRule="auto"/>
                    <w:jc w:val="center"/>
                    <w:textAlignment w:val="center"/>
                    <w:rPr>
                      <w:rFonts w:hint="default" w:eastAsia="宋体"/>
                      <w:color w:val="000000"/>
                      <w:sz w:val="21"/>
                      <w:szCs w:val="21"/>
                      <w:lang w:val="en-US" w:eastAsia="zh-CN"/>
                    </w:rPr>
                  </w:pPr>
                  <w:r>
                    <w:rPr>
                      <w:rFonts w:hint="eastAsia"/>
                      <w:color w:val="000000"/>
                      <w:sz w:val="21"/>
                      <w:szCs w:val="21"/>
                      <w:lang w:val="en-US" w:eastAsia="zh-CN"/>
                    </w:rPr>
                    <w:t>1.35</w:t>
                  </w:r>
                </w:p>
              </w:tc>
              <w:tc>
                <w:tcPr>
                  <w:tcW w:w="1087" w:type="pct"/>
                  <w:noWrap w:val="0"/>
                  <w:vAlign w:val="top"/>
                </w:tcPr>
                <w:p>
                  <w:pPr>
                    <w:spacing w:line="240" w:lineRule="auto"/>
                    <w:jc w:val="center"/>
                    <w:rPr>
                      <w:rFonts w:hint="default" w:eastAsia="宋体"/>
                      <w:sz w:val="21"/>
                      <w:szCs w:val="21"/>
                      <w:lang w:val="en-US" w:eastAsia="zh-CN"/>
                    </w:rPr>
                  </w:pPr>
                  <w:r>
                    <w:rPr>
                      <w:rFonts w:hint="eastAsia"/>
                      <w:sz w:val="21"/>
                      <w:szCs w:val="21"/>
                      <w:lang w:val="en-US" w:eastAsia="zh-CN"/>
                    </w:rPr>
                    <w:t>0.94</w:t>
                  </w:r>
                </w:p>
              </w:tc>
              <w:tc>
                <w:tcPr>
                  <w:tcW w:w="1090" w:type="pct"/>
                  <w:noWrap w:val="0"/>
                  <w:vAlign w:val="center"/>
                </w:tcPr>
                <w:p>
                  <w:pPr>
                    <w:widowControl/>
                    <w:spacing w:line="240" w:lineRule="auto"/>
                    <w:jc w:val="center"/>
                    <w:textAlignment w:val="center"/>
                    <w:rPr>
                      <w:rFonts w:hint="default" w:eastAsia="宋体"/>
                      <w:color w:val="000000"/>
                      <w:sz w:val="21"/>
                      <w:szCs w:val="21"/>
                      <w:lang w:val="en-US" w:eastAsia="zh-CN"/>
                    </w:rPr>
                  </w:pPr>
                  <w:r>
                    <w:rPr>
                      <w:rFonts w:hint="eastAsia"/>
                      <w:color w:val="000000"/>
                      <w:sz w:val="21"/>
                      <w:szCs w:val="21"/>
                      <w:lang w:val="en-US" w:eastAsia="zh-CN"/>
                    </w:rPr>
                    <w:t>0.41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27" w:type="pct"/>
                  <w:vMerge w:val="restart"/>
                  <w:noWrap w:val="0"/>
                  <w:vAlign w:val="center"/>
                </w:tcPr>
                <w:p>
                  <w:pPr>
                    <w:adjustRightInd w:val="0"/>
                    <w:snapToGrid w:val="0"/>
                    <w:spacing w:line="240" w:lineRule="auto"/>
                    <w:jc w:val="center"/>
                    <w:rPr>
                      <w:rFonts w:hint="eastAsia" w:hAnsi="宋体" w:eastAsia="宋体"/>
                      <w:sz w:val="21"/>
                      <w:szCs w:val="21"/>
                      <w:lang w:eastAsia="zh-CN"/>
                    </w:rPr>
                  </w:pPr>
                  <w:r>
                    <w:rPr>
                      <w:rFonts w:hint="eastAsia" w:hAnsi="宋体"/>
                      <w:sz w:val="21"/>
                      <w:szCs w:val="21"/>
                      <w:lang w:eastAsia="zh-CN"/>
                    </w:rPr>
                    <w:t>固废</w:t>
                  </w:r>
                </w:p>
              </w:tc>
              <w:tc>
                <w:tcPr>
                  <w:tcW w:w="1305" w:type="pct"/>
                  <w:gridSpan w:val="2"/>
                  <w:noWrap w:val="0"/>
                  <w:vAlign w:val="center"/>
                </w:tcPr>
                <w:p>
                  <w:pPr>
                    <w:adjustRightInd w:val="0"/>
                    <w:snapToGrid w:val="0"/>
                    <w:spacing w:line="240" w:lineRule="auto"/>
                    <w:jc w:val="center"/>
                    <w:rPr>
                      <w:rFonts w:hint="eastAsia" w:hAnsi="宋体"/>
                      <w:sz w:val="21"/>
                      <w:szCs w:val="21"/>
                    </w:rPr>
                  </w:pPr>
                  <w:r>
                    <w:rPr>
                      <w:rFonts w:hint="eastAsia"/>
                      <w:sz w:val="21"/>
                      <w:szCs w:val="21"/>
                    </w:rPr>
                    <w:t>生活垃圾</w:t>
                  </w:r>
                </w:p>
              </w:tc>
              <w:tc>
                <w:tcPr>
                  <w:tcW w:w="1087" w:type="pct"/>
                  <w:noWrap w:val="0"/>
                  <w:vAlign w:val="center"/>
                </w:tcPr>
                <w:p>
                  <w:pPr>
                    <w:widowControl/>
                    <w:spacing w:line="240" w:lineRule="auto"/>
                    <w:jc w:val="center"/>
                    <w:textAlignment w:val="center"/>
                    <w:rPr>
                      <w:rFonts w:hint="eastAsia" w:eastAsia="宋体"/>
                      <w:color w:val="000000"/>
                      <w:sz w:val="21"/>
                      <w:szCs w:val="21"/>
                      <w:lang w:val="en-US" w:eastAsia="zh-CN"/>
                    </w:rPr>
                  </w:pPr>
                  <w:r>
                    <w:rPr>
                      <w:rFonts w:hint="eastAsia"/>
                      <w:color w:val="000000"/>
                      <w:sz w:val="21"/>
                      <w:szCs w:val="21"/>
                      <w:lang w:val="en-US" w:eastAsia="zh-CN"/>
                    </w:rPr>
                    <w:t>3</w:t>
                  </w:r>
                </w:p>
              </w:tc>
              <w:tc>
                <w:tcPr>
                  <w:tcW w:w="1087" w:type="pct"/>
                  <w:noWrap w:val="0"/>
                  <w:vAlign w:val="center"/>
                </w:tcPr>
                <w:p>
                  <w:pPr>
                    <w:spacing w:line="240" w:lineRule="auto"/>
                    <w:jc w:val="center"/>
                    <w:rPr>
                      <w:rFonts w:hint="eastAsia" w:eastAsia="宋体"/>
                      <w:sz w:val="21"/>
                      <w:szCs w:val="21"/>
                      <w:lang w:val="en-US" w:eastAsia="zh-CN"/>
                    </w:rPr>
                  </w:pPr>
                  <w:r>
                    <w:rPr>
                      <w:rFonts w:hint="eastAsia"/>
                      <w:sz w:val="21"/>
                      <w:szCs w:val="21"/>
                      <w:lang w:val="en-US" w:eastAsia="zh-CN"/>
                    </w:rPr>
                    <w:t>3</w:t>
                  </w:r>
                </w:p>
              </w:tc>
              <w:tc>
                <w:tcPr>
                  <w:tcW w:w="1090" w:type="pct"/>
                  <w:noWrap w:val="0"/>
                  <w:vAlign w:val="center"/>
                </w:tcPr>
                <w:p>
                  <w:pPr>
                    <w:widowControl/>
                    <w:spacing w:line="240" w:lineRule="auto"/>
                    <w:jc w:val="center"/>
                    <w:textAlignment w:val="center"/>
                    <w:rPr>
                      <w:rFonts w:hint="eastAsia" w:eastAsia="宋体"/>
                      <w:color w:val="000000"/>
                      <w:sz w:val="21"/>
                      <w:szCs w:val="21"/>
                      <w:lang w:val="en-US" w:eastAsia="zh-CN"/>
                    </w:rPr>
                  </w:pPr>
                  <w:r>
                    <w:rPr>
                      <w:rFonts w:hint="eastAsia"/>
                      <w:color w:val="000000"/>
                      <w:sz w:val="21"/>
                      <w:szCs w:val="21"/>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165" w:hRule="atLeast"/>
                <w:jc w:val="center"/>
              </w:trPr>
              <w:tc>
                <w:tcPr>
                  <w:tcW w:w="427" w:type="pct"/>
                  <w:vMerge w:val="continue"/>
                  <w:noWrap w:val="0"/>
                  <w:vAlign w:val="top"/>
                </w:tcPr>
                <w:p>
                  <w:pPr>
                    <w:spacing w:line="240" w:lineRule="auto"/>
                    <w:jc w:val="center"/>
                    <w:rPr>
                      <w:rFonts w:hAnsi="宋体"/>
                      <w:sz w:val="21"/>
                      <w:szCs w:val="21"/>
                    </w:rPr>
                  </w:pPr>
                </w:p>
              </w:tc>
              <w:tc>
                <w:tcPr>
                  <w:tcW w:w="573" w:type="pct"/>
                  <w:vMerge w:val="restart"/>
                  <w:noWrap w:val="0"/>
                  <w:vAlign w:val="center"/>
                </w:tcPr>
                <w:p>
                  <w:pPr>
                    <w:adjustRightInd w:val="0"/>
                    <w:snapToGrid w:val="0"/>
                    <w:spacing w:line="240" w:lineRule="auto"/>
                    <w:jc w:val="center"/>
                    <w:rPr>
                      <w:rFonts w:hint="eastAsia" w:ascii="Times New Roman" w:hAnsi="宋体" w:eastAsia="宋体" w:cs="Times New Roman"/>
                      <w:kern w:val="2"/>
                      <w:sz w:val="21"/>
                      <w:szCs w:val="21"/>
                      <w:lang w:val="en-US" w:eastAsia="zh-CN" w:bidi="ar-SA"/>
                    </w:rPr>
                  </w:pPr>
                  <w:r>
                    <w:rPr>
                      <w:rFonts w:hint="eastAsia" w:hAnsi="宋体"/>
                      <w:sz w:val="21"/>
                      <w:szCs w:val="21"/>
                    </w:rPr>
                    <w:t>一般固废</w:t>
                  </w:r>
                </w:p>
              </w:tc>
              <w:tc>
                <w:tcPr>
                  <w:tcW w:w="732" w:type="pct"/>
                  <w:noWrap w:val="0"/>
                  <w:vAlign w:val="center"/>
                </w:tcPr>
                <w:p>
                  <w:pPr>
                    <w:adjustRightInd w:val="0"/>
                    <w:snapToGrid w:val="0"/>
                    <w:spacing w:line="240" w:lineRule="auto"/>
                    <w:jc w:val="center"/>
                    <w:rPr>
                      <w:rFonts w:hint="eastAsia" w:hAnsi="宋体" w:eastAsia="宋体"/>
                      <w:sz w:val="21"/>
                      <w:szCs w:val="21"/>
                      <w:lang w:eastAsia="zh-CN"/>
                    </w:rPr>
                  </w:pPr>
                  <w:r>
                    <w:rPr>
                      <w:rFonts w:hint="eastAsia" w:hAnsi="宋体"/>
                      <w:sz w:val="21"/>
                      <w:szCs w:val="21"/>
                      <w:lang w:eastAsia="zh-CN"/>
                    </w:rPr>
                    <w:t>废包装材料</w:t>
                  </w:r>
                </w:p>
              </w:tc>
              <w:tc>
                <w:tcPr>
                  <w:tcW w:w="1087" w:type="pct"/>
                  <w:noWrap w:val="0"/>
                  <w:vAlign w:val="center"/>
                </w:tcPr>
                <w:p>
                  <w:pPr>
                    <w:widowControl/>
                    <w:spacing w:line="240" w:lineRule="auto"/>
                    <w:jc w:val="center"/>
                    <w:textAlignment w:val="center"/>
                    <w:rPr>
                      <w:rFonts w:hint="eastAsia" w:eastAsia="宋体"/>
                      <w:color w:val="000000"/>
                      <w:sz w:val="21"/>
                      <w:szCs w:val="21"/>
                      <w:lang w:val="en-US" w:eastAsia="zh-CN"/>
                    </w:rPr>
                  </w:pPr>
                  <w:r>
                    <w:rPr>
                      <w:rFonts w:hint="eastAsia"/>
                      <w:color w:val="000000"/>
                      <w:sz w:val="21"/>
                      <w:szCs w:val="21"/>
                      <w:lang w:val="en-US" w:eastAsia="zh-CN"/>
                    </w:rPr>
                    <w:t>3</w:t>
                  </w:r>
                </w:p>
              </w:tc>
              <w:tc>
                <w:tcPr>
                  <w:tcW w:w="1087" w:type="pct"/>
                  <w:noWrap w:val="0"/>
                  <w:vAlign w:val="center"/>
                </w:tcPr>
                <w:p>
                  <w:pPr>
                    <w:spacing w:line="240" w:lineRule="auto"/>
                    <w:jc w:val="center"/>
                    <w:rPr>
                      <w:rFonts w:hint="eastAsia" w:eastAsia="宋体"/>
                      <w:sz w:val="21"/>
                      <w:szCs w:val="21"/>
                      <w:lang w:val="en-US" w:eastAsia="zh-CN"/>
                    </w:rPr>
                  </w:pPr>
                  <w:r>
                    <w:rPr>
                      <w:rFonts w:hint="eastAsia"/>
                      <w:sz w:val="21"/>
                      <w:szCs w:val="21"/>
                      <w:lang w:val="en-US" w:eastAsia="zh-CN"/>
                    </w:rPr>
                    <w:t>3</w:t>
                  </w:r>
                </w:p>
              </w:tc>
              <w:tc>
                <w:tcPr>
                  <w:tcW w:w="1090" w:type="pct"/>
                  <w:noWrap w:val="0"/>
                  <w:vAlign w:val="center"/>
                </w:tcPr>
                <w:p>
                  <w:pPr>
                    <w:widowControl/>
                    <w:spacing w:line="240" w:lineRule="auto"/>
                    <w:jc w:val="center"/>
                    <w:textAlignment w:val="center"/>
                    <w:rPr>
                      <w:rFonts w:hint="eastAsia" w:eastAsia="宋体"/>
                      <w:color w:val="000000"/>
                      <w:sz w:val="21"/>
                      <w:szCs w:val="21"/>
                      <w:lang w:val="en-US" w:eastAsia="zh-CN"/>
                    </w:rPr>
                  </w:pPr>
                  <w:r>
                    <w:rPr>
                      <w:rFonts w:hint="eastAsia"/>
                      <w:color w:val="000000"/>
                      <w:sz w:val="21"/>
                      <w:szCs w:val="21"/>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165" w:hRule="atLeast"/>
                <w:jc w:val="center"/>
              </w:trPr>
              <w:tc>
                <w:tcPr>
                  <w:tcW w:w="427" w:type="pct"/>
                  <w:vMerge w:val="continue"/>
                  <w:noWrap w:val="0"/>
                  <w:vAlign w:val="top"/>
                </w:tcPr>
                <w:p>
                  <w:pPr>
                    <w:adjustRightInd w:val="0"/>
                    <w:snapToGrid w:val="0"/>
                    <w:spacing w:line="240" w:lineRule="auto"/>
                    <w:jc w:val="center"/>
                  </w:pPr>
                </w:p>
              </w:tc>
              <w:tc>
                <w:tcPr>
                  <w:tcW w:w="573" w:type="pct"/>
                  <w:vMerge w:val="continue"/>
                  <w:noWrap w:val="0"/>
                  <w:vAlign w:val="center"/>
                </w:tcPr>
                <w:p>
                  <w:pPr>
                    <w:adjustRightInd w:val="0"/>
                    <w:snapToGrid w:val="0"/>
                    <w:spacing w:line="240" w:lineRule="auto"/>
                    <w:jc w:val="center"/>
                  </w:pPr>
                </w:p>
              </w:tc>
              <w:tc>
                <w:tcPr>
                  <w:tcW w:w="732" w:type="pct"/>
                  <w:noWrap w:val="0"/>
                  <w:vAlign w:val="center"/>
                </w:tcPr>
                <w:p>
                  <w:pPr>
                    <w:adjustRightInd w:val="0"/>
                    <w:snapToGrid w:val="0"/>
                    <w:spacing w:line="240" w:lineRule="auto"/>
                    <w:jc w:val="center"/>
                    <w:rPr>
                      <w:rFonts w:hint="eastAsia" w:hAnsi="宋体" w:eastAsia="宋体"/>
                      <w:sz w:val="21"/>
                      <w:szCs w:val="21"/>
                      <w:lang w:eastAsia="zh-CN"/>
                    </w:rPr>
                  </w:pPr>
                  <w:r>
                    <w:rPr>
                      <w:rFonts w:hint="eastAsia" w:hAnsi="宋体"/>
                      <w:sz w:val="21"/>
                      <w:szCs w:val="21"/>
                      <w:lang w:eastAsia="zh-CN"/>
                    </w:rPr>
                    <w:t>不合格品</w:t>
                  </w:r>
                </w:p>
              </w:tc>
              <w:tc>
                <w:tcPr>
                  <w:tcW w:w="1087" w:type="pct"/>
                  <w:noWrap w:val="0"/>
                  <w:vAlign w:val="center"/>
                </w:tcPr>
                <w:p>
                  <w:pPr>
                    <w:adjustRightInd w:val="0"/>
                    <w:snapToGrid w:val="0"/>
                    <w:spacing w:line="240" w:lineRule="auto"/>
                    <w:jc w:val="center"/>
                    <w:rPr>
                      <w:rFonts w:hint="default" w:hAnsi="宋体" w:eastAsia="宋体"/>
                      <w:sz w:val="21"/>
                      <w:szCs w:val="21"/>
                      <w:lang w:val="en-US" w:eastAsia="zh-CN"/>
                    </w:rPr>
                  </w:pPr>
                  <w:r>
                    <w:rPr>
                      <w:rFonts w:hint="eastAsia" w:hAnsi="宋体"/>
                      <w:sz w:val="21"/>
                      <w:szCs w:val="21"/>
                      <w:lang w:val="en-US" w:eastAsia="zh-CN"/>
                    </w:rPr>
                    <w:t>0.3</w:t>
                  </w:r>
                </w:p>
              </w:tc>
              <w:tc>
                <w:tcPr>
                  <w:tcW w:w="1087" w:type="pct"/>
                  <w:noWrap w:val="0"/>
                  <w:vAlign w:val="center"/>
                </w:tcPr>
                <w:p>
                  <w:pPr>
                    <w:adjustRightInd w:val="0"/>
                    <w:snapToGrid w:val="0"/>
                    <w:spacing w:line="240" w:lineRule="auto"/>
                    <w:jc w:val="center"/>
                    <w:rPr>
                      <w:rFonts w:hint="default" w:hAnsi="宋体" w:eastAsia="宋体"/>
                      <w:sz w:val="21"/>
                      <w:szCs w:val="21"/>
                      <w:lang w:val="en-US" w:eastAsia="zh-CN"/>
                    </w:rPr>
                  </w:pPr>
                  <w:r>
                    <w:rPr>
                      <w:rFonts w:hint="eastAsia" w:hAnsi="宋体"/>
                      <w:sz w:val="21"/>
                      <w:szCs w:val="21"/>
                      <w:lang w:val="en-US" w:eastAsia="zh-CN"/>
                    </w:rPr>
                    <w:t>0.3</w:t>
                  </w:r>
                </w:p>
              </w:tc>
              <w:tc>
                <w:tcPr>
                  <w:tcW w:w="1090" w:type="pct"/>
                  <w:noWrap w:val="0"/>
                  <w:vAlign w:val="center"/>
                </w:tcPr>
                <w:p>
                  <w:pPr>
                    <w:adjustRightInd w:val="0"/>
                    <w:snapToGrid w:val="0"/>
                    <w:spacing w:line="240" w:lineRule="auto"/>
                    <w:jc w:val="center"/>
                    <w:rPr>
                      <w:rFonts w:hint="default" w:hAnsi="宋体" w:eastAsia="宋体"/>
                      <w:sz w:val="21"/>
                      <w:szCs w:val="21"/>
                      <w:lang w:val="en-US" w:eastAsia="zh-CN"/>
                    </w:rPr>
                  </w:pPr>
                  <w:r>
                    <w:rPr>
                      <w:rFonts w:hint="eastAsia" w:hAnsi="宋体"/>
                      <w:sz w:val="21"/>
                      <w:szCs w:val="21"/>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27" w:type="pct"/>
                  <w:vMerge w:val="continue"/>
                  <w:noWrap w:val="0"/>
                  <w:vAlign w:val="center"/>
                </w:tcPr>
                <w:p>
                  <w:pPr>
                    <w:adjustRightInd w:val="0"/>
                    <w:snapToGrid w:val="0"/>
                    <w:spacing w:line="240" w:lineRule="auto"/>
                    <w:jc w:val="center"/>
                    <w:rPr>
                      <w:rFonts w:hint="eastAsia"/>
                      <w:sz w:val="21"/>
                      <w:szCs w:val="21"/>
                    </w:rPr>
                  </w:pPr>
                </w:p>
              </w:tc>
              <w:tc>
                <w:tcPr>
                  <w:tcW w:w="573" w:type="pct"/>
                  <w:noWrap w:val="0"/>
                  <w:vAlign w:val="top"/>
                </w:tcPr>
                <w:p>
                  <w:pPr>
                    <w:spacing w:line="240" w:lineRule="auto"/>
                    <w:jc w:val="center"/>
                    <w:rPr>
                      <w:rFonts w:hint="eastAsia" w:ascii="Times New Roman" w:hAnsi="宋体" w:eastAsia="宋体" w:cs="Times New Roman"/>
                      <w:kern w:val="2"/>
                      <w:sz w:val="21"/>
                      <w:szCs w:val="21"/>
                      <w:lang w:val="en-US" w:eastAsia="zh-CN" w:bidi="ar-SA"/>
                    </w:rPr>
                  </w:pPr>
                  <w:r>
                    <w:rPr>
                      <w:rFonts w:hint="eastAsia"/>
                      <w:sz w:val="21"/>
                      <w:szCs w:val="21"/>
                    </w:rPr>
                    <w:t>危险废物</w:t>
                  </w:r>
                </w:p>
              </w:tc>
              <w:tc>
                <w:tcPr>
                  <w:tcW w:w="732" w:type="pct"/>
                  <w:noWrap w:val="0"/>
                  <w:vAlign w:val="top"/>
                </w:tcPr>
                <w:p>
                  <w:pPr>
                    <w:spacing w:line="240" w:lineRule="auto"/>
                    <w:jc w:val="center"/>
                    <w:rPr>
                      <w:rFonts w:hint="eastAsia"/>
                      <w:sz w:val="21"/>
                      <w:szCs w:val="21"/>
                    </w:rPr>
                  </w:pPr>
                  <w:r>
                    <w:rPr>
                      <w:rFonts w:hint="eastAsia" w:hAnsi="宋体"/>
                      <w:sz w:val="21"/>
                      <w:szCs w:val="21"/>
                      <w:lang w:eastAsia="zh-CN"/>
                    </w:rPr>
                    <w:t>失效活性炭</w:t>
                  </w:r>
                </w:p>
              </w:tc>
              <w:tc>
                <w:tcPr>
                  <w:tcW w:w="1087" w:type="pct"/>
                  <w:noWrap w:val="0"/>
                  <w:vAlign w:val="center"/>
                </w:tcPr>
                <w:p>
                  <w:pPr>
                    <w:widowControl/>
                    <w:spacing w:line="240" w:lineRule="auto"/>
                    <w:jc w:val="center"/>
                    <w:textAlignment w:val="center"/>
                    <w:rPr>
                      <w:rFonts w:hint="eastAsia" w:eastAsia="宋体"/>
                      <w:color w:val="000000"/>
                      <w:sz w:val="21"/>
                      <w:szCs w:val="21"/>
                      <w:lang w:val="en-US" w:eastAsia="zh-CN"/>
                    </w:rPr>
                  </w:pPr>
                  <w:r>
                    <w:rPr>
                      <w:rFonts w:hint="eastAsia"/>
                      <w:color w:val="000000"/>
                      <w:sz w:val="21"/>
                      <w:szCs w:val="21"/>
                      <w:lang w:val="en-US" w:eastAsia="zh-CN"/>
                    </w:rPr>
                    <w:t>4</w:t>
                  </w:r>
                </w:p>
              </w:tc>
              <w:tc>
                <w:tcPr>
                  <w:tcW w:w="1087" w:type="pct"/>
                  <w:noWrap w:val="0"/>
                  <w:vAlign w:val="center"/>
                </w:tcPr>
                <w:p>
                  <w:pPr>
                    <w:spacing w:line="240" w:lineRule="auto"/>
                    <w:jc w:val="center"/>
                    <w:rPr>
                      <w:rFonts w:hint="eastAsia" w:eastAsia="宋体"/>
                      <w:sz w:val="21"/>
                      <w:szCs w:val="21"/>
                      <w:lang w:val="en-US" w:eastAsia="zh-CN"/>
                    </w:rPr>
                  </w:pPr>
                  <w:r>
                    <w:rPr>
                      <w:rFonts w:hint="eastAsia"/>
                      <w:sz w:val="21"/>
                      <w:szCs w:val="21"/>
                      <w:lang w:val="en-US" w:eastAsia="zh-CN"/>
                    </w:rPr>
                    <w:t>4</w:t>
                  </w:r>
                </w:p>
              </w:tc>
              <w:tc>
                <w:tcPr>
                  <w:tcW w:w="1090" w:type="pct"/>
                  <w:noWrap w:val="0"/>
                  <w:vAlign w:val="center"/>
                </w:tcPr>
                <w:p>
                  <w:pPr>
                    <w:widowControl/>
                    <w:spacing w:line="240" w:lineRule="auto"/>
                    <w:jc w:val="center"/>
                    <w:textAlignment w:val="center"/>
                    <w:rPr>
                      <w:rFonts w:hint="eastAsia" w:eastAsia="宋体"/>
                      <w:color w:val="000000"/>
                      <w:sz w:val="21"/>
                      <w:szCs w:val="21"/>
                      <w:lang w:val="en-US" w:eastAsia="zh-CN"/>
                    </w:rPr>
                  </w:pPr>
                  <w:r>
                    <w:rPr>
                      <w:rFonts w:hint="eastAsia"/>
                      <w:color w:val="000000"/>
                      <w:sz w:val="21"/>
                      <w:szCs w:val="21"/>
                      <w:lang w:val="en-US" w:eastAsia="zh-CN"/>
                    </w:rPr>
                    <w:t>0</w:t>
                  </w:r>
                </w:p>
              </w:tc>
            </w:tr>
          </w:tbl>
          <w:p>
            <w:pPr>
              <w:pStyle w:val="2"/>
              <w:numPr>
                <w:ilvl w:val="0"/>
                <w:numId w:val="0"/>
              </w:numPr>
              <w:ind w:leftChars="0"/>
              <w:rPr>
                <w:rFonts w:hint="default" w:ascii="Times New Roman" w:hAnsi="Times New Roman" w:cs="Times New Roman"/>
                <w:b/>
                <w:bCs/>
                <w:sz w:val="24"/>
                <w:lang w:val="en-US" w:eastAsia="zh-CN"/>
              </w:rPr>
            </w:pPr>
            <w:r>
              <w:rPr>
                <w:rFonts w:hint="eastAsia" w:cs="Times New Roman"/>
                <w:b/>
                <w:bCs/>
                <w:sz w:val="24"/>
                <w:lang w:val="en-US" w:eastAsia="zh-CN"/>
              </w:rPr>
              <w:t>5、</w:t>
            </w:r>
            <w:r>
              <w:rPr>
                <w:rFonts w:hint="default" w:ascii="Times New Roman" w:hAnsi="Times New Roman" w:cs="Times New Roman"/>
                <w:b/>
                <w:bCs/>
                <w:sz w:val="24"/>
                <w:lang w:val="en-US" w:eastAsia="zh-CN"/>
              </w:rPr>
              <w:t>现有项目存在的环境问题及“以新代老”解决措施</w:t>
            </w:r>
          </w:p>
          <w:p>
            <w:pPr>
              <w:bidi w:val="0"/>
              <w:ind w:firstLine="480" w:firstLineChars="200"/>
              <w:rPr>
                <w:rFonts w:hint="default"/>
                <w:lang w:val="en-US" w:eastAsia="zh-CN"/>
              </w:rPr>
            </w:pPr>
            <w:r>
              <w:rPr>
                <w:rFonts w:hint="default"/>
                <w:lang w:val="en-US" w:eastAsia="zh-CN"/>
              </w:rPr>
              <w:t>现有项目环评手续齐全，污染防治措施均按环评批复执行。现有项目废水、废气、噪声均可实现污染物达标排放，固体废物均得到安全处置。现有项目无环境污染事故、环境风险事故，与周边居民及企业无环保纠纷。</w:t>
            </w:r>
          </w:p>
          <w:p>
            <w:pPr>
              <w:bidi w:val="0"/>
              <w:ind w:firstLine="480" w:firstLineChars="200"/>
              <w:rPr>
                <w:rFonts w:hint="default"/>
                <w:lang w:val="en-US" w:eastAsia="zh-CN"/>
              </w:rPr>
            </w:pPr>
            <w:r>
              <w:rPr>
                <w:rFonts w:hint="eastAsia"/>
                <w:lang w:val="en-US" w:eastAsia="zh-CN"/>
              </w:rPr>
              <w:t>由于项目审批时间较早，现有对于非甲烷总烃的处理方式为一级活性炭吸附处理，现为提标改造，修改为低温等离子+活性炭吸附二级处理，项目的废气收集措施为90%，处置效率由70%提升至90%。增加4000m</w:t>
            </w:r>
            <w:r>
              <w:rPr>
                <w:rFonts w:hint="eastAsia"/>
                <w:vertAlign w:val="superscript"/>
                <w:lang w:val="en-US" w:eastAsia="zh-CN"/>
              </w:rPr>
              <w:t>3</w:t>
            </w:r>
            <w:r>
              <w:rPr>
                <w:rFonts w:hint="eastAsia"/>
                <w:lang w:val="en-US" w:eastAsia="zh-CN"/>
              </w:rPr>
              <w:t>/h的排风量。</w:t>
            </w:r>
          </w:p>
        </w:tc>
      </w:tr>
    </w:tbl>
    <w:p>
      <w:r>
        <w:br w:type="page"/>
      </w:r>
    </w:p>
    <w:p>
      <w:pPr>
        <w:pStyle w:val="3"/>
        <w:rPr>
          <w:rFonts w:hint="default"/>
        </w:rPr>
      </w:pPr>
      <w:bookmarkStart w:id="3" w:name="_Toc24640"/>
      <w:r>
        <w:rPr>
          <w:rStyle w:val="106"/>
          <w:rFonts w:hint="default"/>
          <w:b/>
        </w:rPr>
        <w:t>二、建设项目所在地自然环境社会环境简况</w:t>
      </w:r>
      <w:bookmarkEnd w:id="3"/>
    </w:p>
    <w:tbl>
      <w:tblPr>
        <w:tblStyle w:val="2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8" w:type="dxa"/>
            <w:noWrap w:val="0"/>
            <w:vAlign w:val="top"/>
          </w:tcPr>
          <w:p>
            <w:pPr>
              <w:rPr>
                <w:rFonts w:hint="default" w:ascii="Times New Roman" w:hAnsi="Times New Roman" w:cs="Times New Roman"/>
                <w:b/>
                <w:bCs/>
                <w:spacing w:val="-12"/>
              </w:rPr>
            </w:pPr>
            <w:r>
              <w:rPr>
                <w:rFonts w:hint="default" w:ascii="Times New Roman" w:hAnsi="Times New Roman" w:cs="Times New Roman"/>
                <w:b/>
                <w:bCs/>
                <w:spacing w:val="-12"/>
              </w:rPr>
              <w:t>自然环境简况（地形、地貌、地质、气候、气象、水文、植被、生物多样性等）：</w:t>
            </w:r>
          </w:p>
          <w:p>
            <w:pPr>
              <w:pStyle w:val="21"/>
              <w:tabs>
                <w:tab w:val="left" w:pos="5046"/>
              </w:tabs>
              <w:spacing w:before="0" w:beforeAutospacing="0" w:after="0" w:afterAutospacing="0"/>
              <w:ind w:firstLine="482"/>
              <w:rPr>
                <w:rFonts w:hint="default" w:ascii="Times New Roman" w:hAnsi="Times New Roman" w:cs="Times New Roman"/>
                <w:b/>
                <w:bCs/>
              </w:rPr>
            </w:pPr>
            <w:r>
              <w:rPr>
                <w:rFonts w:hint="default" w:ascii="Times New Roman" w:hAnsi="Times New Roman" w:cs="Times New Roman"/>
                <w:b/>
                <w:bCs/>
              </w:rPr>
              <w:t>1、地理位置</w:t>
            </w:r>
          </w:p>
          <w:p>
            <w:pPr>
              <w:pStyle w:val="21"/>
              <w:tabs>
                <w:tab w:val="left" w:pos="5046"/>
              </w:tabs>
              <w:spacing w:before="0" w:beforeAutospacing="0" w:after="0" w:afterAutospacing="0"/>
              <w:ind w:firstLine="482"/>
              <w:rPr>
                <w:rFonts w:hint="default" w:ascii="Times New Roman" w:hAnsi="Times New Roman" w:cs="Times New Roman"/>
              </w:rPr>
            </w:pPr>
            <w:r>
              <w:rPr>
                <w:rFonts w:hint="default" w:ascii="Times New Roman" w:hAnsi="Times New Roman" w:cs="Times New Roman"/>
              </w:rPr>
              <w:t>苏州高新区西临烟波浩渺的万顷太湖，东依2500年历史的苏州古城，素有</w:t>
            </w:r>
            <w:r>
              <w:rPr>
                <w:rFonts w:hint="default" w:ascii="Times New Roman" w:hAnsi="Times New Roman" w:cs="Times New Roman"/>
                <w:lang w:eastAsia="zh-CN"/>
              </w:rPr>
              <w:t>“</w:t>
            </w:r>
            <w:r>
              <w:rPr>
                <w:rFonts w:hint="default" w:ascii="Times New Roman" w:hAnsi="Times New Roman" w:cs="Times New Roman"/>
              </w:rPr>
              <w:t>真山真水园中城、科技人文新天堂</w:t>
            </w:r>
            <w:r>
              <w:rPr>
                <w:rFonts w:hint="default" w:ascii="Times New Roman" w:hAnsi="Times New Roman" w:cs="Times New Roman"/>
                <w:lang w:eastAsia="zh-CN"/>
              </w:rPr>
              <w:t>”</w:t>
            </w:r>
            <w:r>
              <w:rPr>
                <w:rFonts w:hint="default" w:ascii="Times New Roman" w:hAnsi="Times New Roman" w:cs="Times New Roman"/>
              </w:rPr>
              <w:t>美誉，是全国首批国家级高新区。区域行政区域面积332平方公里，其中太湖水域109平方公里。2017年底，全区总人口80万人，其中户籍人口39万人；下辖浒墅关、通安2个镇，狮山、枫桥、横塘、镇湖、东渚5个街道和浒墅关国家经济技术开发区、苏州科技城、苏州西部生态旅游度假区、苏州高新区综合保税区。</w:t>
            </w:r>
          </w:p>
          <w:p>
            <w:pPr>
              <w:pStyle w:val="21"/>
              <w:tabs>
                <w:tab w:val="left" w:pos="5046"/>
              </w:tabs>
              <w:spacing w:before="0" w:beforeAutospacing="0" w:after="0" w:afterAutospacing="0"/>
              <w:ind w:firstLine="482"/>
              <w:rPr>
                <w:rFonts w:hint="default" w:ascii="Times New Roman" w:hAnsi="Times New Roman" w:cs="Times New Roman"/>
              </w:rPr>
            </w:pPr>
            <w:r>
              <w:rPr>
                <w:rFonts w:hint="default" w:ascii="Times New Roman" w:hAnsi="Times New Roman" w:cs="Times New Roman"/>
              </w:rPr>
              <w:t>苏州源顺祥新材料有限公司位于苏州高新区浒关分区东金芝路56号（具体位置见附图1项目地理位置图）。</w:t>
            </w:r>
          </w:p>
          <w:p>
            <w:pPr>
              <w:ind w:firstLine="482" w:firstLineChars="200"/>
              <w:rPr>
                <w:rFonts w:hint="default" w:ascii="Times New Roman" w:hAnsi="Times New Roman" w:cs="Times New Roman"/>
                <w:b/>
                <w:bCs/>
              </w:rPr>
            </w:pPr>
            <w:r>
              <w:rPr>
                <w:rFonts w:hint="default" w:ascii="Times New Roman" w:hAnsi="Times New Roman" w:cs="Times New Roman"/>
                <w:b/>
                <w:bCs/>
              </w:rPr>
              <w:t>2、地形、地貌、地质</w:t>
            </w:r>
          </w:p>
          <w:p>
            <w:pPr>
              <w:ind w:firstLine="480" w:firstLineChars="200"/>
              <w:rPr>
                <w:rFonts w:hint="default" w:ascii="Times New Roman" w:hAnsi="Times New Roman" w:cs="Times New Roman"/>
              </w:rPr>
            </w:pPr>
            <w:r>
              <w:rPr>
                <w:rFonts w:hint="default" w:ascii="Times New Roman" w:hAnsi="Times New Roman" w:cs="Times New Roman"/>
              </w:rPr>
              <w:t>苏州在地貌上属于长江下游三角洲冲积平原，地势平坦，高程在3.5～5m，苏州西部地势较高，并有低山丘陵，如天平山、七子山等，东部地势相对低洼，且多湖泊，如阳澄湖、金鸡湖等。</w:t>
            </w:r>
          </w:p>
          <w:p>
            <w:pPr>
              <w:ind w:firstLine="480" w:firstLineChars="200"/>
              <w:rPr>
                <w:rFonts w:hint="default" w:ascii="Times New Roman" w:hAnsi="Times New Roman" w:cs="Times New Roman"/>
              </w:rPr>
            </w:pPr>
            <w:r>
              <w:rPr>
                <w:rFonts w:hint="default" w:ascii="Times New Roman" w:hAnsi="Times New Roman" w:cs="Times New Roman"/>
              </w:rPr>
              <w:t>项目所处的苏州高新区地势西高东低，吴淞标高4.88m-5.38m，土质粘性，地耐力强，地质稳定。属亚热带季风海洋性气候，春秋短，冬夏长，四季分明，全年气候温和湿润。</w:t>
            </w:r>
          </w:p>
          <w:p>
            <w:pPr>
              <w:ind w:firstLine="480" w:firstLineChars="200"/>
              <w:rPr>
                <w:rFonts w:hint="default" w:ascii="Times New Roman" w:hAnsi="Times New Roman" w:cs="Times New Roman"/>
              </w:rPr>
            </w:pPr>
            <w:r>
              <w:rPr>
                <w:rFonts w:hint="default" w:ascii="Times New Roman" w:hAnsi="Times New Roman" w:cs="Times New Roman"/>
              </w:rPr>
              <w:t>苏州高新区为冲积平原地质区及基岩山丘工程地质区，除表层土层经人类活动而堆积外，其余均为第四纪沉积层，坡度平缓，一般呈水平成层、互交层或夹层，较有规律。地质特点表现为：地势平整，地质较硬，地耐力较强。根据</w:t>
            </w:r>
            <w:r>
              <w:rPr>
                <w:rFonts w:hint="default" w:ascii="Times New Roman" w:hAnsi="Times New Roman" w:cs="Times New Roman"/>
                <w:lang w:eastAsia="zh-CN"/>
              </w:rPr>
              <w:t>“</w:t>
            </w:r>
            <w:r>
              <w:rPr>
                <w:rFonts w:hint="default" w:ascii="Times New Roman" w:hAnsi="Times New Roman" w:cs="Times New Roman"/>
              </w:rPr>
              <w:t>中国地震裂度区划图（1990）</w:t>
            </w:r>
            <w:r>
              <w:rPr>
                <w:rFonts w:hint="default" w:ascii="Times New Roman" w:hAnsi="Times New Roman" w:cs="Times New Roman"/>
                <w:lang w:eastAsia="zh-CN"/>
              </w:rPr>
              <w:t>”</w:t>
            </w:r>
            <w:r>
              <w:rPr>
                <w:rFonts w:hint="default" w:ascii="Times New Roman" w:hAnsi="Times New Roman" w:cs="Times New Roman"/>
              </w:rPr>
              <w:t>及国家地震局、建设部地震办[1992]160号文，苏州市50年超过概率10%的烈度值为Ⅵ度。</w:t>
            </w:r>
          </w:p>
          <w:p>
            <w:pPr>
              <w:ind w:firstLine="482" w:firstLineChars="200"/>
              <w:rPr>
                <w:rFonts w:hint="default" w:ascii="Times New Roman" w:hAnsi="Times New Roman" w:cs="Times New Roman"/>
                <w:b/>
                <w:bCs/>
              </w:rPr>
            </w:pPr>
            <w:r>
              <w:rPr>
                <w:rFonts w:hint="default" w:ascii="Times New Roman" w:hAnsi="Times New Roman" w:cs="Times New Roman"/>
                <w:b/>
                <w:bCs/>
              </w:rPr>
              <w:t>3、气候气象</w:t>
            </w:r>
          </w:p>
          <w:p>
            <w:pPr>
              <w:pStyle w:val="2"/>
              <w:ind w:firstLine="480"/>
              <w:rPr>
                <w:rFonts w:hint="default" w:ascii="Times New Roman" w:hAnsi="Times New Roman" w:cs="Times New Roman"/>
              </w:rPr>
            </w:pPr>
            <w:r>
              <w:rPr>
                <w:rFonts w:hint="default" w:ascii="Times New Roman" w:hAnsi="Times New Roman" w:cs="Times New Roman"/>
              </w:rPr>
              <w:t>苏州高新区属北亚热带湿润性季风气候，受太湖水体的调节影响，雨水丰沛，日照充足，无霜期长，具有明显的季风气候，气候温和润温，干温冷暖，四季分明。春季冷暖多变，夏季炎热多雨，秋天天高气爽，冬季寒冷干燥。夏季昼长夜短，盛行东南风，冬季日短夜长，常刮西北风。通常，春季为3～5月，夏季6～8月，秋季9～11月，冬季为12～次年2月，冬夏季较长，而春季秋季较短。年平均气温15.7℃，历史极端最高气温39.3℃，极端最低气温-9.8℃。年平均降水量1094mm，历史最大年降水量1783mm，最小年降水量604mm，年平均降雨日130天，降雨期一般集中在6至9月，6月份降水量占全年降水量的15％。年平均有雾日25天，年平均日照数1996h，年平均蒸发量1291mm，年平均相对湿度80％。近5年平均风速2.6m/s，三十年一遇最大风速28m/s，常年最多风向为SE风，次主导风向为NNE；冬季以西北风为主，夏季多半为东南风。</w:t>
            </w:r>
          </w:p>
          <w:p>
            <w:pPr>
              <w:ind w:firstLine="482" w:firstLineChars="200"/>
              <w:rPr>
                <w:rFonts w:hint="default" w:ascii="Times New Roman" w:hAnsi="Times New Roman" w:cs="Times New Roman"/>
                <w:b/>
                <w:bCs/>
              </w:rPr>
            </w:pPr>
            <w:r>
              <w:rPr>
                <w:rFonts w:hint="default" w:ascii="Times New Roman" w:hAnsi="Times New Roman" w:cs="Times New Roman"/>
                <w:b/>
                <w:bCs/>
              </w:rPr>
              <w:t>4、水文</w:t>
            </w:r>
          </w:p>
          <w:p>
            <w:pPr>
              <w:pStyle w:val="2"/>
              <w:ind w:firstLine="480"/>
              <w:rPr>
                <w:rFonts w:hint="default" w:ascii="Times New Roman" w:hAnsi="Times New Roman" w:cs="Times New Roman"/>
              </w:rPr>
            </w:pPr>
            <w:r>
              <w:rPr>
                <w:rFonts w:hint="default" w:ascii="Times New Roman" w:hAnsi="Times New Roman" w:cs="Times New Roman"/>
              </w:rPr>
              <w:t>苏州高新区属太湖水系，区内河网交织。一般河道间距在500-800米，最大不超过1200米。新区内河道走向一般呈东西和南北向，南北向的河流主要有：京杭运河、大轮浜、石城河和金枫运河；东西向的河流主要有：马运河、金山浜、枫津河、双石港等。其中马运河、金山浜、金枫运河为六级航道，京杭运河为四级航道，其它为不通航河道。</w:t>
            </w:r>
          </w:p>
          <w:p>
            <w:pPr>
              <w:pStyle w:val="2"/>
              <w:ind w:firstLine="480"/>
              <w:rPr>
                <w:rFonts w:hint="default" w:ascii="Times New Roman" w:hAnsi="Times New Roman" w:cs="Times New Roman"/>
              </w:rPr>
            </w:pPr>
            <w:r>
              <w:rPr>
                <w:rFonts w:hint="default" w:ascii="Times New Roman" w:hAnsi="Times New Roman" w:cs="Times New Roman"/>
              </w:rPr>
              <w:t>京杭运河苏州段平均水位2.82米，水面宽约70米，平均水深3.8米，枯水期流量为10-20米3/秒，水流为西北-东南流向。</w:t>
            </w:r>
          </w:p>
          <w:p>
            <w:pPr>
              <w:pStyle w:val="2"/>
              <w:ind w:firstLine="480"/>
              <w:rPr>
                <w:rFonts w:hint="default" w:ascii="Times New Roman" w:hAnsi="Times New Roman" w:cs="Times New Roman"/>
              </w:rPr>
            </w:pPr>
            <w:r>
              <w:rPr>
                <w:rFonts w:hint="default" w:ascii="Times New Roman" w:hAnsi="Times New Roman" w:cs="Times New Roman"/>
              </w:rPr>
              <w:t>本地区地下水水位平均为-3.6米至-3.0米。渗水层一般见于0.00米—-1.00米之间，即粘性土与轻亚粘土粉砂交界处，其次分布于细砂和砾砂层。深承压水一般有三层：Ⅰ层在-80米左右，厚5-6米；Ⅱ层在-100米左右，厚6-20米；Ⅲ层在-130米左右，厚2-6米。</w:t>
            </w:r>
          </w:p>
          <w:p>
            <w:pPr>
              <w:ind w:firstLine="482" w:firstLineChars="200"/>
              <w:rPr>
                <w:rFonts w:hint="default" w:ascii="Times New Roman" w:hAnsi="Times New Roman" w:cs="Times New Roman"/>
                <w:b/>
                <w:bCs/>
              </w:rPr>
            </w:pPr>
            <w:r>
              <w:rPr>
                <w:rFonts w:hint="default" w:ascii="Times New Roman" w:hAnsi="Times New Roman" w:cs="Times New Roman"/>
                <w:b/>
                <w:bCs/>
              </w:rPr>
              <w:t>5、植被与生物多样性</w:t>
            </w:r>
          </w:p>
          <w:p>
            <w:pPr>
              <w:pStyle w:val="21"/>
              <w:tabs>
                <w:tab w:val="left" w:pos="5046"/>
              </w:tabs>
              <w:spacing w:before="0" w:beforeAutospacing="0" w:after="0" w:afterAutospacing="0"/>
              <w:ind w:firstLine="482"/>
              <w:rPr>
                <w:rFonts w:hint="default" w:ascii="Times New Roman" w:hAnsi="Times New Roman" w:cs="Times New Roman"/>
              </w:rPr>
            </w:pPr>
            <w:r>
              <w:rPr>
                <w:rFonts w:hint="default" w:ascii="Times New Roman" w:hAnsi="Times New Roman" w:cs="Times New Roman"/>
              </w:rPr>
              <w:t>本项目所在地区气候温暖湿润，土壤肥沃，植物生长迅速，种类繁多，但人类开发较早，因此，该区域的自然陆生生态已为城市生态所取代，由于土地利用率高，自然植被已基本消失。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8" w:type="dxa"/>
            <w:noWrap w:val="0"/>
            <w:vAlign w:val="top"/>
          </w:tcPr>
          <w:p>
            <w:pPr>
              <w:rPr>
                <w:rFonts w:hint="default" w:ascii="Times New Roman" w:hAnsi="Times New Roman" w:cs="Times New Roman"/>
                <w:b/>
                <w:bCs/>
              </w:rPr>
            </w:pPr>
            <w:r>
              <w:rPr>
                <w:rFonts w:hint="default" w:ascii="Times New Roman" w:hAnsi="Times New Roman" w:cs="Times New Roman"/>
                <w:b/>
                <w:bCs/>
              </w:rPr>
              <w:t>社会环境简况（社会经济结构、教育、文化、文物保护等）：</w:t>
            </w:r>
          </w:p>
          <w:p>
            <w:pPr>
              <w:tabs>
                <w:tab w:val="left" w:pos="2160"/>
              </w:tabs>
              <w:ind w:firstLine="482" w:firstLineChars="200"/>
              <w:rPr>
                <w:rFonts w:hint="default" w:ascii="Times New Roman" w:hAnsi="Times New Roman" w:cs="Times New Roman"/>
                <w:b/>
                <w:bCs/>
              </w:rPr>
            </w:pPr>
            <w:r>
              <w:rPr>
                <w:rFonts w:hint="default" w:ascii="Times New Roman" w:hAnsi="Times New Roman" w:cs="Times New Roman"/>
                <w:b/>
                <w:bCs/>
              </w:rPr>
              <w:t>1、社会经济概况</w:t>
            </w:r>
          </w:p>
          <w:p>
            <w:pPr>
              <w:snapToGrid w:val="0"/>
              <w:ind w:firstLine="480" w:firstLineChars="200"/>
              <w:rPr>
                <w:rFonts w:hint="default" w:ascii="Times New Roman" w:hAnsi="Times New Roman" w:cs="Times New Roman"/>
              </w:rPr>
            </w:pPr>
            <w:r>
              <w:rPr>
                <w:rFonts w:hint="default" w:ascii="Times New Roman" w:hAnsi="Times New Roman" w:cs="Times New Roman"/>
              </w:rPr>
              <w:t>苏州高新区是市委、市政府按照国务院</w:t>
            </w:r>
            <w:r>
              <w:rPr>
                <w:rFonts w:hint="default" w:ascii="Times New Roman" w:hAnsi="Times New Roman" w:cs="Times New Roman"/>
                <w:lang w:eastAsia="zh-CN"/>
              </w:rPr>
              <w:t>“</w:t>
            </w:r>
            <w:r>
              <w:rPr>
                <w:rFonts w:hint="default" w:ascii="Times New Roman" w:hAnsi="Times New Roman" w:cs="Times New Roman"/>
              </w:rPr>
              <w:t>保护古城风貌，加快新区建设</w:t>
            </w:r>
            <w:r>
              <w:rPr>
                <w:rFonts w:hint="default" w:ascii="Times New Roman" w:hAnsi="Times New Roman" w:cs="Times New Roman"/>
                <w:lang w:eastAsia="zh-CN"/>
              </w:rPr>
              <w:t>”</w:t>
            </w:r>
            <w:r>
              <w:rPr>
                <w:rFonts w:hint="default" w:ascii="Times New Roman" w:hAnsi="Times New Roman" w:cs="Times New Roman"/>
              </w:rPr>
              <w:t>的批复精神于1990年11月开发建设的，1992年11月被国务院批准为国家高新技术产业开发区，1997年被确定为首批向APEC成员开放的亚太科技工业园，1999年被国家环保总局认定为国内首家</w:t>
            </w:r>
            <w:r>
              <w:rPr>
                <w:rFonts w:hint="default" w:ascii="Times New Roman" w:hAnsi="Times New Roman" w:cs="Times New Roman"/>
                <w:lang w:eastAsia="zh-CN"/>
              </w:rPr>
              <w:t>“</w:t>
            </w:r>
            <w:r>
              <w:rPr>
                <w:rFonts w:hint="default" w:ascii="Times New Roman" w:hAnsi="Times New Roman" w:cs="Times New Roman"/>
              </w:rPr>
              <w:t>ISO14000环境管理体系国家示范区</w:t>
            </w:r>
            <w:r>
              <w:rPr>
                <w:rFonts w:hint="default" w:ascii="Times New Roman" w:hAnsi="Times New Roman" w:cs="Times New Roman"/>
                <w:lang w:eastAsia="zh-CN"/>
              </w:rPr>
              <w:t>”</w:t>
            </w:r>
            <w:r>
              <w:rPr>
                <w:rFonts w:hint="default" w:ascii="Times New Roman" w:hAnsi="Times New Roman" w:cs="Times New Roman"/>
              </w:rPr>
              <w:t>，2000年被外经贸部、科技部批准为国家高新技术产业开发区高新技术产品出口基地，2001年被批准建设国内首家国家级环保高新技术产业园，2003年4月被国务院批准成立出口加工区。行政面积223.36平方公里，下辖浒墅关、通安、东渚3个镇和狮山、枫桥、横塘、镇湖4个街道。下设江苏省苏州浒墅关经济开发区、苏州科技城、苏州高新区综合保税区、苏州西部生态城。高新区管委会、虎丘区人民政府驻地在科普路。</w:t>
            </w:r>
          </w:p>
          <w:p>
            <w:pPr>
              <w:tabs>
                <w:tab w:val="left" w:pos="2160"/>
              </w:tabs>
              <w:ind w:firstLine="480" w:firstLineChars="200"/>
              <w:rPr>
                <w:rFonts w:hint="default" w:ascii="Times New Roman" w:hAnsi="Times New Roman" w:cs="Times New Roman"/>
              </w:rPr>
            </w:pPr>
            <w:r>
              <w:rPr>
                <w:rFonts w:hint="default" w:ascii="Times New Roman" w:hAnsi="Times New Roman" w:cs="Times New Roman"/>
              </w:rPr>
              <w:t>苏州高新区经济基础雄厚，产业特色鲜明。目前，区内已形成了电子信息、精密机械、生物医药、新型材料、汽车零部件等新兴主导产业。建设和完善了苏州科技城、苏州高新技术创业服务中心、留学人员创业园、苏高新创业园、江苏新药创制中心、苏南工业技术研究院等一批具有国际化标准的科技创新载体和平台，总孵化面积10多万m</w:t>
            </w:r>
            <w:r>
              <w:rPr>
                <w:rFonts w:hint="default" w:ascii="Times New Roman" w:hAnsi="Times New Roman" w:cs="Times New Roman"/>
                <w:vertAlign w:val="superscript"/>
              </w:rPr>
              <w:t>2</w:t>
            </w:r>
            <w:r>
              <w:rPr>
                <w:rFonts w:hint="default" w:ascii="Times New Roman" w:hAnsi="Times New Roman" w:cs="Times New Roman"/>
              </w:rPr>
              <w:t>。在国内首家创建国家环保高新技术产业园。</w:t>
            </w:r>
          </w:p>
          <w:p>
            <w:pPr>
              <w:tabs>
                <w:tab w:val="left" w:pos="2160"/>
              </w:tabs>
              <w:ind w:firstLine="482" w:firstLineChars="200"/>
              <w:rPr>
                <w:rFonts w:hint="default" w:ascii="Times New Roman" w:hAnsi="Times New Roman" w:cs="Times New Roman"/>
                <w:b/>
                <w:bCs/>
              </w:rPr>
            </w:pPr>
            <w:r>
              <w:rPr>
                <w:rFonts w:hint="default" w:ascii="Times New Roman" w:hAnsi="Times New Roman" w:cs="Times New Roman"/>
                <w:b/>
                <w:bCs/>
              </w:rPr>
              <w:t>2、苏州高新区总体规划</w:t>
            </w:r>
          </w:p>
          <w:p>
            <w:pPr>
              <w:ind w:firstLine="480" w:firstLineChars="200"/>
              <w:rPr>
                <w:rFonts w:hint="default" w:ascii="Times New Roman" w:hAnsi="Times New Roman" w:cs="Times New Roman"/>
              </w:rPr>
            </w:pPr>
            <w:r>
              <w:rPr>
                <w:rFonts w:hint="default" w:ascii="Times New Roman" w:hAnsi="Times New Roman" w:cs="Times New Roman"/>
              </w:rPr>
              <w:t>苏州高新区规划范围为：北至相城区交界处，南至与吴中区交界处，西至太湖大堤，东至京杭运河，规划范围内用地面积约为223平方公里。</w:t>
            </w:r>
          </w:p>
          <w:p>
            <w:pPr>
              <w:tabs>
                <w:tab w:val="left" w:pos="2160"/>
              </w:tabs>
              <w:ind w:firstLine="480" w:firstLineChars="200"/>
              <w:rPr>
                <w:rFonts w:hint="default" w:ascii="Times New Roman" w:hAnsi="Times New Roman" w:cs="Times New Roman"/>
              </w:rPr>
            </w:pPr>
            <w:r>
              <w:rPr>
                <w:rFonts w:hint="default" w:ascii="Times New Roman" w:hAnsi="Times New Roman" w:cs="Times New Roman"/>
              </w:rPr>
              <w:t>规划年限：2015-2030年，规划近期至2020年，远期至2030年。</w:t>
            </w:r>
          </w:p>
          <w:p>
            <w:pPr>
              <w:tabs>
                <w:tab w:val="left" w:pos="2160"/>
              </w:tabs>
              <w:ind w:firstLine="480" w:firstLineChars="200"/>
              <w:rPr>
                <w:rFonts w:hint="default" w:ascii="Times New Roman" w:hAnsi="Times New Roman" w:cs="Times New Roman"/>
              </w:rPr>
            </w:pPr>
            <w:r>
              <w:rPr>
                <w:rFonts w:hint="default" w:ascii="Times New Roman" w:hAnsi="Times New Roman" w:cs="Times New Roman"/>
              </w:rPr>
              <w:t>苏州高新区产业发展方向：以高新技术产业、旅游业、高等级服务业为主导，以科技研发为基础，适度发展高品质房地产业，发展成为科技型、环保型、生态型产业区。</w:t>
            </w:r>
          </w:p>
          <w:p>
            <w:pPr>
              <w:tabs>
                <w:tab w:val="left" w:pos="2160"/>
              </w:tabs>
              <w:ind w:firstLine="480" w:firstLineChars="200"/>
              <w:rPr>
                <w:rFonts w:hint="default" w:ascii="Times New Roman" w:hAnsi="Times New Roman" w:cs="Times New Roman"/>
              </w:rPr>
            </w:pPr>
            <w:r>
              <w:rPr>
                <w:rFonts w:hint="default" w:ascii="Times New Roman" w:hAnsi="Times New Roman" w:cs="Times New Roman"/>
              </w:rPr>
              <w:t>工业区基本为七大主导产业，即：电子信息产业，机电一体化产业，汽车零配件产业，生物医药产业，新材料产业，高新技术改造传统丝绸产业，机械制造业。</w:t>
            </w:r>
          </w:p>
          <w:p>
            <w:pPr>
              <w:tabs>
                <w:tab w:val="left" w:pos="2160"/>
              </w:tabs>
              <w:ind w:firstLine="480" w:firstLineChars="200"/>
              <w:rPr>
                <w:rFonts w:hint="default" w:ascii="Times New Roman" w:hAnsi="Times New Roman" w:cs="Times New Roman"/>
              </w:rPr>
            </w:pPr>
            <w:r>
              <w:rPr>
                <w:rFonts w:hint="default" w:ascii="Times New Roman" w:hAnsi="Times New Roman" w:cs="Times New Roman"/>
              </w:rPr>
              <w:t>功能分区：规划依托中心城区片区、浒通片区、湖滨片区三大片区与阳山</w:t>
            </w:r>
            <w:r>
              <w:rPr>
                <w:rFonts w:hint="default" w:ascii="Times New Roman" w:hAnsi="Times New Roman" w:cs="Times New Roman"/>
                <w:lang w:eastAsia="zh-CN"/>
              </w:rPr>
              <w:t>“</w:t>
            </w:r>
            <w:r>
              <w:rPr>
                <w:rFonts w:hint="default" w:ascii="Times New Roman" w:hAnsi="Times New Roman" w:cs="Times New Roman"/>
              </w:rPr>
              <w:t>绿心</w:t>
            </w:r>
            <w:r>
              <w:rPr>
                <w:rFonts w:hint="default" w:ascii="Times New Roman" w:hAnsi="Times New Roman" w:cs="Times New Roman"/>
                <w:lang w:eastAsia="zh-CN"/>
              </w:rPr>
              <w:t>”</w:t>
            </w:r>
            <w:r>
              <w:rPr>
                <w:rFonts w:hint="default" w:ascii="Times New Roman" w:hAnsi="Times New Roman" w:cs="Times New Roman"/>
              </w:rPr>
              <w:t>划分出狮山片区、浒通片区、横塘片区、科技城片区、生态城片区和阳山片区，形成六个独立组团空间，并对各组团的形态构建与功能组织进行引导。</w:t>
            </w:r>
          </w:p>
          <w:p>
            <w:pPr>
              <w:tabs>
                <w:tab w:val="left" w:pos="2160"/>
              </w:tabs>
              <w:ind w:firstLine="480" w:firstLineChars="200"/>
              <w:rPr>
                <w:rFonts w:hint="default" w:ascii="Times New Roman" w:hAnsi="Times New Roman" w:cs="Times New Roman"/>
              </w:rPr>
            </w:pPr>
            <w:r>
              <w:rPr>
                <w:rFonts w:hint="default" w:ascii="Times New Roman" w:hAnsi="Times New Roman" w:cs="Times New Roman"/>
              </w:rPr>
              <w:t>（1）狮山片区</w:t>
            </w:r>
          </w:p>
          <w:p>
            <w:pPr>
              <w:tabs>
                <w:tab w:val="left" w:pos="2160"/>
              </w:tabs>
              <w:ind w:firstLine="480" w:firstLineChars="200"/>
              <w:rPr>
                <w:rFonts w:hint="default" w:ascii="Times New Roman" w:hAnsi="Times New Roman" w:cs="Times New Roman"/>
              </w:rPr>
            </w:pPr>
            <w:r>
              <w:rPr>
                <w:rFonts w:hint="default" w:ascii="Times New Roman" w:hAnsi="Times New Roman" w:cs="Times New Roman"/>
              </w:rPr>
              <w:t>以狮山城市中心为核心，是与古城紧密联系的集金融商贸、文化休闲和高品质居住于一体的综合性功能区域。</w:t>
            </w:r>
          </w:p>
          <w:p>
            <w:pPr>
              <w:tabs>
                <w:tab w:val="left" w:pos="2160"/>
              </w:tabs>
              <w:ind w:firstLine="480" w:firstLineChars="200"/>
              <w:rPr>
                <w:rFonts w:hint="default" w:ascii="Times New Roman" w:hAnsi="Times New Roman" w:cs="Times New Roman"/>
              </w:rPr>
            </w:pPr>
            <w:r>
              <w:rPr>
                <w:rFonts w:hint="default" w:ascii="Times New Roman" w:hAnsi="Times New Roman" w:cs="Times New Roman"/>
              </w:rPr>
              <w:t>（2）浒通片区</w:t>
            </w:r>
          </w:p>
          <w:p>
            <w:pPr>
              <w:tabs>
                <w:tab w:val="left" w:pos="2160"/>
              </w:tabs>
              <w:ind w:firstLine="480" w:firstLineChars="200"/>
              <w:rPr>
                <w:rFonts w:hint="default" w:ascii="Times New Roman" w:hAnsi="Times New Roman" w:cs="Times New Roman"/>
              </w:rPr>
            </w:pPr>
            <w:r>
              <w:rPr>
                <w:rFonts w:hint="default" w:ascii="Times New Roman" w:hAnsi="Times New Roman" w:cs="Times New Roman"/>
              </w:rPr>
              <w:t>依托国家级出口加工区和保税物流园区，形成集生产、生活和生态相配套的现代化产业区和综合性城市功能区。</w:t>
            </w:r>
          </w:p>
          <w:p>
            <w:pPr>
              <w:tabs>
                <w:tab w:val="left" w:pos="2160"/>
              </w:tabs>
              <w:ind w:firstLine="480" w:firstLineChars="200"/>
              <w:rPr>
                <w:rFonts w:hint="default" w:ascii="Times New Roman" w:hAnsi="Times New Roman" w:cs="Times New Roman"/>
              </w:rPr>
            </w:pPr>
            <w:r>
              <w:rPr>
                <w:rFonts w:hint="default" w:ascii="Times New Roman" w:hAnsi="Times New Roman" w:cs="Times New Roman"/>
              </w:rPr>
              <w:t>（3）横塘片区</w:t>
            </w:r>
          </w:p>
          <w:p>
            <w:pPr>
              <w:tabs>
                <w:tab w:val="left" w:pos="2160"/>
              </w:tabs>
              <w:ind w:firstLine="480" w:firstLineChars="200"/>
              <w:rPr>
                <w:rFonts w:hint="default" w:ascii="Times New Roman" w:hAnsi="Times New Roman" w:cs="Times New Roman"/>
              </w:rPr>
            </w:pPr>
            <w:r>
              <w:rPr>
                <w:rFonts w:hint="default" w:ascii="Times New Roman" w:hAnsi="Times New Roman" w:cs="Times New Roman"/>
              </w:rPr>
              <w:t>横塘街道增强社区服务功能，提升现有建材市场服务水平和环境质量，形成苏州市建材装饰市场服务区，将苏州国际教育园打造为以高等职业教育为主，高素质、应用型人才培养基地和融现代教育与山水人文为一体的文化旅游区。</w:t>
            </w:r>
          </w:p>
          <w:p>
            <w:pPr>
              <w:tabs>
                <w:tab w:val="left" w:pos="2160"/>
              </w:tabs>
              <w:ind w:firstLine="480" w:firstLineChars="200"/>
              <w:rPr>
                <w:rFonts w:hint="default" w:ascii="Times New Roman" w:hAnsi="Times New Roman" w:cs="Times New Roman"/>
              </w:rPr>
            </w:pPr>
            <w:r>
              <w:rPr>
                <w:rFonts w:hint="default" w:ascii="Times New Roman" w:hAnsi="Times New Roman" w:cs="Times New Roman"/>
              </w:rPr>
              <w:t>（4）科技城片区</w:t>
            </w:r>
          </w:p>
          <w:p>
            <w:pPr>
              <w:tabs>
                <w:tab w:val="left" w:pos="2160"/>
              </w:tabs>
              <w:ind w:firstLine="480" w:firstLineChars="200"/>
              <w:rPr>
                <w:rFonts w:hint="default" w:ascii="Times New Roman" w:hAnsi="Times New Roman" w:cs="Times New Roman"/>
              </w:rPr>
            </w:pPr>
            <w:r>
              <w:rPr>
                <w:rFonts w:hint="default" w:ascii="Times New Roman" w:hAnsi="Times New Roman" w:cs="Times New Roman"/>
              </w:rPr>
              <w:t>形成融</w:t>
            </w:r>
            <w:r>
              <w:rPr>
                <w:rFonts w:hint="default" w:ascii="Times New Roman" w:hAnsi="Times New Roman" w:cs="Times New Roman"/>
                <w:lang w:eastAsia="zh-CN"/>
              </w:rPr>
              <w:t>“</w:t>
            </w:r>
            <w:r>
              <w:rPr>
                <w:rFonts w:hint="default" w:ascii="Times New Roman" w:hAnsi="Times New Roman" w:cs="Times New Roman"/>
              </w:rPr>
              <w:t>科技、山水、人文和创新</w:t>
            </w:r>
            <w:r>
              <w:rPr>
                <w:rFonts w:hint="default" w:ascii="Times New Roman" w:hAnsi="Times New Roman" w:cs="Times New Roman"/>
                <w:lang w:eastAsia="zh-CN"/>
              </w:rPr>
              <w:t>”</w:t>
            </w:r>
            <w:r>
              <w:rPr>
                <w:rFonts w:hint="default" w:ascii="Times New Roman" w:hAnsi="Times New Roman" w:cs="Times New Roman"/>
              </w:rPr>
              <w:t>特色于一体的一流研发创新高地和科技山水新城，构筑长江三角洲地区重要的现代科技服务中心。</w:t>
            </w:r>
          </w:p>
          <w:p>
            <w:pPr>
              <w:tabs>
                <w:tab w:val="left" w:pos="2160"/>
              </w:tabs>
              <w:ind w:firstLine="480" w:firstLineChars="200"/>
              <w:rPr>
                <w:rFonts w:hint="default" w:ascii="Times New Roman" w:hAnsi="Times New Roman" w:cs="Times New Roman"/>
              </w:rPr>
            </w:pPr>
            <w:r>
              <w:rPr>
                <w:rFonts w:hint="default" w:ascii="Times New Roman" w:hAnsi="Times New Roman" w:cs="Times New Roman"/>
              </w:rPr>
              <w:t>（5）生态城片区</w:t>
            </w:r>
          </w:p>
          <w:p>
            <w:pPr>
              <w:tabs>
                <w:tab w:val="left" w:pos="2160"/>
              </w:tabs>
              <w:ind w:firstLine="480" w:firstLineChars="200"/>
              <w:rPr>
                <w:rFonts w:hint="default" w:ascii="Times New Roman" w:hAnsi="Times New Roman" w:cs="Times New Roman"/>
              </w:rPr>
            </w:pPr>
            <w:r>
              <w:rPr>
                <w:rFonts w:hint="default" w:ascii="Times New Roman" w:hAnsi="Times New Roman" w:cs="Times New Roman"/>
              </w:rPr>
              <w:t>塑造集旅游休闲、度假会务、文化展示、高品质居住办公于一体的可感受、可测控、可持续的生态山水城。</w:t>
            </w:r>
          </w:p>
          <w:p>
            <w:pPr>
              <w:tabs>
                <w:tab w:val="left" w:pos="2160"/>
              </w:tabs>
              <w:ind w:firstLine="480" w:firstLineChars="200"/>
              <w:rPr>
                <w:rFonts w:hint="default" w:ascii="Times New Roman" w:hAnsi="Times New Roman" w:cs="Times New Roman"/>
              </w:rPr>
            </w:pPr>
            <w:r>
              <w:rPr>
                <w:rFonts w:hint="default" w:ascii="Times New Roman" w:hAnsi="Times New Roman" w:cs="Times New Roman"/>
              </w:rPr>
              <w:t>（6）阳山片区</w:t>
            </w:r>
          </w:p>
          <w:p>
            <w:pPr>
              <w:rPr>
                <w:rFonts w:hint="default" w:ascii="Times New Roman" w:hAnsi="Times New Roman" w:cs="Times New Roman"/>
              </w:rPr>
            </w:pPr>
            <w:r>
              <w:rPr>
                <w:rFonts w:hint="default" w:ascii="Times New Roman" w:hAnsi="Times New Roman" w:cs="Times New Roman"/>
              </w:rPr>
              <w:t>充分发挥阳山、白马涧生态生态环境优势、民俗宗教文化资源优势，在阳山周边形成以历史、民俗、宗教文化活动为特色的生态型居住、度假、休闲基地。</w:t>
            </w:r>
          </w:p>
          <w:p>
            <w:pPr>
              <w:tabs>
                <w:tab w:val="left" w:pos="2160"/>
              </w:tabs>
              <w:ind w:firstLine="482" w:firstLineChars="200"/>
              <w:rPr>
                <w:rFonts w:hint="default" w:ascii="Times New Roman" w:hAnsi="Times New Roman" w:cs="Times New Roman"/>
                <w:b/>
              </w:rPr>
            </w:pPr>
            <w:r>
              <w:rPr>
                <w:rFonts w:hint="default" w:ascii="Times New Roman" w:hAnsi="Times New Roman" w:cs="Times New Roman"/>
                <w:b/>
              </w:rPr>
              <w:t>3、区域基础设施规划及现状</w:t>
            </w:r>
          </w:p>
          <w:p>
            <w:pPr>
              <w:pStyle w:val="2"/>
              <w:ind w:firstLine="480"/>
              <w:rPr>
                <w:rFonts w:hint="default" w:ascii="Times New Roman" w:hAnsi="Times New Roman" w:cs="Times New Roman"/>
                <w:snapToGrid w:val="0"/>
                <w:kern w:val="0"/>
              </w:rPr>
            </w:pPr>
            <w:r>
              <w:rPr>
                <w:rFonts w:hint="default" w:ascii="Times New Roman" w:hAnsi="Times New Roman" w:cs="Times New Roman"/>
              </w:rPr>
              <w:t>（1）</w:t>
            </w:r>
            <w:r>
              <w:rPr>
                <w:rFonts w:hint="default" w:ascii="Times New Roman" w:hAnsi="Times New Roman" w:cs="Times New Roman"/>
                <w:snapToGrid w:val="0"/>
                <w:kern w:val="0"/>
              </w:rPr>
              <w:t>给水：</w:t>
            </w:r>
            <w:r>
              <w:rPr>
                <w:rFonts w:hint="eastAsia"/>
              </w:rPr>
              <w:t>供应高新区饮用水的水厂主要有 2 座，即</w:t>
            </w:r>
            <w:r>
              <w:rPr>
                <w:rFonts w:hint="eastAsia"/>
                <w:lang w:val="en-US" w:eastAsia="zh-CN"/>
              </w:rPr>
              <w:t>镇湖</w:t>
            </w:r>
            <w:r>
              <w:rPr>
                <w:rFonts w:hint="eastAsia"/>
              </w:rPr>
              <w:t>水厂</w:t>
            </w:r>
            <w:r>
              <w:rPr>
                <w:rFonts w:hint="eastAsia"/>
                <w:lang w:val="en-US" w:eastAsia="zh-CN"/>
              </w:rPr>
              <w:t>和竹园路</w:t>
            </w:r>
            <w:r>
              <w:rPr>
                <w:rFonts w:hint="eastAsia"/>
              </w:rPr>
              <w:t>水厂，区域内保持现状规模 45.0 万立方米/日，管网水压满足直接向多层住宅供水要求，给水管网压力不小于 0.28 兆帕。</w:t>
            </w:r>
          </w:p>
          <w:p>
            <w:pPr>
              <w:ind w:firstLine="480" w:firstLineChars="200"/>
              <w:rPr>
                <w:rFonts w:hint="default" w:ascii="Times New Roman" w:hAnsi="Times New Roman" w:cs="Times New Roman"/>
              </w:rPr>
            </w:pPr>
            <w:r>
              <w:rPr>
                <w:rFonts w:hint="default" w:ascii="Times New Roman" w:hAnsi="Times New Roman" w:cs="Times New Roman"/>
              </w:rPr>
              <w:t>（2）排水：高新区大部分地区雨水以自排为主；局部地区地势较低，汛期以抽排为主，有条件的可进行洼地改造，提高自排能力。</w:t>
            </w:r>
          </w:p>
          <w:p>
            <w:pPr>
              <w:ind w:firstLine="480" w:firstLineChars="200"/>
              <w:rPr>
                <w:rFonts w:hint="default" w:ascii="Times New Roman" w:hAnsi="Times New Roman" w:cs="Times New Roman"/>
              </w:rPr>
            </w:pPr>
            <w:r>
              <w:rPr>
                <w:rFonts w:hint="default" w:ascii="Times New Roman" w:hAnsi="Times New Roman" w:cs="Times New Roman"/>
              </w:rPr>
              <w:t>高新区污水格局分为5片，各片污水分别由</w:t>
            </w:r>
            <w:r>
              <w:rPr>
                <w:rFonts w:hint="eastAsia" w:cs="Times New Roman"/>
                <w:lang w:val="en-US" w:eastAsia="zh-CN"/>
              </w:rPr>
              <w:t>狮山净水厂</w:t>
            </w:r>
            <w:r>
              <w:rPr>
                <w:rFonts w:hint="default" w:ascii="Times New Roman" w:hAnsi="Times New Roman" w:cs="Times New Roman"/>
              </w:rPr>
              <w:t>、</w:t>
            </w:r>
            <w:r>
              <w:rPr>
                <w:rFonts w:hint="eastAsia" w:cs="Times New Roman"/>
                <w:lang w:val="en-US" w:eastAsia="zh-CN"/>
              </w:rPr>
              <w:t>枫桥净水厂</w:t>
            </w:r>
            <w:r>
              <w:rPr>
                <w:rFonts w:hint="default" w:ascii="Times New Roman" w:hAnsi="Times New Roman" w:cs="Times New Roman"/>
              </w:rPr>
              <w:t>、</w:t>
            </w:r>
            <w:r>
              <w:rPr>
                <w:rFonts w:hint="eastAsia" w:cs="Times New Roman"/>
                <w:lang w:eastAsia="zh-CN"/>
              </w:rPr>
              <w:t>白荡净水厂</w:t>
            </w:r>
            <w:r>
              <w:rPr>
                <w:rFonts w:hint="default" w:ascii="Times New Roman" w:hAnsi="Times New Roman" w:cs="Times New Roman"/>
              </w:rPr>
              <w:t>、浒东</w:t>
            </w:r>
            <w:r>
              <w:rPr>
                <w:rFonts w:hint="eastAsia" w:cs="Times New Roman"/>
                <w:lang w:val="en-US" w:eastAsia="zh-CN"/>
              </w:rPr>
              <w:t>净水厂</w:t>
            </w:r>
            <w:r>
              <w:rPr>
                <w:rFonts w:hint="default" w:ascii="Times New Roman" w:hAnsi="Times New Roman" w:cs="Times New Roman"/>
              </w:rPr>
              <w:t>、</w:t>
            </w:r>
            <w:r>
              <w:rPr>
                <w:rFonts w:hint="eastAsia" w:cs="Times New Roman"/>
                <w:lang w:val="en-US" w:eastAsia="zh-CN"/>
              </w:rPr>
              <w:t>科技城净水厂</w:t>
            </w:r>
            <w:r>
              <w:rPr>
                <w:rFonts w:hint="default" w:ascii="Times New Roman" w:hAnsi="Times New Roman" w:cs="Times New Roman"/>
              </w:rPr>
              <w:t>集中处理。本项目位于</w:t>
            </w:r>
            <w:r>
              <w:rPr>
                <w:rFonts w:hint="eastAsia" w:cs="Times New Roman"/>
                <w:lang w:val="en-US" w:eastAsia="zh-CN"/>
              </w:rPr>
              <w:t>白荡净水厂</w:t>
            </w:r>
            <w:r>
              <w:rPr>
                <w:rFonts w:hint="default" w:ascii="Times New Roman" w:hAnsi="Times New Roman" w:cs="Times New Roman"/>
              </w:rPr>
              <w:t>收水范围内。</w:t>
            </w:r>
          </w:p>
          <w:p>
            <w:pPr>
              <w:ind w:firstLine="480" w:firstLineChars="200"/>
              <w:rPr>
                <w:rFonts w:hint="default" w:ascii="Times New Roman" w:hAnsi="Times New Roman" w:cs="Times New Roman"/>
              </w:rPr>
            </w:pPr>
            <w:r>
              <w:rPr>
                <w:rFonts w:hint="default" w:ascii="Times New Roman" w:hAnsi="Times New Roman" w:cs="Times New Roman"/>
              </w:rPr>
              <w:t>项目纳污的</w:t>
            </w:r>
            <w:r>
              <w:rPr>
                <w:rFonts w:hint="eastAsia" w:cs="Times New Roman"/>
                <w:lang w:eastAsia="zh-CN"/>
              </w:rPr>
              <w:t>白荡水质净化厂</w:t>
            </w:r>
            <w:r>
              <w:rPr>
                <w:rFonts w:hint="default" w:ascii="Times New Roman" w:hAnsi="Times New Roman" w:cs="Times New Roman"/>
              </w:rPr>
              <w:t>位于出口加工区南白荡河边，服务于包括出口加工区等浒通片区运河以西地区，污水处理工艺采用循环式活性污泥法，远期总规模 12 万吨/日。本项目属于</w:t>
            </w:r>
            <w:r>
              <w:rPr>
                <w:rFonts w:hint="eastAsia" w:cs="Times New Roman"/>
                <w:lang w:val="en-US" w:eastAsia="zh-CN"/>
              </w:rPr>
              <w:t>白荡水质净化厂</w:t>
            </w:r>
            <w:r>
              <w:rPr>
                <w:rFonts w:hint="default" w:ascii="Times New Roman" w:hAnsi="Times New Roman" w:cs="Times New Roman"/>
              </w:rPr>
              <w:t>收水范围。</w:t>
            </w:r>
          </w:p>
          <w:p>
            <w:pPr>
              <w:ind w:firstLine="480" w:firstLineChars="200"/>
              <w:rPr>
                <w:rFonts w:hint="default" w:ascii="Times New Roman" w:hAnsi="Times New Roman" w:cs="Times New Roman"/>
              </w:rPr>
            </w:pPr>
            <w:r>
              <w:rPr>
                <w:rFonts w:hint="default" w:ascii="Times New Roman" w:hAnsi="Times New Roman" w:cs="Times New Roman"/>
              </w:rPr>
              <w:t>苏州高新区污水管网由新区市政服务公司养护管理，目前原苏州高新区52</w:t>
            </w:r>
            <w:r>
              <w:rPr>
                <w:rFonts w:hint="default" w:ascii="Times New Roman" w:hAnsi="Times New Roman" w:cs="Times New Roman"/>
                <w:snapToGrid w:val="0"/>
                <w:kern w:val="0"/>
              </w:rPr>
              <w:t>km</w:t>
            </w:r>
            <w:r>
              <w:rPr>
                <w:rFonts w:hint="default" w:ascii="Times New Roman" w:hAnsi="Times New Roman" w:cs="Times New Roman"/>
                <w:snapToGrid w:val="0"/>
                <w:kern w:val="0"/>
                <w:vertAlign w:val="superscript"/>
              </w:rPr>
              <w:t>2</w:t>
            </w:r>
            <w:r>
              <w:rPr>
                <w:rFonts w:hint="default" w:ascii="Times New Roman" w:hAnsi="Times New Roman" w:cs="Times New Roman"/>
              </w:rPr>
              <w:t>内污水接管率达80%，本项目所在地属于高新区管网辐射范围之内，目前已经具备完善的污水管网。</w:t>
            </w:r>
          </w:p>
          <w:p>
            <w:pPr>
              <w:tabs>
                <w:tab w:val="left" w:pos="2160"/>
              </w:tabs>
              <w:ind w:firstLine="480" w:firstLineChars="200"/>
              <w:rPr>
                <w:rFonts w:hint="default" w:ascii="Times New Roman" w:hAnsi="Times New Roman" w:cs="Times New Roman"/>
              </w:rPr>
            </w:pPr>
            <w:r>
              <w:rPr>
                <w:rFonts w:hint="default" w:ascii="Times New Roman" w:hAnsi="Times New Roman" w:cs="Times New Roman"/>
              </w:rPr>
              <w:t>（3）燃气：高新区以</w:t>
            </w:r>
            <w:r>
              <w:rPr>
                <w:rFonts w:hint="default" w:ascii="Times New Roman" w:hAnsi="Times New Roman" w:cs="Times New Roman"/>
                <w:lang w:eastAsia="zh-CN"/>
              </w:rPr>
              <w:t>“</w:t>
            </w:r>
            <w:r>
              <w:rPr>
                <w:rFonts w:hint="default" w:ascii="Times New Roman" w:hAnsi="Times New Roman" w:cs="Times New Roman"/>
              </w:rPr>
              <w:t>西气东输</w:t>
            </w:r>
            <w:r>
              <w:rPr>
                <w:rFonts w:hint="default" w:ascii="Times New Roman" w:hAnsi="Times New Roman" w:cs="Times New Roman"/>
                <w:lang w:eastAsia="zh-CN"/>
              </w:rPr>
              <w:t>”</w:t>
            </w:r>
            <w:r>
              <w:rPr>
                <w:rFonts w:hint="default" w:ascii="Times New Roman" w:hAnsi="Times New Roman" w:cs="Times New Roman"/>
              </w:rPr>
              <w:t>和</w:t>
            </w:r>
            <w:r>
              <w:rPr>
                <w:rFonts w:hint="default" w:ascii="Times New Roman" w:hAnsi="Times New Roman" w:cs="Times New Roman"/>
                <w:lang w:eastAsia="zh-CN"/>
              </w:rPr>
              <w:t>“</w:t>
            </w:r>
            <w:r>
              <w:rPr>
                <w:rFonts w:hint="default" w:ascii="Times New Roman" w:hAnsi="Times New Roman" w:cs="Times New Roman"/>
              </w:rPr>
              <w:t>西气东输</w:t>
            </w:r>
            <w:r>
              <w:rPr>
                <w:rFonts w:hint="default" w:ascii="Times New Roman" w:hAnsi="Times New Roman" w:cs="Times New Roman"/>
                <w:lang w:eastAsia="zh-CN"/>
              </w:rPr>
              <w:t>”</w:t>
            </w:r>
            <w:r>
              <w:rPr>
                <w:rFonts w:hint="default" w:ascii="Times New Roman" w:hAnsi="Times New Roman" w:cs="Times New Roman"/>
              </w:rPr>
              <w:t>二线工程天然气为主气源，实现管道天然气两种气源供应方式；中远期可争取如东LNG气源，提高供气安全性。苏州天然气上游交付点为甪直分输站和东桥分输站，交付压力为2.5兆帕，天然气经苏州天然气管网有限公司输气干管进入各高-中压调压站调压。苏州高新区由东桥高-中压调压站和王家庄高-中压调压站供应中压燃气。</w:t>
            </w:r>
          </w:p>
          <w:p>
            <w:pPr>
              <w:tabs>
                <w:tab w:val="left" w:pos="2160"/>
              </w:tabs>
              <w:ind w:firstLine="480" w:firstLineChars="200"/>
              <w:rPr>
                <w:rFonts w:hint="default" w:ascii="Times New Roman" w:hAnsi="Times New Roman" w:cs="Times New Roman"/>
              </w:rPr>
            </w:pPr>
            <w:r>
              <w:rPr>
                <w:rFonts w:hint="default" w:ascii="Times New Roman" w:hAnsi="Times New Roman" w:cs="Times New Roman"/>
              </w:rPr>
              <w:t>在浒通工业园建设天然气加气母站，并结合建设LNG储配站和燃气综合服务站，作为高新区天然气调峰和补充气源，预留建设用地1.5公顷。规划燃气热电厂自建企业自备LNG储气站作为生产主气源，以次高压B级（0.8兆帕）管道天然气作为辅助气源。</w:t>
            </w:r>
          </w:p>
          <w:p>
            <w:pPr>
              <w:tabs>
                <w:tab w:val="left" w:pos="2160"/>
              </w:tabs>
              <w:ind w:firstLine="480" w:firstLineChars="200"/>
              <w:rPr>
                <w:rFonts w:hint="default" w:ascii="Times New Roman" w:hAnsi="Times New Roman" w:cs="Times New Roman"/>
              </w:rPr>
            </w:pPr>
            <w:r>
              <w:rPr>
                <w:rFonts w:hint="default" w:ascii="Times New Roman" w:hAnsi="Times New Roman" w:cs="Times New Roman"/>
              </w:rPr>
              <w:t>①高压管道。苏州天然气管网公司次高压B级管道规划由南部吴中区沿西绕城高速公路敷设至高新区，接入规划的西部热电厂；并沿通浒路向东北方向敷设至天然气加气母站（LNG储配站），然后向东敷设经东桥高-中压调压站至苏州第二门站，与外围地区形成次高压环网。</w:t>
            </w:r>
          </w:p>
          <w:p>
            <w:pPr>
              <w:tabs>
                <w:tab w:val="left" w:pos="2160"/>
              </w:tabs>
              <w:ind w:firstLine="480" w:firstLineChars="200"/>
              <w:rPr>
                <w:rFonts w:hint="default" w:ascii="Times New Roman" w:hAnsi="Times New Roman" w:cs="Times New Roman"/>
              </w:rPr>
            </w:pPr>
            <w:r>
              <w:rPr>
                <w:rFonts w:hint="default" w:ascii="Times New Roman" w:hAnsi="Times New Roman" w:cs="Times New Roman"/>
              </w:rPr>
              <w:t>②中压管道。中压主干燃气管网分2路引入高新区：由东桥高-中压调压站引出的中压燃气干管经道安路、牌楼路引入高新区；由王家庄高-中压调压站引出的中压燃气干管经马运路、真北路引入高新区。在高新区内中压主干管道沿马运路、太湖大道、泰山路、道安路、牌楼路、真武路、华金路、秦岭路、昆仑路、嘉陵江路、建林路、金枫路、长江路等主要道路敷设。</w:t>
            </w:r>
          </w:p>
          <w:p>
            <w:pPr>
              <w:ind w:firstLine="480" w:firstLineChars="200"/>
              <w:rPr>
                <w:rFonts w:hint="default" w:ascii="Times New Roman" w:hAnsi="Times New Roman" w:cs="Times New Roman"/>
              </w:rPr>
            </w:pPr>
            <w:r>
              <w:rPr>
                <w:rFonts w:hint="default" w:ascii="Times New Roman" w:hAnsi="Times New Roman" w:cs="Times New Roman"/>
              </w:rPr>
              <w:t>（4）供电</w:t>
            </w:r>
          </w:p>
          <w:p>
            <w:pPr>
              <w:tabs>
                <w:tab w:val="left" w:pos="2160"/>
              </w:tabs>
              <w:ind w:firstLine="480" w:firstLineChars="200"/>
              <w:rPr>
                <w:rFonts w:hint="default" w:ascii="Times New Roman" w:hAnsi="Times New Roman" w:cs="Times New Roman"/>
              </w:rPr>
            </w:pPr>
            <w:r>
              <w:rPr>
                <w:rFonts w:hint="default" w:ascii="Times New Roman" w:hAnsi="Times New Roman" w:cs="Times New Roman"/>
              </w:rPr>
              <w:t>高新区电源主要为望亭发电厂和500千伏苏州西变电站。华能热电厂2台60兆瓦机组通过110千伏接入公共电网；规划西部热电厂拟建2台200兆瓦机组通过220千伏接入公共电网。高新区属于太阳能可利用地区，将太阳能等可再生能源作为分布式能源系统的主要来源。</w:t>
            </w:r>
          </w:p>
          <w:p>
            <w:pPr>
              <w:ind w:firstLine="482" w:firstLineChars="200"/>
              <w:rPr>
                <w:rFonts w:hint="default" w:ascii="Times New Roman" w:hAnsi="Times New Roman" w:cs="Times New Roman"/>
                <w:b/>
              </w:rPr>
            </w:pPr>
            <w:r>
              <w:rPr>
                <w:rFonts w:hint="default" w:ascii="Times New Roman" w:hAnsi="Times New Roman" w:cs="Times New Roman"/>
                <w:b/>
                <w:bCs/>
              </w:rPr>
              <w:t>4、</w:t>
            </w:r>
            <w:bookmarkStart w:id="4" w:name="_Toc507486273"/>
            <w:r>
              <w:rPr>
                <w:rFonts w:hint="default" w:ascii="Times New Roman" w:hAnsi="Times New Roman" w:cs="Times New Roman"/>
                <w:b/>
              </w:rPr>
              <w:t>规划相符性分析</w:t>
            </w:r>
            <w:bookmarkEnd w:id="4"/>
          </w:p>
          <w:p>
            <w:pPr>
              <w:ind w:firstLine="482" w:firstLineChars="200"/>
              <w:rPr>
                <w:rFonts w:hint="default" w:ascii="Times New Roman" w:hAnsi="Times New Roman" w:cs="Times New Roman"/>
                <w:b/>
                <w:bCs/>
              </w:rPr>
            </w:pPr>
            <w:r>
              <w:rPr>
                <w:rFonts w:hint="default" w:ascii="Times New Roman" w:hAnsi="Times New Roman" w:cs="Times New Roman"/>
                <w:b/>
                <w:bCs/>
              </w:rPr>
              <w:t>（1）与区域规划相符性</w:t>
            </w:r>
          </w:p>
          <w:p>
            <w:pPr>
              <w:adjustRightInd w:val="0"/>
              <w:snapToGrid w:val="0"/>
              <w:ind w:firstLine="480" w:firstLineChars="200"/>
              <w:rPr>
                <w:rFonts w:hint="default" w:ascii="Times New Roman" w:hAnsi="Times New Roman" w:cs="Times New Roman"/>
              </w:rPr>
            </w:pPr>
            <w:r>
              <w:rPr>
                <w:rFonts w:hint="default" w:ascii="Times New Roman" w:hAnsi="Times New Roman" w:cs="Times New Roman"/>
              </w:rPr>
              <w:t>本项目位于</w:t>
            </w:r>
            <w:r>
              <w:rPr>
                <w:rFonts w:hint="default" w:ascii="Times New Roman" w:hAnsi="Times New Roman" w:cs="Times New Roman"/>
                <w:color w:val="auto"/>
              </w:rPr>
              <w:t>苏州高新区浒关分区东金芝路56号</w:t>
            </w:r>
            <w:r>
              <w:rPr>
                <w:rFonts w:hint="default" w:ascii="Times New Roman" w:hAnsi="Times New Roman" w:cs="Times New Roman"/>
              </w:rPr>
              <w:t>，属于高新片区。根据《苏州高新区（虎丘区）城乡一体化暨分区规划（2009-2030）》（详见附图四），所在地为规划工业用地；根据土地证（苏新国用（2005）第1203713号），项目所在地土地用途为工业，符合苏州高新区的用地规划。</w:t>
            </w:r>
          </w:p>
          <w:p>
            <w:pPr>
              <w:ind w:firstLine="482" w:firstLineChars="200"/>
              <w:rPr>
                <w:rFonts w:hint="default" w:ascii="Times New Roman" w:hAnsi="Times New Roman" w:cs="Times New Roman"/>
                <w:b/>
                <w:bCs/>
              </w:rPr>
            </w:pPr>
            <w:r>
              <w:rPr>
                <w:rFonts w:hint="default" w:ascii="Times New Roman" w:hAnsi="Times New Roman" w:cs="Times New Roman"/>
                <w:b/>
                <w:bCs/>
              </w:rPr>
              <w:t>（2）与产业政策相符性</w:t>
            </w:r>
          </w:p>
          <w:p>
            <w:pPr>
              <w:pStyle w:val="107"/>
              <w:spacing w:line="360" w:lineRule="auto"/>
              <w:ind w:firstLine="480" w:firstLineChars="200"/>
              <w:jc w:val="both"/>
              <w:rPr>
                <w:rFonts w:hint="default" w:ascii="Times New Roman" w:hAnsi="Times New Roman" w:cs="Times New Roman"/>
                <w:color w:val="auto"/>
              </w:rPr>
            </w:pPr>
            <w:bookmarkStart w:id="5" w:name="_Toc297035717"/>
            <w:r>
              <w:rPr>
                <w:rFonts w:hint="default" w:ascii="Times New Roman" w:hAnsi="Times New Roman" w:cs="Times New Roman"/>
                <w:color w:val="auto"/>
              </w:rPr>
              <w:t>本扩建项目主要</w:t>
            </w:r>
            <w:r>
              <w:rPr>
                <w:rFonts w:hint="eastAsia" w:ascii="Times New Roman" w:cs="Times New Roman"/>
                <w:color w:val="auto"/>
                <w:lang w:val="en-US" w:eastAsia="zh-CN"/>
              </w:rPr>
              <w:t>为塑料制品制造</w:t>
            </w:r>
            <w:r>
              <w:rPr>
                <w:rFonts w:hint="default" w:ascii="Times New Roman" w:hAnsi="Times New Roman" w:cs="Times New Roman"/>
                <w:color w:val="auto"/>
              </w:rPr>
              <w:t>，行业类别属于</w:t>
            </w:r>
            <w:r>
              <w:rPr>
                <w:rFonts w:hint="default" w:ascii="Times New Roman" w:hAnsi="Times New Roman" w:cs="Times New Roman"/>
                <w:color w:val="auto"/>
                <w:lang w:val="en-US" w:eastAsia="zh-CN"/>
              </w:rPr>
              <w:t>C3060塑料制品</w:t>
            </w:r>
            <w:r>
              <w:rPr>
                <w:rFonts w:hint="default" w:ascii="Times New Roman" w:hAnsi="Times New Roman" w:cs="Times New Roman"/>
                <w:color w:val="auto"/>
              </w:rPr>
              <w:t>，项目未被列入《外商投资产业指导目录（2017年修订）》和《江苏省工业和信息产业结构调整指导目录（2012年本）》（2013年修订）中的限制类及禁止类，也未被列入《苏州市产业发展导向目录（2007年本）》中的限制类、禁止类和淘汰类；属于允许类项目，符合国家和地方的相关产业政策。</w:t>
            </w:r>
          </w:p>
          <w:bookmarkEnd w:id="5"/>
          <w:p>
            <w:pPr>
              <w:ind w:firstLine="482" w:firstLineChars="200"/>
              <w:rPr>
                <w:rFonts w:hint="default" w:ascii="Times New Roman" w:hAnsi="Times New Roman" w:cs="Times New Roman"/>
                <w:b/>
                <w:bCs/>
              </w:rPr>
            </w:pPr>
            <w:r>
              <w:rPr>
                <w:rFonts w:hint="default" w:ascii="Times New Roman" w:hAnsi="Times New Roman" w:cs="Times New Roman"/>
                <w:b/>
                <w:bCs/>
              </w:rPr>
              <w:t>（3）与</w:t>
            </w:r>
            <w:r>
              <w:rPr>
                <w:rFonts w:hint="default" w:ascii="Times New Roman" w:hAnsi="Times New Roman" w:cs="Times New Roman"/>
                <w:b/>
                <w:bCs/>
                <w:lang w:eastAsia="zh-CN"/>
              </w:rPr>
              <w:t>“</w:t>
            </w:r>
            <w:r>
              <w:rPr>
                <w:rFonts w:hint="default" w:ascii="Times New Roman" w:hAnsi="Times New Roman" w:cs="Times New Roman"/>
                <w:b/>
                <w:bCs/>
              </w:rPr>
              <w:t>太湖水污染防治条例</w:t>
            </w:r>
            <w:r>
              <w:rPr>
                <w:rFonts w:hint="default" w:ascii="Times New Roman" w:hAnsi="Times New Roman" w:cs="Times New Roman"/>
                <w:b/>
                <w:bCs/>
                <w:lang w:eastAsia="zh-CN"/>
              </w:rPr>
              <w:t>”</w:t>
            </w:r>
            <w:r>
              <w:rPr>
                <w:rFonts w:hint="default" w:ascii="Times New Roman" w:hAnsi="Times New Roman" w:cs="Times New Roman"/>
                <w:b/>
                <w:bCs/>
              </w:rPr>
              <w:t>政策相符性</w:t>
            </w:r>
          </w:p>
          <w:p>
            <w:pPr>
              <w:pStyle w:val="21"/>
              <w:tabs>
                <w:tab w:val="left" w:pos="5046"/>
              </w:tabs>
              <w:spacing w:before="0" w:beforeAutospacing="0" w:after="0" w:afterAutospacing="0"/>
              <w:ind w:firstLine="482"/>
              <w:rPr>
                <w:rFonts w:hint="default" w:ascii="Times New Roman" w:hAnsi="Times New Roman" w:cs="Times New Roman"/>
              </w:rPr>
            </w:pPr>
            <w:r>
              <w:rPr>
                <w:rFonts w:hint="default" w:ascii="Times New Roman" w:hAnsi="Times New Roman" w:cs="Times New Roman"/>
              </w:rPr>
              <w:t>本项目距太湖最近距离</w:t>
            </w:r>
            <w:r>
              <w:rPr>
                <w:rFonts w:hint="default" w:ascii="Times New Roman" w:hAnsi="Times New Roman" w:cs="Times New Roman"/>
                <w:lang w:val="en-US" w:eastAsia="zh-CN"/>
              </w:rPr>
              <w:t>9</w:t>
            </w:r>
            <w:r>
              <w:rPr>
                <w:rFonts w:hint="default" w:ascii="Times New Roman" w:hAnsi="Times New Roman" w:cs="Times New Roman"/>
              </w:rPr>
              <w:t>km，根据《省政府办公厅关于公布江苏省太湖流域三级保护区范围的通知》（苏政办发〔2012〕221号）文件，本项目位于太湖三级保护区，应当严格贯彻落实《太湖流域管理条例》（国务院令第 604 号）和《江苏省太湖水污染防治条例》(江苏省人大常委会公告第71号）中的相关条例。</w:t>
            </w:r>
          </w:p>
          <w:p>
            <w:pPr>
              <w:ind w:firstLine="482"/>
              <w:jc w:val="center"/>
              <w:rPr>
                <w:b/>
                <w:bCs/>
              </w:rPr>
            </w:pPr>
            <w:r>
              <w:rPr>
                <w:b/>
                <w:bCs/>
              </w:rPr>
              <w:t>表2-1  政策相符性分析</w:t>
            </w:r>
          </w:p>
          <w:tbl>
            <w:tblPr>
              <w:tblStyle w:val="26"/>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0"/>
              <w:gridCol w:w="889"/>
              <w:gridCol w:w="5847"/>
              <w:gridCol w:w="22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0" w:type="dxa"/>
                  <w:tcBorders>
                    <w:bottom w:val="single" w:color="auto" w:sz="12" w:space="0"/>
                  </w:tcBorders>
                  <w:noWrap w:val="0"/>
                  <w:tcMar>
                    <w:top w:w="0" w:type="dxa"/>
                    <w:left w:w="0" w:type="dxa"/>
                    <w:bottom w:w="0" w:type="dxa"/>
                    <w:right w:w="0" w:type="dxa"/>
                  </w:tcMar>
                  <w:vAlign w:val="center"/>
                </w:tcPr>
                <w:p>
                  <w:pPr>
                    <w:spacing w:line="240" w:lineRule="auto"/>
                    <w:jc w:val="center"/>
                    <w:rPr>
                      <w:sz w:val="21"/>
                      <w:szCs w:val="21"/>
                    </w:rPr>
                  </w:pPr>
                  <w:r>
                    <w:rPr>
                      <w:sz w:val="21"/>
                      <w:szCs w:val="21"/>
                    </w:rPr>
                    <w:t>序号</w:t>
                  </w:r>
                </w:p>
              </w:tc>
              <w:tc>
                <w:tcPr>
                  <w:tcW w:w="889" w:type="dxa"/>
                  <w:tcBorders>
                    <w:bottom w:val="single" w:color="auto" w:sz="12" w:space="0"/>
                  </w:tcBorders>
                  <w:noWrap w:val="0"/>
                  <w:tcMar>
                    <w:top w:w="0" w:type="dxa"/>
                    <w:left w:w="0" w:type="dxa"/>
                    <w:bottom w:w="0" w:type="dxa"/>
                    <w:right w:w="0" w:type="dxa"/>
                  </w:tcMar>
                  <w:vAlign w:val="center"/>
                </w:tcPr>
                <w:p>
                  <w:pPr>
                    <w:spacing w:line="240" w:lineRule="auto"/>
                    <w:jc w:val="center"/>
                    <w:rPr>
                      <w:sz w:val="21"/>
                      <w:szCs w:val="21"/>
                    </w:rPr>
                  </w:pPr>
                  <w:r>
                    <w:rPr>
                      <w:sz w:val="21"/>
                      <w:szCs w:val="21"/>
                    </w:rPr>
                    <w:t>相关文件</w:t>
                  </w:r>
                </w:p>
              </w:tc>
              <w:tc>
                <w:tcPr>
                  <w:tcW w:w="5847" w:type="dxa"/>
                  <w:tcBorders>
                    <w:bottom w:val="single" w:color="auto" w:sz="12" w:space="0"/>
                  </w:tcBorders>
                  <w:noWrap w:val="0"/>
                  <w:tcMar>
                    <w:top w:w="0" w:type="dxa"/>
                    <w:left w:w="0" w:type="dxa"/>
                    <w:bottom w:w="0" w:type="dxa"/>
                    <w:right w:w="0" w:type="dxa"/>
                  </w:tcMar>
                  <w:vAlign w:val="center"/>
                </w:tcPr>
                <w:p>
                  <w:pPr>
                    <w:spacing w:line="240" w:lineRule="auto"/>
                    <w:jc w:val="center"/>
                    <w:rPr>
                      <w:sz w:val="21"/>
                      <w:szCs w:val="21"/>
                    </w:rPr>
                  </w:pPr>
                  <w:r>
                    <w:rPr>
                      <w:sz w:val="21"/>
                      <w:szCs w:val="21"/>
                    </w:rPr>
                    <w:t>要求</w:t>
                  </w:r>
                </w:p>
              </w:tc>
              <w:tc>
                <w:tcPr>
                  <w:tcW w:w="2266" w:type="dxa"/>
                  <w:tcBorders>
                    <w:bottom w:val="single" w:color="auto" w:sz="12" w:space="0"/>
                  </w:tcBorders>
                  <w:noWrap w:val="0"/>
                  <w:tcMar>
                    <w:top w:w="0" w:type="dxa"/>
                    <w:left w:w="0" w:type="dxa"/>
                    <w:bottom w:w="0" w:type="dxa"/>
                    <w:right w:w="0" w:type="dxa"/>
                  </w:tcMar>
                  <w:vAlign w:val="center"/>
                </w:tcPr>
                <w:p>
                  <w:pPr>
                    <w:spacing w:line="240" w:lineRule="auto"/>
                    <w:jc w:val="center"/>
                    <w:rPr>
                      <w:sz w:val="21"/>
                      <w:szCs w:val="21"/>
                    </w:rPr>
                  </w:pPr>
                  <w:r>
                    <w:rPr>
                      <w:sz w:val="21"/>
                      <w:szCs w:val="21"/>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0" w:type="dxa"/>
                  <w:tcBorders>
                    <w:top w:val="single" w:color="auto" w:sz="12" w:space="0"/>
                  </w:tcBorders>
                  <w:noWrap w:val="0"/>
                  <w:tcMar>
                    <w:top w:w="0" w:type="dxa"/>
                    <w:left w:w="0" w:type="dxa"/>
                    <w:bottom w:w="0" w:type="dxa"/>
                    <w:right w:w="0" w:type="dxa"/>
                  </w:tcMar>
                  <w:vAlign w:val="center"/>
                </w:tcPr>
                <w:p>
                  <w:pPr>
                    <w:spacing w:line="240" w:lineRule="auto"/>
                    <w:jc w:val="center"/>
                    <w:rPr>
                      <w:sz w:val="21"/>
                      <w:szCs w:val="21"/>
                    </w:rPr>
                  </w:pPr>
                  <w:r>
                    <w:rPr>
                      <w:sz w:val="21"/>
                      <w:szCs w:val="21"/>
                    </w:rPr>
                    <w:t>1</w:t>
                  </w:r>
                </w:p>
              </w:tc>
              <w:tc>
                <w:tcPr>
                  <w:tcW w:w="889" w:type="dxa"/>
                  <w:tcBorders>
                    <w:top w:val="single" w:color="auto" w:sz="12" w:space="0"/>
                  </w:tcBorders>
                  <w:noWrap w:val="0"/>
                  <w:tcMar>
                    <w:top w:w="0" w:type="dxa"/>
                    <w:left w:w="0" w:type="dxa"/>
                    <w:bottom w:w="0" w:type="dxa"/>
                    <w:right w:w="0" w:type="dxa"/>
                  </w:tcMar>
                  <w:vAlign w:val="center"/>
                </w:tcPr>
                <w:p>
                  <w:pPr>
                    <w:spacing w:line="240" w:lineRule="auto"/>
                    <w:jc w:val="center"/>
                    <w:rPr>
                      <w:sz w:val="21"/>
                      <w:szCs w:val="21"/>
                    </w:rPr>
                  </w:pPr>
                  <w:r>
                    <w:rPr>
                      <w:sz w:val="21"/>
                      <w:szCs w:val="21"/>
                    </w:rPr>
                    <w:t>《太湖流域管理条例》（国务院令第604号）</w:t>
                  </w:r>
                </w:p>
              </w:tc>
              <w:tc>
                <w:tcPr>
                  <w:tcW w:w="5847" w:type="dxa"/>
                  <w:tcBorders>
                    <w:top w:val="single" w:color="auto" w:sz="12" w:space="0"/>
                  </w:tcBorders>
                  <w:noWrap w:val="0"/>
                  <w:tcMar>
                    <w:top w:w="0" w:type="dxa"/>
                    <w:left w:w="0" w:type="dxa"/>
                    <w:bottom w:w="0" w:type="dxa"/>
                    <w:right w:w="0" w:type="dxa"/>
                  </w:tcMar>
                  <w:vAlign w:val="center"/>
                </w:tcPr>
                <w:p>
                  <w:pPr>
                    <w:spacing w:line="240" w:lineRule="auto"/>
                    <w:jc w:val="center"/>
                    <w:rPr>
                      <w:sz w:val="21"/>
                      <w:szCs w:val="21"/>
                    </w:rPr>
                  </w:pPr>
                  <w:r>
                    <w:rPr>
                      <w:sz w:val="21"/>
                      <w:szCs w:val="21"/>
                    </w:rPr>
                    <w:t>二十八条规定：排污单位排放水污染物，不得超过经核定的水污染物排放总量，并应当按照规定设置便于检查、采样的规范化排污口，悬挂标志牌；不得私设暗管或者采取其他规避监管的方式排放水污染物。禁止在太湖流域设置不符合国家产业政策和水环境综合治理要求的造纸、制革、酒精、淀粉、冶金、酿造、印染、电镀等排放水污染物的生产项目，现有的生产项目不能实现达标排放的，应当依法关闭。</w:t>
                  </w:r>
                </w:p>
              </w:tc>
              <w:tc>
                <w:tcPr>
                  <w:tcW w:w="2266" w:type="dxa"/>
                  <w:vMerge w:val="restart"/>
                  <w:tcBorders>
                    <w:top w:val="single" w:color="auto" w:sz="12" w:space="0"/>
                  </w:tcBorders>
                  <w:noWrap w:val="0"/>
                  <w:tcMar>
                    <w:top w:w="0" w:type="dxa"/>
                    <w:left w:w="0" w:type="dxa"/>
                    <w:bottom w:w="0" w:type="dxa"/>
                    <w:right w:w="0" w:type="dxa"/>
                  </w:tcMar>
                  <w:vAlign w:val="center"/>
                </w:tcPr>
                <w:p>
                  <w:pPr>
                    <w:spacing w:line="240" w:lineRule="auto"/>
                    <w:jc w:val="center"/>
                    <w:rPr>
                      <w:sz w:val="21"/>
                      <w:szCs w:val="21"/>
                    </w:rPr>
                  </w:pPr>
                  <w:r>
                    <w:rPr>
                      <w:sz w:val="21"/>
                      <w:szCs w:val="21"/>
                    </w:rPr>
                    <w:t>本项目西侧最近距太湖15km，本次技改不新增含氮磷生产废水排放，生活污水接管至新区污水处理厂，不属于《太湖流域管理条例》禁止设置项目，也不属于《江苏省太湖水污染防治条例》中太湖流域一、二、三级保护区禁止行为。因此，本项目符合《太湖流域管理条例》（国务院令第604号）和《江苏省太湖水污染防治条例》(江苏省人大常委会公告第71号）的相关规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0" w:type="dxa"/>
                  <w:noWrap w:val="0"/>
                  <w:tcMar>
                    <w:top w:w="0" w:type="dxa"/>
                    <w:left w:w="0" w:type="dxa"/>
                    <w:bottom w:w="0" w:type="dxa"/>
                    <w:right w:w="0" w:type="dxa"/>
                  </w:tcMar>
                  <w:vAlign w:val="center"/>
                </w:tcPr>
                <w:p>
                  <w:pPr>
                    <w:spacing w:line="240" w:lineRule="auto"/>
                    <w:jc w:val="center"/>
                    <w:rPr>
                      <w:sz w:val="21"/>
                      <w:szCs w:val="21"/>
                    </w:rPr>
                  </w:pPr>
                  <w:r>
                    <w:rPr>
                      <w:sz w:val="21"/>
                      <w:szCs w:val="21"/>
                    </w:rPr>
                    <w:t>2</w:t>
                  </w:r>
                </w:p>
              </w:tc>
              <w:tc>
                <w:tcPr>
                  <w:tcW w:w="889" w:type="dxa"/>
                  <w:noWrap w:val="0"/>
                  <w:tcMar>
                    <w:top w:w="0" w:type="dxa"/>
                    <w:left w:w="0" w:type="dxa"/>
                    <w:bottom w:w="0" w:type="dxa"/>
                    <w:right w:w="0" w:type="dxa"/>
                  </w:tcMar>
                  <w:vAlign w:val="center"/>
                </w:tcPr>
                <w:p>
                  <w:pPr>
                    <w:spacing w:line="240" w:lineRule="auto"/>
                    <w:jc w:val="center"/>
                    <w:rPr>
                      <w:sz w:val="21"/>
                      <w:szCs w:val="21"/>
                    </w:rPr>
                  </w:pPr>
                  <w:r>
                    <w:rPr>
                      <w:sz w:val="21"/>
                      <w:szCs w:val="21"/>
                    </w:rPr>
                    <w:t>《江苏省太湖水污染防治条例》(江苏省人大常委会公告第71号）</w:t>
                  </w:r>
                </w:p>
              </w:tc>
              <w:tc>
                <w:tcPr>
                  <w:tcW w:w="5847" w:type="dxa"/>
                  <w:noWrap w:val="0"/>
                  <w:tcMar>
                    <w:top w:w="0" w:type="dxa"/>
                    <w:left w:w="0" w:type="dxa"/>
                    <w:bottom w:w="0" w:type="dxa"/>
                    <w:right w:w="0" w:type="dxa"/>
                  </w:tcMar>
                  <w:vAlign w:val="center"/>
                </w:tcPr>
                <w:p>
                  <w:pPr>
                    <w:spacing w:line="240" w:lineRule="auto"/>
                    <w:jc w:val="center"/>
                    <w:rPr>
                      <w:sz w:val="21"/>
                      <w:szCs w:val="21"/>
                    </w:rPr>
                  </w:pPr>
                  <w:r>
                    <w:rPr>
                      <w:sz w:val="21"/>
                      <w:szCs w:val="21"/>
                    </w:rPr>
                    <w:t>太湖流域一、二、三级保护区禁止下列行为：（一）新建、改建、扩建化学制浆造纸、制革、酿造、染料、印染、电镀以及其他排放含磷、氮等污染物的企业和项目，城镇污水集中处理等环境基础设施项目和第四十六条规定的情形除外；（二）销售、使用含磷洗涤用品；（三）向水体排放或者倾倒油类、酸液、碱液、剧毒废渣废液、含放射性废渣废液、含病原体污水、工业废渣以及其他废弃物；（四）在水体清洗装贮过油类或者有毒有害污染物的车辆、船舶和容器等；（五）使用农药等有毒物毒杀水生生物；（六）向水体直接排放人畜粪便、倾倒垃圾；（七）围湖造地；（八）违法开山采石，或者进行破坏林木、植被、水生生物的活动；（九）法律、法规禁止的其他行为。</w:t>
                  </w:r>
                </w:p>
              </w:tc>
              <w:tc>
                <w:tcPr>
                  <w:tcW w:w="2266" w:type="dxa"/>
                  <w:vMerge w:val="continue"/>
                  <w:noWrap w:val="0"/>
                  <w:tcMar>
                    <w:top w:w="0" w:type="dxa"/>
                    <w:left w:w="0" w:type="dxa"/>
                    <w:bottom w:w="0" w:type="dxa"/>
                    <w:right w:w="0" w:type="dxa"/>
                  </w:tcMar>
                  <w:vAlign w:val="center"/>
                </w:tcPr>
                <w:p>
                  <w:pPr>
                    <w:spacing w:line="240" w:lineRule="auto"/>
                    <w:jc w:val="center"/>
                    <w:rPr>
                      <w:sz w:val="21"/>
                      <w:szCs w:val="21"/>
                    </w:rPr>
                  </w:pPr>
                </w:p>
              </w:tc>
            </w:tr>
          </w:tbl>
          <w:p>
            <w:pPr>
              <w:ind w:firstLine="482" w:firstLineChars="200"/>
              <w:rPr>
                <w:b/>
                <w:bCs/>
              </w:rPr>
            </w:pPr>
            <w:r>
              <w:rPr>
                <w:b/>
                <w:bCs/>
              </w:rPr>
              <w:t>（4）与《江苏省生态红线区域保护规划》、《江苏省国家级生态保护红线规划》相符性分析相符性分析</w:t>
            </w:r>
          </w:p>
          <w:p>
            <w:pPr>
              <w:widowControl/>
              <w:ind w:firstLine="480"/>
              <w:rPr>
                <w:kern w:val="0"/>
              </w:rPr>
            </w:pPr>
            <w:r>
              <w:rPr>
                <w:kern w:val="0"/>
              </w:rPr>
              <w:t>本项目与江苏省生态红线区域的相对位置详见表2-2。</w:t>
            </w:r>
          </w:p>
          <w:p>
            <w:pPr>
              <w:snapToGrid w:val="0"/>
              <w:jc w:val="center"/>
              <w:rPr>
                <w:b/>
              </w:rPr>
            </w:pPr>
            <w:r>
              <w:rPr>
                <w:b/>
              </w:rPr>
              <w:t>表2-2  项目所在区域生态保护区</w:t>
            </w:r>
          </w:p>
          <w:tbl>
            <w:tblPr>
              <w:tblStyle w:val="26"/>
              <w:tblpPr w:leftFromText="180" w:rightFromText="180" w:vertAnchor="text" w:horzAnchor="page" w:tblpX="95" w:tblpY="449"/>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1360"/>
              <w:gridCol w:w="1586"/>
              <w:gridCol w:w="2493"/>
              <w:gridCol w:w="679"/>
              <w:gridCol w:w="680"/>
              <w:gridCol w:w="700"/>
              <w:gridCol w:w="72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95" w:type="dxa"/>
                  <w:vMerge w:val="restart"/>
                  <w:noWrap w:val="0"/>
                  <w:vAlign w:val="center"/>
                </w:tcPr>
                <w:p>
                  <w:pPr>
                    <w:spacing w:line="240" w:lineRule="auto"/>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名称</w:t>
                  </w:r>
                </w:p>
              </w:tc>
              <w:tc>
                <w:tcPr>
                  <w:tcW w:w="1360" w:type="dxa"/>
                  <w:vMerge w:val="restart"/>
                  <w:noWrap w:val="0"/>
                  <w:vAlign w:val="center"/>
                </w:tcPr>
                <w:p>
                  <w:pPr>
                    <w:spacing w:line="240" w:lineRule="auto"/>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主导生态功能</w:t>
                  </w:r>
                </w:p>
              </w:tc>
              <w:tc>
                <w:tcPr>
                  <w:tcW w:w="4079" w:type="dxa"/>
                  <w:gridSpan w:val="2"/>
                  <w:noWrap w:val="0"/>
                  <w:vAlign w:val="center"/>
                </w:tcPr>
                <w:p>
                  <w:pPr>
                    <w:spacing w:line="240" w:lineRule="auto"/>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红线区域范围</w:t>
                  </w:r>
                </w:p>
              </w:tc>
              <w:tc>
                <w:tcPr>
                  <w:tcW w:w="2059" w:type="dxa"/>
                  <w:gridSpan w:val="3"/>
                  <w:noWrap w:val="0"/>
                  <w:vAlign w:val="center"/>
                </w:tcPr>
                <w:p>
                  <w:pPr>
                    <w:spacing w:line="240" w:lineRule="auto"/>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面积（平方公里）</w:t>
                  </w:r>
                </w:p>
              </w:tc>
              <w:tc>
                <w:tcPr>
                  <w:tcW w:w="729" w:type="dxa"/>
                  <w:vMerge w:val="restart"/>
                  <w:noWrap w:val="0"/>
                  <w:vAlign w:val="center"/>
                </w:tcPr>
                <w:p>
                  <w:pPr>
                    <w:spacing w:line="240" w:lineRule="auto"/>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边界最近距离km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95" w:type="dxa"/>
                  <w:vMerge w:val="continue"/>
                  <w:noWrap w:val="0"/>
                  <w:vAlign w:val="center"/>
                </w:tcPr>
                <w:p>
                  <w:pPr>
                    <w:spacing w:line="240" w:lineRule="auto"/>
                    <w:jc w:val="center"/>
                    <w:rPr>
                      <w:rFonts w:hint="default" w:ascii="Times New Roman" w:hAnsi="Times New Roman" w:eastAsia="宋体" w:cs="Times New Roman"/>
                      <w:b/>
                      <w:sz w:val="21"/>
                      <w:szCs w:val="21"/>
                    </w:rPr>
                  </w:pPr>
                </w:p>
              </w:tc>
              <w:tc>
                <w:tcPr>
                  <w:tcW w:w="1360" w:type="dxa"/>
                  <w:vMerge w:val="continue"/>
                  <w:noWrap w:val="0"/>
                  <w:vAlign w:val="center"/>
                </w:tcPr>
                <w:p>
                  <w:pPr>
                    <w:spacing w:line="240" w:lineRule="auto"/>
                    <w:jc w:val="center"/>
                    <w:rPr>
                      <w:rFonts w:hint="default" w:ascii="Times New Roman" w:hAnsi="Times New Roman" w:eastAsia="宋体" w:cs="Times New Roman"/>
                      <w:b/>
                      <w:sz w:val="21"/>
                      <w:szCs w:val="21"/>
                    </w:rPr>
                  </w:pPr>
                </w:p>
              </w:tc>
              <w:tc>
                <w:tcPr>
                  <w:tcW w:w="1586" w:type="dxa"/>
                  <w:noWrap w:val="0"/>
                  <w:vAlign w:val="center"/>
                </w:tcPr>
                <w:p>
                  <w:pPr>
                    <w:spacing w:line="240" w:lineRule="auto"/>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一级管控区</w:t>
                  </w:r>
                </w:p>
              </w:tc>
              <w:tc>
                <w:tcPr>
                  <w:tcW w:w="2493" w:type="dxa"/>
                  <w:noWrap w:val="0"/>
                  <w:vAlign w:val="center"/>
                </w:tcPr>
                <w:p>
                  <w:pPr>
                    <w:spacing w:line="240" w:lineRule="auto"/>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二级管控区</w:t>
                  </w:r>
                </w:p>
              </w:tc>
              <w:tc>
                <w:tcPr>
                  <w:tcW w:w="679" w:type="dxa"/>
                  <w:noWrap w:val="0"/>
                  <w:vAlign w:val="center"/>
                </w:tcPr>
                <w:p>
                  <w:pPr>
                    <w:spacing w:line="240" w:lineRule="auto"/>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总面积</w:t>
                  </w:r>
                </w:p>
              </w:tc>
              <w:tc>
                <w:tcPr>
                  <w:tcW w:w="680" w:type="dxa"/>
                  <w:noWrap w:val="0"/>
                  <w:vAlign w:val="center"/>
                </w:tcPr>
                <w:p>
                  <w:pPr>
                    <w:spacing w:line="240" w:lineRule="auto"/>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一级管控区</w:t>
                  </w:r>
                </w:p>
              </w:tc>
              <w:tc>
                <w:tcPr>
                  <w:tcW w:w="700" w:type="dxa"/>
                  <w:noWrap w:val="0"/>
                  <w:vAlign w:val="center"/>
                </w:tcPr>
                <w:p>
                  <w:pPr>
                    <w:spacing w:line="240" w:lineRule="auto"/>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二级管控区</w:t>
                  </w:r>
                </w:p>
              </w:tc>
              <w:tc>
                <w:tcPr>
                  <w:tcW w:w="729" w:type="dxa"/>
                  <w:vMerge w:val="continue"/>
                  <w:noWrap w:val="0"/>
                  <w:vAlign w:val="center"/>
                </w:tcPr>
                <w:p>
                  <w:pPr>
                    <w:spacing w:line="240" w:lineRule="auto"/>
                    <w:jc w:val="center"/>
                    <w:rPr>
                      <w:rFonts w:hint="default" w:ascii="Times New Roman" w:hAnsi="Times New Roman" w:eastAsia="宋体" w:cs="Times New Roman"/>
                      <w:b/>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95" w:type="dxa"/>
                  <w:noWrap w:val="0"/>
                  <w:vAlign w:val="center"/>
                </w:tcPr>
                <w:p>
                  <w:pPr>
                    <w:autoSpaceDE/>
                    <w:autoSpaceDN/>
                    <w:snapToGrid/>
                    <w:spacing w:line="240" w:lineRule="auto"/>
                    <w:ind w:firstLine="0" w:firstLineChars="0"/>
                    <w:jc w:val="center"/>
                    <w:rPr>
                      <w:rFonts w:hint="default" w:ascii="Times New Roman" w:hAnsi="Times New Roman" w:eastAsia="宋体" w:cs="Times New Roman"/>
                      <w:snapToGrid/>
                      <w:kern w:val="2"/>
                      <w:sz w:val="21"/>
                      <w:szCs w:val="21"/>
                      <w:lang w:val="en-US" w:eastAsia="zh-CN" w:bidi="ar-SA"/>
                    </w:rPr>
                  </w:pPr>
                  <w:r>
                    <w:rPr>
                      <w:rFonts w:hint="default" w:ascii="Times New Roman" w:hAnsi="Times New Roman" w:eastAsia="宋体" w:cs="Times New Roman"/>
                      <w:snapToGrid/>
                      <w:kern w:val="2"/>
                      <w:sz w:val="21"/>
                      <w:szCs w:val="21"/>
                    </w:rPr>
                    <w:t>虎丘山风景名胜区</w:t>
                  </w:r>
                </w:p>
              </w:tc>
              <w:tc>
                <w:tcPr>
                  <w:tcW w:w="1360" w:type="dxa"/>
                  <w:noWrap w:val="0"/>
                  <w:vAlign w:val="center"/>
                </w:tcPr>
                <w:p>
                  <w:pPr>
                    <w:autoSpaceDE/>
                    <w:autoSpaceDN/>
                    <w:snapToGrid/>
                    <w:spacing w:line="240" w:lineRule="auto"/>
                    <w:ind w:firstLine="0" w:firstLineChars="0"/>
                    <w:jc w:val="center"/>
                    <w:rPr>
                      <w:rFonts w:hint="default" w:ascii="Times New Roman" w:hAnsi="Times New Roman" w:eastAsia="宋体" w:cs="Times New Roman"/>
                      <w:snapToGrid/>
                      <w:kern w:val="2"/>
                      <w:sz w:val="21"/>
                      <w:szCs w:val="21"/>
                      <w:lang w:val="en-US" w:eastAsia="zh-CN" w:bidi="ar-SA"/>
                    </w:rPr>
                  </w:pPr>
                  <w:r>
                    <w:rPr>
                      <w:rFonts w:hint="default" w:ascii="Times New Roman" w:hAnsi="Times New Roman" w:eastAsia="宋体" w:cs="Times New Roman"/>
                      <w:snapToGrid/>
                      <w:kern w:val="2"/>
                      <w:sz w:val="21"/>
                      <w:szCs w:val="21"/>
                    </w:rPr>
                    <w:t>自然与人文景观保护</w:t>
                  </w:r>
                </w:p>
              </w:tc>
              <w:tc>
                <w:tcPr>
                  <w:tcW w:w="1586" w:type="dxa"/>
                  <w:noWrap w:val="0"/>
                  <w:vAlign w:val="center"/>
                </w:tcPr>
                <w:p>
                  <w:pPr>
                    <w:autoSpaceDE/>
                    <w:autoSpaceDN/>
                    <w:snapToGrid/>
                    <w:spacing w:line="240" w:lineRule="auto"/>
                    <w:ind w:firstLine="0" w:firstLineChars="0"/>
                    <w:jc w:val="center"/>
                    <w:rPr>
                      <w:rFonts w:hint="default" w:ascii="Times New Roman" w:hAnsi="Times New Roman" w:eastAsia="宋体" w:cs="Times New Roman"/>
                      <w:snapToGrid/>
                      <w:kern w:val="2"/>
                      <w:sz w:val="21"/>
                      <w:szCs w:val="21"/>
                      <w:lang w:val="en-US" w:eastAsia="zh-CN" w:bidi="ar-SA"/>
                    </w:rPr>
                  </w:pPr>
                </w:p>
              </w:tc>
              <w:tc>
                <w:tcPr>
                  <w:tcW w:w="2493" w:type="dxa"/>
                  <w:noWrap w:val="0"/>
                  <w:vAlign w:val="center"/>
                </w:tcPr>
                <w:p>
                  <w:pPr>
                    <w:autoSpaceDE/>
                    <w:autoSpaceDN/>
                    <w:snapToGrid/>
                    <w:spacing w:line="264" w:lineRule="auto"/>
                    <w:ind w:firstLine="0" w:firstLineChars="0"/>
                    <w:jc w:val="center"/>
                    <w:rPr>
                      <w:rFonts w:hint="default" w:ascii="Times New Roman" w:hAnsi="Times New Roman" w:eastAsia="宋体" w:cs="Times New Roman"/>
                      <w:snapToGrid/>
                      <w:kern w:val="2"/>
                      <w:sz w:val="21"/>
                      <w:szCs w:val="21"/>
                      <w:lang w:val="en-US" w:eastAsia="zh-CN" w:bidi="ar-SA"/>
                    </w:rPr>
                  </w:pPr>
                  <w:r>
                    <w:rPr>
                      <w:rFonts w:hint="default" w:ascii="Times New Roman" w:hAnsi="Times New Roman" w:eastAsia="宋体" w:cs="Times New Roman"/>
                      <w:snapToGrid/>
                      <w:kern w:val="2"/>
                      <w:sz w:val="21"/>
                      <w:szCs w:val="21"/>
                    </w:rPr>
                    <w:t>北至312国道，南至虎阜路，东至新塘路和虎阜路，西至郁家浜、山塘河、苏虞张连接线、西山苗桥、虎丘西路以西50米</w:t>
                  </w:r>
                </w:p>
              </w:tc>
              <w:tc>
                <w:tcPr>
                  <w:tcW w:w="679" w:type="dxa"/>
                  <w:noWrap w:val="0"/>
                  <w:vAlign w:val="center"/>
                </w:tcPr>
                <w:p>
                  <w:pPr>
                    <w:autoSpaceDE/>
                    <w:autoSpaceDN/>
                    <w:snapToGrid/>
                    <w:spacing w:line="240" w:lineRule="auto"/>
                    <w:ind w:firstLine="0" w:firstLineChars="0"/>
                    <w:jc w:val="center"/>
                    <w:rPr>
                      <w:rFonts w:hint="default" w:ascii="Times New Roman" w:hAnsi="Times New Roman" w:eastAsia="宋体" w:cs="Times New Roman"/>
                      <w:snapToGrid/>
                      <w:kern w:val="2"/>
                      <w:sz w:val="21"/>
                      <w:szCs w:val="21"/>
                      <w:lang w:val="en-US" w:eastAsia="zh-CN" w:bidi="ar-SA"/>
                    </w:rPr>
                  </w:pPr>
                  <w:r>
                    <w:rPr>
                      <w:rFonts w:hint="default" w:ascii="Times New Roman" w:hAnsi="Times New Roman" w:eastAsia="宋体" w:cs="Times New Roman"/>
                      <w:snapToGrid/>
                      <w:kern w:val="2"/>
                      <w:sz w:val="21"/>
                      <w:szCs w:val="21"/>
                    </w:rPr>
                    <w:t>0.72</w:t>
                  </w:r>
                </w:p>
              </w:tc>
              <w:tc>
                <w:tcPr>
                  <w:tcW w:w="680" w:type="dxa"/>
                  <w:noWrap w:val="0"/>
                  <w:vAlign w:val="center"/>
                </w:tcPr>
                <w:p>
                  <w:pPr>
                    <w:autoSpaceDE/>
                    <w:autoSpaceDN/>
                    <w:snapToGrid/>
                    <w:spacing w:line="240" w:lineRule="auto"/>
                    <w:ind w:firstLine="0" w:firstLineChars="0"/>
                    <w:jc w:val="center"/>
                    <w:rPr>
                      <w:rFonts w:hint="default" w:ascii="Times New Roman" w:hAnsi="Times New Roman" w:eastAsia="宋体" w:cs="Times New Roman"/>
                      <w:snapToGrid/>
                      <w:kern w:val="2"/>
                      <w:sz w:val="21"/>
                      <w:szCs w:val="21"/>
                      <w:lang w:val="en-US" w:eastAsia="zh-CN" w:bidi="ar-SA"/>
                    </w:rPr>
                  </w:pPr>
                  <w:r>
                    <w:rPr>
                      <w:rFonts w:hint="eastAsia" w:cs="Times New Roman"/>
                      <w:snapToGrid/>
                      <w:kern w:val="2"/>
                      <w:sz w:val="21"/>
                      <w:szCs w:val="21"/>
                      <w:lang w:val="en-US" w:eastAsia="zh-CN" w:bidi="ar-SA"/>
                    </w:rPr>
                    <w:t>/</w:t>
                  </w:r>
                </w:p>
              </w:tc>
              <w:tc>
                <w:tcPr>
                  <w:tcW w:w="700" w:type="dxa"/>
                  <w:noWrap w:val="0"/>
                  <w:vAlign w:val="center"/>
                </w:tcPr>
                <w:p>
                  <w:pPr>
                    <w:autoSpaceDE/>
                    <w:autoSpaceDN/>
                    <w:snapToGrid/>
                    <w:spacing w:line="240" w:lineRule="auto"/>
                    <w:ind w:firstLine="0" w:firstLineChars="0"/>
                    <w:jc w:val="center"/>
                    <w:rPr>
                      <w:rFonts w:hint="default" w:ascii="Times New Roman" w:hAnsi="Times New Roman" w:eastAsia="宋体" w:cs="Times New Roman"/>
                      <w:snapToGrid/>
                      <w:kern w:val="2"/>
                      <w:sz w:val="21"/>
                      <w:szCs w:val="21"/>
                      <w:lang w:val="en-US" w:eastAsia="zh-CN" w:bidi="ar-SA"/>
                    </w:rPr>
                  </w:pPr>
                  <w:r>
                    <w:rPr>
                      <w:rFonts w:hint="default" w:ascii="Times New Roman" w:hAnsi="Times New Roman" w:eastAsia="宋体" w:cs="Times New Roman"/>
                      <w:snapToGrid/>
                      <w:kern w:val="2"/>
                      <w:sz w:val="21"/>
                      <w:szCs w:val="21"/>
                    </w:rPr>
                    <w:t>0.72</w:t>
                  </w:r>
                </w:p>
              </w:tc>
              <w:tc>
                <w:tcPr>
                  <w:tcW w:w="729" w:type="dxa"/>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Align w:val="center"/>
                </w:tcPr>
                <w:p>
                  <w:pPr>
                    <w:autoSpaceDE/>
                    <w:autoSpaceDN/>
                    <w:snapToGrid/>
                    <w:spacing w:line="240" w:lineRule="auto"/>
                    <w:ind w:firstLine="0" w:firstLineChars="0"/>
                    <w:jc w:val="center"/>
                    <w:rPr>
                      <w:rFonts w:hint="default" w:ascii="Times New Roman" w:hAnsi="Times New Roman" w:eastAsia="宋体" w:cs="Times New Roman"/>
                      <w:snapToGrid/>
                      <w:kern w:val="2"/>
                      <w:sz w:val="21"/>
                      <w:szCs w:val="21"/>
                      <w:lang w:val="en-US" w:eastAsia="zh-CN" w:bidi="ar-SA"/>
                    </w:rPr>
                  </w:pPr>
                  <w:r>
                    <w:rPr>
                      <w:rFonts w:hint="default" w:ascii="Times New Roman" w:hAnsi="Times New Roman" w:eastAsia="宋体" w:cs="Times New Roman"/>
                      <w:snapToGrid/>
                      <w:kern w:val="2"/>
                      <w:sz w:val="21"/>
                      <w:szCs w:val="21"/>
                    </w:rPr>
                    <w:t>枫桥风景名胜区</w:t>
                  </w:r>
                </w:p>
              </w:tc>
              <w:tc>
                <w:tcPr>
                  <w:tcW w:w="0" w:type="auto"/>
                  <w:vAlign w:val="center"/>
                </w:tcPr>
                <w:p>
                  <w:pPr>
                    <w:autoSpaceDE/>
                    <w:autoSpaceDN/>
                    <w:snapToGrid/>
                    <w:spacing w:line="240" w:lineRule="auto"/>
                    <w:ind w:firstLine="0" w:firstLineChars="0"/>
                    <w:jc w:val="center"/>
                    <w:rPr>
                      <w:rFonts w:hint="default" w:ascii="Times New Roman" w:hAnsi="Times New Roman" w:eastAsia="宋体" w:cs="Times New Roman"/>
                      <w:snapToGrid/>
                      <w:kern w:val="2"/>
                      <w:sz w:val="21"/>
                      <w:szCs w:val="21"/>
                      <w:lang w:val="en-US" w:eastAsia="zh-CN" w:bidi="ar-SA"/>
                    </w:rPr>
                  </w:pPr>
                  <w:r>
                    <w:rPr>
                      <w:rFonts w:hint="default" w:ascii="Times New Roman" w:hAnsi="Times New Roman" w:eastAsia="宋体" w:cs="Times New Roman"/>
                      <w:snapToGrid/>
                      <w:kern w:val="2"/>
                      <w:sz w:val="21"/>
                      <w:szCs w:val="21"/>
                    </w:rPr>
                    <w:t>自然与人文景观保护</w:t>
                  </w:r>
                </w:p>
              </w:tc>
              <w:tc>
                <w:tcPr>
                  <w:tcW w:w="0" w:type="auto"/>
                  <w:vAlign w:val="center"/>
                </w:tcPr>
                <w:p>
                  <w:pPr>
                    <w:autoSpaceDE/>
                    <w:autoSpaceDN/>
                    <w:snapToGrid/>
                    <w:spacing w:line="240" w:lineRule="auto"/>
                    <w:ind w:firstLine="0" w:firstLineChars="0"/>
                    <w:jc w:val="center"/>
                    <w:rPr>
                      <w:rFonts w:hint="default" w:ascii="Times New Roman" w:hAnsi="Times New Roman" w:eastAsia="宋体" w:cs="Times New Roman"/>
                      <w:snapToGrid/>
                      <w:kern w:val="2"/>
                      <w:sz w:val="21"/>
                      <w:szCs w:val="21"/>
                      <w:lang w:val="en-US" w:eastAsia="zh-CN" w:bidi="ar-SA"/>
                    </w:rPr>
                  </w:pPr>
                </w:p>
              </w:tc>
              <w:tc>
                <w:tcPr>
                  <w:tcW w:w="0" w:type="auto"/>
                  <w:vAlign w:val="center"/>
                </w:tcPr>
                <w:p>
                  <w:pPr>
                    <w:autoSpaceDE/>
                    <w:autoSpaceDN/>
                    <w:snapToGrid/>
                    <w:spacing w:line="240" w:lineRule="auto"/>
                    <w:ind w:firstLine="0" w:firstLineChars="0"/>
                    <w:jc w:val="center"/>
                    <w:rPr>
                      <w:rFonts w:hint="default" w:ascii="Times New Roman" w:hAnsi="Times New Roman" w:eastAsia="宋体" w:cs="Times New Roman"/>
                      <w:snapToGrid/>
                      <w:kern w:val="2"/>
                      <w:sz w:val="21"/>
                      <w:szCs w:val="21"/>
                      <w:lang w:val="en-US" w:eastAsia="zh-CN" w:bidi="ar-SA"/>
                    </w:rPr>
                  </w:pPr>
                  <w:r>
                    <w:rPr>
                      <w:rFonts w:hint="default" w:ascii="Times New Roman" w:hAnsi="Times New Roman" w:eastAsia="宋体" w:cs="Times New Roman"/>
                      <w:snapToGrid/>
                      <w:kern w:val="2"/>
                      <w:sz w:val="21"/>
                      <w:szCs w:val="21"/>
                    </w:rPr>
                    <w:t>东连枫桥路，南至金门路，西临大运河，北至上塘河</w:t>
                  </w:r>
                </w:p>
              </w:tc>
              <w:tc>
                <w:tcPr>
                  <w:tcW w:w="0" w:type="auto"/>
                  <w:vAlign w:val="center"/>
                </w:tcPr>
                <w:p>
                  <w:pPr>
                    <w:autoSpaceDE/>
                    <w:autoSpaceDN/>
                    <w:snapToGrid/>
                    <w:spacing w:line="240" w:lineRule="auto"/>
                    <w:ind w:firstLine="0" w:firstLineChars="0"/>
                    <w:jc w:val="center"/>
                    <w:rPr>
                      <w:rFonts w:hint="default" w:ascii="Times New Roman" w:hAnsi="Times New Roman" w:eastAsia="宋体" w:cs="Times New Roman"/>
                      <w:snapToGrid/>
                      <w:kern w:val="2"/>
                      <w:sz w:val="21"/>
                      <w:szCs w:val="21"/>
                      <w:lang w:val="en-US" w:eastAsia="zh-CN" w:bidi="ar-SA"/>
                    </w:rPr>
                  </w:pPr>
                  <w:r>
                    <w:rPr>
                      <w:rFonts w:hint="default" w:ascii="Times New Roman" w:hAnsi="Times New Roman" w:eastAsia="宋体" w:cs="Times New Roman"/>
                      <w:snapToGrid/>
                      <w:kern w:val="2"/>
                      <w:sz w:val="21"/>
                      <w:szCs w:val="21"/>
                    </w:rPr>
                    <w:t>0.14</w:t>
                  </w:r>
                </w:p>
              </w:tc>
              <w:tc>
                <w:tcPr>
                  <w:tcW w:w="0" w:type="auto"/>
                  <w:vAlign w:val="center"/>
                </w:tcPr>
                <w:p>
                  <w:pPr>
                    <w:autoSpaceDE/>
                    <w:autoSpaceDN/>
                    <w:snapToGrid/>
                    <w:spacing w:line="240" w:lineRule="auto"/>
                    <w:ind w:firstLine="0" w:firstLineChars="0"/>
                    <w:jc w:val="center"/>
                    <w:rPr>
                      <w:rFonts w:hint="default" w:ascii="Times New Roman" w:hAnsi="Times New Roman" w:eastAsia="宋体" w:cs="Times New Roman"/>
                      <w:snapToGrid/>
                      <w:kern w:val="2"/>
                      <w:sz w:val="21"/>
                      <w:szCs w:val="21"/>
                      <w:lang w:val="en-US" w:eastAsia="zh-CN" w:bidi="ar-SA"/>
                    </w:rPr>
                  </w:pPr>
                  <w:r>
                    <w:rPr>
                      <w:rFonts w:hint="eastAsia" w:cs="Times New Roman"/>
                      <w:snapToGrid/>
                      <w:kern w:val="2"/>
                      <w:sz w:val="21"/>
                      <w:szCs w:val="21"/>
                      <w:lang w:val="en-US" w:eastAsia="zh-CN" w:bidi="ar-SA"/>
                    </w:rPr>
                    <w:t>/</w:t>
                  </w:r>
                </w:p>
              </w:tc>
              <w:tc>
                <w:tcPr>
                  <w:tcW w:w="0" w:type="auto"/>
                  <w:vAlign w:val="center"/>
                </w:tcPr>
                <w:p>
                  <w:pPr>
                    <w:autoSpaceDE/>
                    <w:autoSpaceDN/>
                    <w:snapToGrid/>
                    <w:spacing w:line="240" w:lineRule="auto"/>
                    <w:ind w:firstLine="0" w:firstLineChars="0"/>
                    <w:jc w:val="center"/>
                    <w:rPr>
                      <w:rFonts w:hint="default" w:ascii="Times New Roman" w:hAnsi="Times New Roman" w:eastAsia="宋体" w:cs="Times New Roman"/>
                      <w:snapToGrid/>
                      <w:kern w:val="2"/>
                      <w:sz w:val="21"/>
                      <w:szCs w:val="21"/>
                      <w:lang w:val="en-US" w:eastAsia="zh-CN" w:bidi="ar-SA"/>
                    </w:rPr>
                  </w:pPr>
                  <w:r>
                    <w:rPr>
                      <w:rFonts w:hint="default" w:ascii="Times New Roman" w:hAnsi="Times New Roman" w:eastAsia="宋体" w:cs="Times New Roman"/>
                      <w:snapToGrid/>
                      <w:kern w:val="2"/>
                      <w:sz w:val="21"/>
                      <w:szCs w:val="21"/>
                    </w:rPr>
                    <w:t>0.14</w:t>
                  </w:r>
                </w:p>
              </w:tc>
              <w:tc>
                <w:tcPr>
                  <w:tcW w:w="0" w:type="auto"/>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9.2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Align w:val="center"/>
                </w:tcPr>
                <w:p>
                  <w:pPr>
                    <w:autoSpaceDE/>
                    <w:autoSpaceDN/>
                    <w:snapToGrid/>
                    <w:spacing w:line="240" w:lineRule="auto"/>
                    <w:ind w:firstLine="0" w:firstLineChars="0"/>
                    <w:jc w:val="center"/>
                    <w:rPr>
                      <w:rFonts w:hint="default" w:ascii="Times New Roman" w:hAnsi="Times New Roman" w:eastAsia="宋体" w:cs="Times New Roman"/>
                      <w:snapToGrid/>
                      <w:kern w:val="2"/>
                      <w:sz w:val="21"/>
                      <w:szCs w:val="21"/>
                      <w:lang w:val="en-US" w:eastAsia="zh-CN" w:bidi="ar-SA"/>
                    </w:rPr>
                  </w:pPr>
                  <w:r>
                    <w:rPr>
                      <w:rFonts w:hint="default" w:ascii="Times New Roman" w:hAnsi="Times New Roman" w:eastAsia="宋体" w:cs="Times New Roman"/>
                      <w:snapToGrid/>
                      <w:kern w:val="2"/>
                      <w:sz w:val="21"/>
                      <w:szCs w:val="21"/>
                    </w:rPr>
                    <w:t>苏州白马涧风景名胜区</w:t>
                  </w:r>
                </w:p>
              </w:tc>
              <w:tc>
                <w:tcPr>
                  <w:tcW w:w="0" w:type="auto"/>
                  <w:vAlign w:val="center"/>
                </w:tcPr>
                <w:p>
                  <w:pPr>
                    <w:autoSpaceDE/>
                    <w:autoSpaceDN/>
                    <w:snapToGrid/>
                    <w:spacing w:line="240" w:lineRule="auto"/>
                    <w:ind w:firstLine="0" w:firstLineChars="0"/>
                    <w:jc w:val="center"/>
                    <w:rPr>
                      <w:rFonts w:hint="default" w:ascii="Times New Roman" w:hAnsi="Times New Roman" w:eastAsia="宋体" w:cs="Times New Roman"/>
                      <w:snapToGrid/>
                      <w:kern w:val="2"/>
                      <w:sz w:val="21"/>
                      <w:szCs w:val="21"/>
                      <w:lang w:val="en-US" w:eastAsia="zh-CN" w:bidi="ar-SA"/>
                    </w:rPr>
                  </w:pPr>
                  <w:r>
                    <w:rPr>
                      <w:rFonts w:hint="default" w:ascii="Times New Roman" w:hAnsi="Times New Roman" w:eastAsia="宋体" w:cs="Times New Roman"/>
                      <w:snapToGrid/>
                      <w:kern w:val="2"/>
                      <w:sz w:val="21"/>
                      <w:szCs w:val="21"/>
                    </w:rPr>
                    <w:t>自然与人文景观保护</w:t>
                  </w:r>
                </w:p>
              </w:tc>
              <w:tc>
                <w:tcPr>
                  <w:tcW w:w="0" w:type="auto"/>
                  <w:vAlign w:val="center"/>
                </w:tcPr>
                <w:p>
                  <w:pPr>
                    <w:autoSpaceDE/>
                    <w:autoSpaceDN/>
                    <w:snapToGrid/>
                    <w:spacing w:line="240" w:lineRule="auto"/>
                    <w:ind w:firstLine="0" w:firstLineChars="0"/>
                    <w:jc w:val="center"/>
                    <w:rPr>
                      <w:rFonts w:hint="default" w:ascii="Times New Roman" w:hAnsi="Times New Roman" w:eastAsia="宋体" w:cs="Times New Roman"/>
                      <w:snapToGrid/>
                      <w:kern w:val="2"/>
                      <w:sz w:val="21"/>
                      <w:szCs w:val="21"/>
                      <w:lang w:val="en-US" w:eastAsia="zh-CN" w:bidi="ar-SA"/>
                    </w:rPr>
                  </w:pPr>
                </w:p>
              </w:tc>
              <w:tc>
                <w:tcPr>
                  <w:tcW w:w="0" w:type="auto"/>
                  <w:vAlign w:val="center"/>
                </w:tcPr>
                <w:p>
                  <w:pPr>
                    <w:autoSpaceDE/>
                    <w:autoSpaceDN/>
                    <w:snapToGrid/>
                    <w:spacing w:line="240" w:lineRule="auto"/>
                    <w:ind w:firstLine="0" w:firstLineChars="0"/>
                    <w:jc w:val="center"/>
                    <w:rPr>
                      <w:rFonts w:hint="default" w:ascii="Times New Roman" w:hAnsi="Times New Roman" w:eastAsia="宋体" w:cs="Times New Roman"/>
                      <w:snapToGrid/>
                      <w:kern w:val="2"/>
                      <w:sz w:val="21"/>
                      <w:szCs w:val="21"/>
                      <w:lang w:val="en-US" w:eastAsia="zh-CN" w:bidi="ar-SA"/>
                    </w:rPr>
                  </w:pPr>
                  <w:r>
                    <w:rPr>
                      <w:rFonts w:hint="default" w:ascii="Times New Roman" w:hAnsi="Times New Roman" w:eastAsia="宋体" w:cs="Times New Roman"/>
                      <w:snapToGrid/>
                      <w:kern w:val="2"/>
                      <w:sz w:val="21"/>
                      <w:szCs w:val="21"/>
                    </w:rPr>
                    <w:t>花山自然村以东，陆家湾以南，天平山以北，西至与吴中区交界。涉及建林村、新村村2个行政村</w:t>
                  </w:r>
                </w:p>
              </w:tc>
              <w:tc>
                <w:tcPr>
                  <w:tcW w:w="0" w:type="auto"/>
                  <w:vAlign w:val="center"/>
                </w:tcPr>
                <w:p>
                  <w:pPr>
                    <w:autoSpaceDE/>
                    <w:autoSpaceDN/>
                    <w:snapToGrid/>
                    <w:spacing w:line="240" w:lineRule="auto"/>
                    <w:ind w:firstLine="0" w:firstLineChars="0"/>
                    <w:jc w:val="center"/>
                    <w:rPr>
                      <w:rFonts w:hint="default" w:ascii="Times New Roman" w:hAnsi="Times New Roman" w:eastAsia="宋体" w:cs="Times New Roman"/>
                      <w:snapToGrid/>
                      <w:kern w:val="2"/>
                      <w:sz w:val="21"/>
                      <w:szCs w:val="21"/>
                      <w:lang w:val="en-US" w:eastAsia="zh-CN" w:bidi="ar-SA"/>
                    </w:rPr>
                  </w:pPr>
                  <w:r>
                    <w:rPr>
                      <w:rFonts w:hint="default" w:ascii="Times New Roman" w:hAnsi="Times New Roman" w:eastAsia="宋体" w:cs="Times New Roman"/>
                      <w:snapToGrid/>
                      <w:kern w:val="2"/>
                      <w:sz w:val="21"/>
                      <w:szCs w:val="21"/>
                    </w:rPr>
                    <w:t>1.03</w:t>
                  </w:r>
                </w:p>
              </w:tc>
              <w:tc>
                <w:tcPr>
                  <w:tcW w:w="0" w:type="auto"/>
                  <w:vAlign w:val="center"/>
                </w:tcPr>
                <w:p>
                  <w:pPr>
                    <w:autoSpaceDE/>
                    <w:autoSpaceDN/>
                    <w:snapToGrid/>
                    <w:spacing w:line="240" w:lineRule="auto"/>
                    <w:ind w:firstLine="0" w:firstLineChars="0"/>
                    <w:jc w:val="center"/>
                    <w:rPr>
                      <w:rFonts w:hint="default" w:ascii="Times New Roman" w:hAnsi="Times New Roman" w:eastAsia="宋体" w:cs="Times New Roman"/>
                      <w:snapToGrid/>
                      <w:kern w:val="2"/>
                      <w:sz w:val="21"/>
                      <w:szCs w:val="21"/>
                      <w:lang w:val="en-US" w:eastAsia="zh-CN" w:bidi="ar-SA"/>
                    </w:rPr>
                  </w:pPr>
                  <w:r>
                    <w:rPr>
                      <w:rFonts w:hint="eastAsia" w:cs="Times New Roman"/>
                      <w:snapToGrid/>
                      <w:kern w:val="2"/>
                      <w:sz w:val="21"/>
                      <w:szCs w:val="21"/>
                      <w:lang w:val="en-US" w:eastAsia="zh-CN" w:bidi="ar-SA"/>
                    </w:rPr>
                    <w:t>/</w:t>
                  </w:r>
                </w:p>
              </w:tc>
              <w:tc>
                <w:tcPr>
                  <w:tcW w:w="0" w:type="auto"/>
                  <w:vAlign w:val="center"/>
                </w:tcPr>
                <w:p>
                  <w:pPr>
                    <w:autoSpaceDE/>
                    <w:autoSpaceDN/>
                    <w:snapToGrid/>
                    <w:spacing w:line="240" w:lineRule="auto"/>
                    <w:ind w:firstLine="0" w:firstLineChars="0"/>
                    <w:jc w:val="center"/>
                    <w:rPr>
                      <w:rFonts w:hint="default" w:ascii="Times New Roman" w:hAnsi="Times New Roman" w:eastAsia="宋体" w:cs="Times New Roman"/>
                      <w:snapToGrid/>
                      <w:kern w:val="2"/>
                      <w:sz w:val="21"/>
                      <w:szCs w:val="21"/>
                      <w:lang w:val="en-US" w:eastAsia="zh-CN" w:bidi="ar-SA"/>
                    </w:rPr>
                  </w:pPr>
                  <w:r>
                    <w:rPr>
                      <w:rFonts w:hint="default" w:ascii="Times New Roman" w:hAnsi="Times New Roman" w:eastAsia="宋体" w:cs="Times New Roman"/>
                      <w:snapToGrid/>
                      <w:kern w:val="2"/>
                      <w:sz w:val="21"/>
                      <w:szCs w:val="21"/>
                    </w:rPr>
                    <w:t>1.03</w:t>
                  </w:r>
                </w:p>
              </w:tc>
              <w:tc>
                <w:tcPr>
                  <w:tcW w:w="0" w:type="auto"/>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Align w:val="center"/>
                </w:tcPr>
                <w:p>
                  <w:pPr>
                    <w:autoSpaceDE/>
                    <w:autoSpaceDN/>
                    <w:snapToGrid/>
                    <w:spacing w:line="240" w:lineRule="auto"/>
                    <w:ind w:firstLine="0" w:firstLineChars="0"/>
                    <w:jc w:val="center"/>
                    <w:rPr>
                      <w:rFonts w:hint="default" w:ascii="Times New Roman" w:hAnsi="Times New Roman" w:eastAsia="宋体" w:cs="Times New Roman"/>
                      <w:snapToGrid/>
                      <w:kern w:val="2"/>
                      <w:sz w:val="21"/>
                      <w:szCs w:val="21"/>
                      <w:lang w:val="en-US" w:eastAsia="zh-CN" w:bidi="ar-SA"/>
                    </w:rPr>
                  </w:pPr>
                  <w:r>
                    <w:rPr>
                      <w:rFonts w:hint="default" w:ascii="Times New Roman" w:hAnsi="Times New Roman" w:eastAsia="宋体" w:cs="Times New Roman"/>
                      <w:snapToGrid/>
                      <w:kern w:val="2"/>
                      <w:sz w:val="21"/>
                      <w:szCs w:val="21"/>
                    </w:rPr>
                    <w:t>石湖（高新区）风景名胜区</w:t>
                  </w:r>
                </w:p>
              </w:tc>
              <w:tc>
                <w:tcPr>
                  <w:tcW w:w="0" w:type="auto"/>
                  <w:vAlign w:val="center"/>
                </w:tcPr>
                <w:p>
                  <w:pPr>
                    <w:autoSpaceDE/>
                    <w:autoSpaceDN/>
                    <w:snapToGrid/>
                    <w:spacing w:line="240" w:lineRule="auto"/>
                    <w:ind w:firstLine="0" w:firstLineChars="0"/>
                    <w:jc w:val="center"/>
                    <w:rPr>
                      <w:rFonts w:hint="default" w:ascii="Times New Roman" w:hAnsi="Times New Roman" w:eastAsia="宋体" w:cs="Times New Roman"/>
                      <w:snapToGrid/>
                      <w:kern w:val="2"/>
                      <w:sz w:val="21"/>
                      <w:szCs w:val="21"/>
                      <w:lang w:val="en-US" w:eastAsia="zh-CN" w:bidi="ar-SA"/>
                    </w:rPr>
                  </w:pPr>
                  <w:r>
                    <w:rPr>
                      <w:rFonts w:hint="default" w:ascii="Times New Roman" w:hAnsi="Times New Roman" w:eastAsia="宋体" w:cs="Times New Roman"/>
                      <w:snapToGrid/>
                      <w:kern w:val="2"/>
                      <w:sz w:val="21"/>
                      <w:szCs w:val="21"/>
                    </w:rPr>
                    <w:t>自然与人文景观保护</w:t>
                  </w:r>
                </w:p>
              </w:tc>
              <w:tc>
                <w:tcPr>
                  <w:tcW w:w="0" w:type="auto"/>
                  <w:vAlign w:val="center"/>
                </w:tcPr>
                <w:p>
                  <w:pPr>
                    <w:autoSpaceDE/>
                    <w:autoSpaceDN/>
                    <w:snapToGrid/>
                    <w:spacing w:line="240" w:lineRule="auto"/>
                    <w:ind w:firstLine="0" w:firstLineChars="0"/>
                    <w:jc w:val="center"/>
                    <w:rPr>
                      <w:rFonts w:hint="default" w:ascii="Times New Roman" w:hAnsi="Times New Roman" w:eastAsia="宋体" w:cs="Times New Roman"/>
                      <w:snapToGrid/>
                      <w:kern w:val="2"/>
                      <w:sz w:val="21"/>
                      <w:szCs w:val="21"/>
                      <w:lang w:val="en-US" w:eastAsia="zh-CN" w:bidi="ar-SA"/>
                    </w:rPr>
                  </w:pPr>
                  <w:r>
                    <w:rPr>
                      <w:rFonts w:hint="default" w:ascii="Times New Roman" w:hAnsi="Times New Roman" w:eastAsia="宋体" w:cs="Times New Roman"/>
                      <w:snapToGrid/>
                      <w:kern w:val="2"/>
                      <w:sz w:val="21"/>
                      <w:szCs w:val="21"/>
                    </w:rPr>
                    <w:t>高新区内上方山山体30米等高线以上区域及石湖水域</w:t>
                  </w:r>
                </w:p>
              </w:tc>
              <w:tc>
                <w:tcPr>
                  <w:tcW w:w="0" w:type="auto"/>
                  <w:vAlign w:val="center"/>
                </w:tcPr>
                <w:p>
                  <w:pPr>
                    <w:autoSpaceDE/>
                    <w:autoSpaceDN/>
                    <w:snapToGrid/>
                    <w:spacing w:line="240" w:lineRule="auto"/>
                    <w:ind w:firstLine="0" w:firstLineChars="0"/>
                    <w:jc w:val="center"/>
                    <w:rPr>
                      <w:rFonts w:hint="default" w:ascii="Times New Roman" w:hAnsi="Times New Roman" w:eastAsia="宋体" w:cs="Times New Roman"/>
                      <w:snapToGrid/>
                      <w:kern w:val="2"/>
                      <w:sz w:val="21"/>
                      <w:szCs w:val="21"/>
                      <w:lang w:val="en-US" w:eastAsia="zh-CN" w:bidi="ar-SA"/>
                    </w:rPr>
                  </w:pPr>
                  <w:r>
                    <w:rPr>
                      <w:rFonts w:hint="default" w:ascii="Times New Roman" w:hAnsi="Times New Roman" w:eastAsia="宋体" w:cs="Times New Roman"/>
                      <w:snapToGrid/>
                      <w:kern w:val="2"/>
                      <w:sz w:val="21"/>
                      <w:szCs w:val="21"/>
                    </w:rPr>
                    <w:t>北至环山路，东、南、西至吴中区界。石湖景区内有新丰村、石湖村2个行政村和石湖水产养殖场</w:t>
                  </w:r>
                </w:p>
              </w:tc>
              <w:tc>
                <w:tcPr>
                  <w:tcW w:w="0" w:type="auto"/>
                  <w:vAlign w:val="center"/>
                </w:tcPr>
                <w:p>
                  <w:pPr>
                    <w:autoSpaceDE/>
                    <w:autoSpaceDN/>
                    <w:snapToGrid/>
                    <w:spacing w:line="240" w:lineRule="auto"/>
                    <w:ind w:firstLine="0" w:firstLineChars="0"/>
                    <w:jc w:val="center"/>
                    <w:rPr>
                      <w:rFonts w:hint="default" w:ascii="Times New Roman" w:hAnsi="Times New Roman" w:eastAsia="宋体" w:cs="Times New Roman"/>
                      <w:snapToGrid/>
                      <w:kern w:val="2"/>
                      <w:sz w:val="21"/>
                      <w:szCs w:val="21"/>
                      <w:lang w:val="en-US" w:eastAsia="zh-CN" w:bidi="ar-SA"/>
                    </w:rPr>
                  </w:pPr>
                  <w:r>
                    <w:rPr>
                      <w:rFonts w:hint="default" w:ascii="Times New Roman" w:hAnsi="Times New Roman" w:eastAsia="宋体" w:cs="Times New Roman"/>
                      <w:snapToGrid/>
                      <w:kern w:val="2"/>
                      <w:sz w:val="21"/>
                      <w:szCs w:val="21"/>
                    </w:rPr>
                    <w:t>6.02</w:t>
                  </w:r>
                </w:p>
              </w:tc>
              <w:tc>
                <w:tcPr>
                  <w:tcW w:w="0" w:type="auto"/>
                  <w:vAlign w:val="center"/>
                </w:tcPr>
                <w:p>
                  <w:pPr>
                    <w:autoSpaceDE/>
                    <w:autoSpaceDN/>
                    <w:snapToGrid/>
                    <w:spacing w:line="240" w:lineRule="auto"/>
                    <w:ind w:firstLine="0" w:firstLineChars="0"/>
                    <w:jc w:val="center"/>
                    <w:rPr>
                      <w:rFonts w:hint="default" w:ascii="Times New Roman" w:hAnsi="Times New Roman" w:eastAsia="宋体" w:cs="Times New Roman"/>
                      <w:snapToGrid/>
                      <w:kern w:val="2"/>
                      <w:sz w:val="21"/>
                      <w:szCs w:val="21"/>
                      <w:lang w:val="en-US" w:eastAsia="zh-CN" w:bidi="ar-SA"/>
                    </w:rPr>
                  </w:pPr>
                  <w:r>
                    <w:rPr>
                      <w:rFonts w:hint="default" w:ascii="Times New Roman" w:hAnsi="Times New Roman" w:eastAsia="宋体" w:cs="Times New Roman"/>
                      <w:snapToGrid/>
                      <w:kern w:val="2"/>
                      <w:sz w:val="21"/>
                      <w:szCs w:val="21"/>
                    </w:rPr>
                    <w:t>2.2</w:t>
                  </w:r>
                </w:p>
              </w:tc>
              <w:tc>
                <w:tcPr>
                  <w:tcW w:w="0" w:type="auto"/>
                  <w:vAlign w:val="center"/>
                </w:tcPr>
                <w:p>
                  <w:pPr>
                    <w:autoSpaceDE/>
                    <w:autoSpaceDN/>
                    <w:snapToGrid/>
                    <w:spacing w:line="240" w:lineRule="auto"/>
                    <w:ind w:firstLine="0" w:firstLineChars="0"/>
                    <w:jc w:val="center"/>
                    <w:rPr>
                      <w:rFonts w:hint="default" w:ascii="Times New Roman" w:hAnsi="Times New Roman" w:eastAsia="宋体" w:cs="Times New Roman"/>
                      <w:snapToGrid/>
                      <w:kern w:val="2"/>
                      <w:sz w:val="21"/>
                      <w:szCs w:val="21"/>
                      <w:lang w:val="en-US" w:eastAsia="zh-CN" w:bidi="ar-SA"/>
                    </w:rPr>
                  </w:pPr>
                  <w:r>
                    <w:rPr>
                      <w:rFonts w:hint="default" w:ascii="Times New Roman" w:hAnsi="Times New Roman" w:eastAsia="宋体" w:cs="Times New Roman"/>
                      <w:snapToGrid/>
                      <w:kern w:val="2"/>
                      <w:sz w:val="21"/>
                      <w:szCs w:val="21"/>
                    </w:rPr>
                    <w:t>3.82</w:t>
                  </w:r>
                </w:p>
              </w:tc>
              <w:tc>
                <w:tcPr>
                  <w:tcW w:w="0" w:type="auto"/>
                  <w:vAlign w:val="center"/>
                </w:tcPr>
                <w:p>
                  <w:pPr>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14.5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Align w:val="center"/>
                </w:tcPr>
                <w:p>
                  <w:pPr>
                    <w:autoSpaceDE/>
                    <w:autoSpaceDN/>
                    <w:snapToGrid/>
                    <w:spacing w:line="240" w:lineRule="auto"/>
                    <w:ind w:firstLine="0" w:firstLineChars="0"/>
                    <w:jc w:val="center"/>
                    <w:rPr>
                      <w:rFonts w:hint="default" w:ascii="Times New Roman" w:hAnsi="Times New Roman" w:eastAsia="宋体" w:cs="Times New Roman"/>
                      <w:snapToGrid/>
                      <w:kern w:val="2"/>
                      <w:sz w:val="21"/>
                      <w:szCs w:val="21"/>
                      <w:lang w:val="en-US" w:eastAsia="zh-CN" w:bidi="ar-SA"/>
                    </w:rPr>
                  </w:pPr>
                  <w:r>
                    <w:rPr>
                      <w:rFonts w:hint="default" w:ascii="Times New Roman" w:hAnsi="Times New Roman" w:eastAsia="宋体" w:cs="Times New Roman"/>
                      <w:snapToGrid/>
                      <w:kern w:val="2"/>
                      <w:sz w:val="21"/>
                      <w:szCs w:val="21"/>
                    </w:rPr>
                    <w:t>江苏大阳山国家森林公园</w:t>
                  </w:r>
                </w:p>
              </w:tc>
              <w:tc>
                <w:tcPr>
                  <w:tcW w:w="0" w:type="auto"/>
                  <w:vAlign w:val="center"/>
                </w:tcPr>
                <w:p>
                  <w:pPr>
                    <w:autoSpaceDE/>
                    <w:autoSpaceDN/>
                    <w:snapToGrid/>
                    <w:spacing w:line="240" w:lineRule="auto"/>
                    <w:ind w:firstLine="0" w:firstLineChars="0"/>
                    <w:jc w:val="center"/>
                    <w:rPr>
                      <w:rFonts w:hint="default" w:ascii="Times New Roman" w:hAnsi="Times New Roman" w:eastAsia="宋体" w:cs="Times New Roman"/>
                      <w:snapToGrid/>
                      <w:kern w:val="2"/>
                      <w:sz w:val="21"/>
                      <w:szCs w:val="21"/>
                      <w:lang w:val="en-US" w:eastAsia="zh-CN" w:bidi="ar-SA"/>
                    </w:rPr>
                  </w:pPr>
                  <w:r>
                    <w:rPr>
                      <w:rFonts w:hint="default" w:ascii="Times New Roman" w:hAnsi="Times New Roman" w:eastAsia="宋体" w:cs="Times New Roman"/>
                      <w:snapToGrid/>
                      <w:kern w:val="2"/>
                      <w:sz w:val="21"/>
                      <w:szCs w:val="21"/>
                    </w:rPr>
                    <w:t>自然与人文景观保护</w:t>
                  </w:r>
                </w:p>
              </w:tc>
              <w:tc>
                <w:tcPr>
                  <w:tcW w:w="0" w:type="auto"/>
                  <w:vAlign w:val="center"/>
                </w:tcPr>
                <w:p>
                  <w:pPr>
                    <w:autoSpaceDE/>
                    <w:autoSpaceDN/>
                    <w:snapToGrid/>
                    <w:spacing w:line="240" w:lineRule="auto"/>
                    <w:ind w:firstLine="0" w:firstLineChars="0"/>
                    <w:jc w:val="center"/>
                    <w:rPr>
                      <w:rFonts w:hint="default" w:ascii="Times New Roman" w:hAnsi="Times New Roman" w:eastAsia="宋体" w:cs="Times New Roman"/>
                      <w:snapToGrid/>
                      <w:kern w:val="2"/>
                      <w:sz w:val="21"/>
                      <w:szCs w:val="21"/>
                      <w:lang w:val="en-US" w:eastAsia="zh-CN" w:bidi="ar-SA"/>
                    </w:rPr>
                  </w:pPr>
                </w:p>
              </w:tc>
              <w:tc>
                <w:tcPr>
                  <w:tcW w:w="0" w:type="auto"/>
                  <w:vAlign w:val="center"/>
                </w:tcPr>
                <w:p>
                  <w:pPr>
                    <w:autoSpaceDE/>
                    <w:autoSpaceDN/>
                    <w:snapToGrid/>
                    <w:spacing w:line="240" w:lineRule="auto"/>
                    <w:ind w:firstLine="0" w:firstLineChars="0"/>
                    <w:jc w:val="center"/>
                    <w:rPr>
                      <w:rFonts w:hint="default" w:ascii="Times New Roman" w:hAnsi="Times New Roman" w:eastAsia="宋体" w:cs="Times New Roman"/>
                      <w:snapToGrid/>
                      <w:kern w:val="2"/>
                      <w:sz w:val="21"/>
                      <w:szCs w:val="21"/>
                      <w:lang w:val="en-US" w:eastAsia="zh-CN" w:bidi="ar-SA"/>
                    </w:rPr>
                  </w:pPr>
                  <w:r>
                    <w:rPr>
                      <w:rFonts w:hint="default" w:ascii="Times New Roman" w:hAnsi="Times New Roman" w:eastAsia="宋体" w:cs="Times New Roman"/>
                      <w:snapToGrid/>
                      <w:kern w:val="2"/>
                      <w:sz w:val="21"/>
                      <w:szCs w:val="21"/>
                    </w:rPr>
                    <w:t>阳山环路以西，兴贤路以南，太湖大道以北，阳山环路西线以东，区域内包括浒关分区、东渚镇、通安镇、阳山林场，涉及新民村、石林村、观山村、香桥村、树山村、青峰村、宝山村、阳山村</w:t>
                  </w:r>
                </w:p>
              </w:tc>
              <w:tc>
                <w:tcPr>
                  <w:tcW w:w="0" w:type="auto"/>
                  <w:vAlign w:val="center"/>
                </w:tcPr>
                <w:p>
                  <w:pPr>
                    <w:autoSpaceDE/>
                    <w:autoSpaceDN/>
                    <w:snapToGrid/>
                    <w:spacing w:line="240" w:lineRule="auto"/>
                    <w:ind w:firstLine="0" w:firstLineChars="0"/>
                    <w:jc w:val="center"/>
                    <w:rPr>
                      <w:rFonts w:hint="default" w:ascii="Times New Roman" w:hAnsi="Times New Roman" w:eastAsia="宋体" w:cs="Times New Roman"/>
                      <w:snapToGrid/>
                      <w:kern w:val="2"/>
                      <w:sz w:val="21"/>
                      <w:szCs w:val="21"/>
                      <w:lang w:val="en-US" w:eastAsia="zh-CN" w:bidi="ar-SA"/>
                    </w:rPr>
                  </w:pPr>
                  <w:r>
                    <w:rPr>
                      <w:rFonts w:hint="default" w:ascii="Times New Roman" w:hAnsi="Times New Roman" w:eastAsia="宋体" w:cs="Times New Roman"/>
                      <w:snapToGrid/>
                      <w:kern w:val="2"/>
                      <w:sz w:val="21"/>
                      <w:szCs w:val="21"/>
                    </w:rPr>
                    <w:t>10.3</w:t>
                  </w:r>
                </w:p>
              </w:tc>
              <w:tc>
                <w:tcPr>
                  <w:tcW w:w="0" w:type="auto"/>
                  <w:vAlign w:val="center"/>
                </w:tcPr>
                <w:p>
                  <w:pPr>
                    <w:autoSpaceDE/>
                    <w:autoSpaceDN/>
                    <w:snapToGrid/>
                    <w:spacing w:line="240" w:lineRule="auto"/>
                    <w:ind w:firstLine="0" w:firstLineChars="0"/>
                    <w:jc w:val="center"/>
                    <w:rPr>
                      <w:rFonts w:hint="default" w:ascii="Times New Roman" w:hAnsi="Times New Roman" w:eastAsia="宋体" w:cs="Times New Roman"/>
                      <w:snapToGrid/>
                      <w:kern w:val="2"/>
                      <w:sz w:val="21"/>
                      <w:szCs w:val="21"/>
                      <w:lang w:val="en-US" w:eastAsia="zh-CN" w:bidi="ar-SA"/>
                    </w:rPr>
                  </w:pPr>
                  <w:r>
                    <w:rPr>
                      <w:rFonts w:hint="eastAsia" w:cs="Times New Roman"/>
                      <w:snapToGrid/>
                      <w:kern w:val="2"/>
                      <w:sz w:val="21"/>
                      <w:szCs w:val="21"/>
                      <w:lang w:val="en-US" w:eastAsia="zh-CN" w:bidi="ar-SA"/>
                    </w:rPr>
                    <w:t>/</w:t>
                  </w:r>
                </w:p>
              </w:tc>
              <w:tc>
                <w:tcPr>
                  <w:tcW w:w="0" w:type="auto"/>
                  <w:vAlign w:val="center"/>
                </w:tcPr>
                <w:p>
                  <w:pPr>
                    <w:autoSpaceDE/>
                    <w:autoSpaceDN/>
                    <w:snapToGrid/>
                    <w:spacing w:line="240" w:lineRule="auto"/>
                    <w:ind w:firstLine="0" w:firstLineChars="0"/>
                    <w:jc w:val="center"/>
                    <w:rPr>
                      <w:rFonts w:hint="default" w:ascii="Times New Roman" w:hAnsi="Times New Roman" w:eastAsia="宋体" w:cs="Times New Roman"/>
                      <w:snapToGrid/>
                      <w:kern w:val="2"/>
                      <w:sz w:val="21"/>
                      <w:szCs w:val="21"/>
                      <w:lang w:val="en-US" w:eastAsia="zh-CN" w:bidi="ar-SA"/>
                    </w:rPr>
                  </w:pPr>
                  <w:r>
                    <w:rPr>
                      <w:rFonts w:hint="default" w:ascii="Times New Roman" w:hAnsi="Times New Roman" w:eastAsia="宋体" w:cs="Times New Roman"/>
                      <w:snapToGrid/>
                      <w:kern w:val="2"/>
                      <w:sz w:val="21"/>
                      <w:szCs w:val="21"/>
                    </w:rPr>
                    <w:t>10.3</w:t>
                  </w:r>
                </w:p>
              </w:tc>
              <w:tc>
                <w:tcPr>
                  <w:tcW w:w="0" w:type="auto"/>
                  <w:vAlign w:val="center"/>
                </w:tcPr>
                <w:p>
                  <w:pPr>
                    <w:spacing w:line="240" w:lineRule="auto"/>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Align w:val="center"/>
                </w:tcPr>
                <w:p>
                  <w:pPr>
                    <w:autoSpaceDE/>
                    <w:autoSpaceDN/>
                    <w:snapToGrid/>
                    <w:spacing w:line="240" w:lineRule="auto"/>
                    <w:ind w:firstLine="0" w:firstLineChars="0"/>
                    <w:jc w:val="center"/>
                    <w:rPr>
                      <w:rFonts w:hint="default" w:ascii="Times New Roman" w:hAnsi="Times New Roman" w:eastAsia="宋体" w:cs="Times New Roman"/>
                      <w:snapToGrid/>
                      <w:kern w:val="2"/>
                      <w:sz w:val="21"/>
                      <w:szCs w:val="21"/>
                      <w:lang w:val="en-US" w:eastAsia="zh-CN" w:bidi="ar-SA"/>
                    </w:rPr>
                  </w:pPr>
                  <w:r>
                    <w:rPr>
                      <w:rFonts w:hint="default" w:ascii="Times New Roman" w:hAnsi="Times New Roman" w:eastAsia="宋体" w:cs="Times New Roman"/>
                      <w:snapToGrid/>
                      <w:kern w:val="2"/>
                      <w:sz w:val="21"/>
                      <w:szCs w:val="21"/>
                    </w:rPr>
                    <w:t>太湖镇湖饮用水水源保护区</w:t>
                  </w:r>
                </w:p>
              </w:tc>
              <w:tc>
                <w:tcPr>
                  <w:tcW w:w="0" w:type="auto"/>
                  <w:vAlign w:val="center"/>
                </w:tcPr>
                <w:p>
                  <w:pPr>
                    <w:autoSpaceDE/>
                    <w:autoSpaceDN/>
                    <w:snapToGrid/>
                    <w:spacing w:line="240" w:lineRule="auto"/>
                    <w:ind w:firstLine="0" w:firstLineChars="0"/>
                    <w:jc w:val="center"/>
                    <w:rPr>
                      <w:rFonts w:hint="default" w:ascii="Times New Roman" w:hAnsi="Times New Roman" w:eastAsia="宋体" w:cs="Times New Roman"/>
                      <w:snapToGrid/>
                      <w:kern w:val="2"/>
                      <w:sz w:val="21"/>
                      <w:szCs w:val="21"/>
                      <w:lang w:val="en-US" w:eastAsia="zh-CN" w:bidi="ar-SA"/>
                    </w:rPr>
                  </w:pPr>
                  <w:r>
                    <w:rPr>
                      <w:rFonts w:hint="default" w:ascii="Times New Roman" w:hAnsi="Times New Roman" w:eastAsia="宋体" w:cs="Times New Roman"/>
                      <w:snapToGrid/>
                      <w:kern w:val="2"/>
                      <w:sz w:val="21"/>
                      <w:szCs w:val="21"/>
                    </w:rPr>
                    <w:t>水源水质保护</w:t>
                  </w:r>
                </w:p>
              </w:tc>
              <w:tc>
                <w:tcPr>
                  <w:tcW w:w="0" w:type="auto"/>
                  <w:vAlign w:val="center"/>
                </w:tcPr>
                <w:p>
                  <w:pPr>
                    <w:autoSpaceDE/>
                    <w:autoSpaceDN/>
                    <w:snapToGrid/>
                    <w:spacing w:line="240" w:lineRule="auto"/>
                    <w:ind w:firstLine="0" w:firstLineChars="0"/>
                    <w:jc w:val="center"/>
                    <w:rPr>
                      <w:rFonts w:hint="default" w:ascii="Times New Roman" w:hAnsi="Times New Roman" w:eastAsia="宋体" w:cs="Times New Roman"/>
                      <w:snapToGrid/>
                      <w:kern w:val="2"/>
                      <w:sz w:val="21"/>
                      <w:szCs w:val="21"/>
                      <w:lang w:val="en-US" w:eastAsia="zh-CN" w:bidi="ar-SA"/>
                    </w:rPr>
                  </w:pPr>
                  <w:r>
                    <w:rPr>
                      <w:rFonts w:hint="default" w:ascii="Times New Roman" w:hAnsi="Times New Roman" w:eastAsia="宋体" w:cs="Times New Roman"/>
                      <w:snapToGrid/>
                      <w:kern w:val="2"/>
                      <w:sz w:val="21"/>
                      <w:szCs w:val="21"/>
                    </w:rPr>
                    <w:t>一级管控区为一级保护区，范围为：以水厂取水口为中心，半径为500米的区域范围</w:t>
                  </w:r>
                </w:p>
              </w:tc>
              <w:tc>
                <w:tcPr>
                  <w:tcW w:w="0" w:type="auto"/>
                  <w:vAlign w:val="center"/>
                </w:tcPr>
                <w:p>
                  <w:pPr>
                    <w:autoSpaceDE/>
                    <w:autoSpaceDN/>
                    <w:snapToGrid/>
                    <w:spacing w:line="240" w:lineRule="auto"/>
                    <w:ind w:firstLine="0" w:firstLineChars="0"/>
                    <w:jc w:val="center"/>
                    <w:rPr>
                      <w:rFonts w:hint="default" w:ascii="Times New Roman" w:hAnsi="Times New Roman" w:eastAsia="宋体" w:cs="Times New Roman"/>
                      <w:snapToGrid/>
                      <w:kern w:val="2"/>
                      <w:sz w:val="21"/>
                      <w:szCs w:val="21"/>
                      <w:lang w:val="en-US" w:eastAsia="zh-CN" w:bidi="ar-SA"/>
                    </w:rPr>
                  </w:pPr>
                  <w:r>
                    <w:rPr>
                      <w:rFonts w:hint="default" w:ascii="Times New Roman" w:hAnsi="Times New Roman" w:eastAsia="宋体" w:cs="Times New Roman"/>
                      <w:snapToGrid/>
                      <w:kern w:val="2"/>
                      <w:sz w:val="21"/>
                      <w:szCs w:val="21"/>
                    </w:rPr>
                    <w:t>二级管控区为二级保护区，范围为：一级保护区外，外延2000米的水域范围和二级保护区水域与相对应的本岸背水坡堤脚外100米之间的陆域范围</w:t>
                  </w:r>
                </w:p>
              </w:tc>
              <w:tc>
                <w:tcPr>
                  <w:tcW w:w="0" w:type="auto"/>
                  <w:vAlign w:val="center"/>
                </w:tcPr>
                <w:p>
                  <w:pPr>
                    <w:autoSpaceDE/>
                    <w:autoSpaceDN/>
                    <w:snapToGrid/>
                    <w:spacing w:line="240" w:lineRule="auto"/>
                    <w:ind w:firstLine="0" w:firstLineChars="0"/>
                    <w:jc w:val="center"/>
                    <w:rPr>
                      <w:rFonts w:hint="default" w:ascii="Times New Roman" w:hAnsi="Times New Roman" w:eastAsia="宋体" w:cs="Times New Roman"/>
                      <w:snapToGrid/>
                      <w:kern w:val="2"/>
                      <w:sz w:val="21"/>
                      <w:szCs w:val="21"/>
                      <w:lang w:val="en-US" w:eastAsia="zh-CN" w:bidi="ar-SA"/>
                    </w:rPr>
                  </w:pPr>
                  <w:r>
                    <w:rPr>
                      <w:rFonts w:hint="default" w:ascii="Times New Roman" w:hAnsi="Times New Roman" w:eastAsia="宋体" w:cs="Times New Roman"/>
                      <w:snapToGrid/>
                      <w:kern w:val="2"/>
                      <w:sz w:val="21"/>
                      <w:szCs w:val="21"/>
                    </w:rPr>
                    <w:t>18.56</w:t>
                  </w:r>
                </w:p>
              </w:tc>
              <w:tc>
                <w:tcPr>
                  <w:tcW w:w="0" w:type="auto"/>
                  <w:vAlign w:val="center"/>
                </w:tcPr>
                <w:p>
                  <w:pPr>
                    <w:autoSpaceDE/>
                    <w:autoSpaceDN/>
                    <w:snapToGrid/>
                    <w:spacing w:line="240" w:lineRule="auto"/>
                    <w:ind w:firstLine="0" w:firstLineChars="0"/>
                    <w:jc w:val="center"/>
                    <w:rPr>
                      <w:rFonts w:hint="default" w:ascii="Times New Roman" w:hAnsi="Times New Roman" w:eastAsia="宋体" w:cs="Times New Roman"/>
                      <w:snapToGrid/>
                      <w:kern w:val="2"/>
                      <w:sz w:val="21"/>
                      <w:szCs w:val="21"/>
                      <w:lang w:val="en-US" w:eastAsia="zh-CN" w:bidi="ar-SA"/>
                    </w:rPr>
                  </w:pPr>
                  <w:r>
                    <w:rPr>
                      <w:rFonts w:hint="default" w:ascii="Times New Roman" w:hAnsi="Times New Roman" w:eastAsia="宋体" w:cs="Times New Roman"/>
                      <w:snapToGrid/>
                      <w:kern w:val="2"/>
                      <w:sz w:val="21"/>
                      <w:szCs w:val="21"/>
                    </w:rPr>
                    <w:t>0.79</w:t>
                  </w:r>
                </w:p>
              </w:tc>
              <w:tc>
                <w:tcPr>
                  <w:tcW w:w="0" w:type="auto"/>
                  <w:vAlign w:val="center"/>
                </w:tcPr>
                <w:p>
                  <w:pPr>
                    <w:autoSpaceDE/>
                    <w:autoSpaceDN/>
                    <w:snapToGrid/>
                    <w:spacing w:line="240" w:lineRule="auto"/>
                    <w:ind w:firstLine="0" w:firstLineChars="0"/>
                    <w:jc w:val="center"/>
                    <w:rPr>
                      <w:rFonts w:hint="default" w:ascii="Times New Roman" w:hAnsi="Times New Roman" w:eastAsia="宋体" w:cs="Times New Roman"/>
                      <w:snapToGrid/>
                      <w:kern w:val="2"/>
                      <w:sz w:val="21"/>
                      <w:szCs w:val="21"/>
                      <w:lang w:val="en-US" w:eastAsia="zh-CN" w:bidi="ar-SA"/>
                    </w:rPr>
                  </w:pPr>
                  <w:r>
                    <w:rPr>
                      <w:rFonts w:hint="default" w:ascii="Times New Roman" w:hAnsi="Times New Roman" w:eastAsia="宋体" w:cs="Times New Roman"/>
                      <w:snapToGrid/>
                      <w:kern w:val="2"/>
                      <w:sz w:val="21"/>
                      <w:szCs w:val="21"/>
                    </w:rPr>
                    <w:t>17.77</w:t>
                  </w:r>
                </w:p>
              </w:tc>
              <w:tc>
                <w:tcPr>
                  <w:tcW w:w="0" w:type="auto"/>
                  <w:vAlign w:val="center"/>
                </w:tcPr>
                <w:p>
                  <w:pPr>
                    <w:spacing w:line="240" w:lineRule="auto"/>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9</w:t>
                  </w:r>
                </w:p>
              </w:tc>
            </w:tr>
          </w:tbl>
          <w:p>
            <w:pPr>
              <w:adjustRightInd w:val="0"/>
              <w:snapToGrid w:val="0"/>
              <w:ind w:firstLine="240" w:firstLineChars="100"/>
            </w:pPr>
          </w:p>
          <w:p>
            <w:pPr>
              <w:adjustRightInd w:val="0"/>
              <w:snapToGrid w:val="0"/>
              <w:ind w:firstLine="480" w:firstLineChars="200"/>
            </w:pPr>
            <w:r>
              <w:t>本项目位于苏州高新区</w:t>
            </w:r>
            <w:r>
              <w:rPr>
                <w:rFonts w:hint="eastAsia"/>
                <w:color w:val="auto"/>
              </w:rPr>
              <w:t>浒关分区东金芝路56号</w:t>
            </w:r>
            <w:r>
              <w:t>，距离东北处</w:t>
            </w:r>
            <w:r>
              <w:rPr>
                <w:kern w:val="0"/>
              </w:rPr>
              <w:t>枫桥风景名胜区</w:t>
            </w:r>
            <w:r>
              <w:t>2.7km不在其红线区域范围内。</w:t>
            </w:r>
          </w:p>
          <w:p>
            <w:pPr>
              <w:pStyle w:val="21"/>
              <w:tabs>
                <w:tab w:val="left" w:pos="5046"/>
              </w:tabs>
              <w:spacing w:before="0" w:beforeAutospacing="0" w:after="0" w:afterAutospacing="0"/>
              <w:ind w:firstLine="482"/>
              <w:rPr>
                <w:kern w:val="0"/>
              </w:rPr>
            </w:pPr>
            <w:r>
              <w:rPr>
                <w:kern w:val="0"/>
              </w:rPr>
              <w:t>距离本项目最近的江苏省国家级生态保护红线为</w:t>
            </w:r>
            <w:r>
              <w:rPr>
                <w:rFonts w:hint="eastAsia"/>
                <w:kern w:val="0"/>
                <w:lang w:eastAsia="zh-CN"/>
              </w:rPr>
              <w:t>“</w:t>
            </w:r>
            <w:r>
              <w:rPr>
                <w:rFonts w:hint="eastAsia"/>
                <w:kern w:val="0"/>
              </w:rPr>
              <w:t>江苏大阳山国家森林公园</w:t>
            </w:r>
            <w:r>
              <w:rPr>
                <w:rFonts w:hint="eastAsia"/>
                <w:kern w:val="0"/>
                <w:lang w:eastAsia="zh-CN"/>
              </w:rPr>
              <w:t>”</w:t>
            </w:r>
            <w:r>
              <w:rPr>
                <w:kern w:val="0"/>
              </w:rPr>
              <w:t>，位于本项目</w:t>
            </w:r>
            <w:r>
              <w:rPr>
                <w:rFonts w:hint="eastAsia"/>
                <w:kern w:val="0"/>
                <w:lang w:val="en-US" w:eastAsia="zh-CN"/>
              </w:rPr>
              <w:t>西</w:t>
            </w:r>
            <w:r>
              <w:rPr>
                <w:kern w:val="0"/>
              </w:rPr>
              <w:t>南侧</w:t>
            </w:r>
            <w:r>
              <w:rPr>
                <w:rFonts w:hint="eastAsia"/>
                <w:kern w:val="0"/>
                <w:lang w:val="en-US" w:eastAsia="zh-CN"/>
              </w:rPr>
              <w:t>1000</w:t>
            </w:r>
            <w:r>
              <w:rPr>
                <w:kern w:val="0"/>
              </w:rPr>
              <w:t>m处，不在其保护区范围内，符合《江苏省国家级生态保护红线规划》要求。</w:t>
            </w:r>
          </w:p>
          <w:p>
            <w:pPr>
              <w:ind w:firstLine="480"/>
              <w:rPr>
                <w:b/>
                <w:bCs/>
              </w:rPr>
            </w:pPr>
            <w:r>
              <w:rPr>
                <w:b/>
                <w:bCs/>
              </w:rPr>
              <w:t>（5）《江苏省</w:t>
            </w:r>
            <w:r>
              <w:rPr>
                <w:rFonts w:hint="eastAsia"/>
                <w:b/>
                <w:bCs/>
                <w:lang w:eastAsia="zh-CN"/>
              </w:rPr>
              <w:t>“</w:t>
            </w:r>
            <w:r>
              <w:rPr>
                <w:b/>
                <w:bCs/>
              </w:rPr>
              <w:t>两减六治三提升</w:t>
            </w:r>
            <w:r>
              <w:rPr>
                <w:rFonts w:hint="eastAsia"/>
                <w:b/>
                <w:bCs/>
                <w:lang w:eastAsia="zh-CN"/>
              </w:rPr>
              <w:t>”</w:t>
            </w:r>
            <w:r>
              <w:rPr>
                <w:b/>
                <w:bCs/>
              </w:rPr>
              <w:t>专项行动实施方案》等相关文件相符性</w:t>
            </w:r>
          </w:p>
          <w:p>
            <w:pPr>
              <w:adjustRightInd w:val="0"/>
              <w:snapToGrid w:val="0"/>
              <w:ind w:firstLine="482"/>
            </w:pPr>
            <w:r>
              <w:t>本项目主要为</w:t>
            </w:r>
            <w:r>
              <w:rPr>
                <w:rFonts w:hint="eastAsia"/>
                <w:lang w:val="en-US" w:eastAsia="zh-CN"/>
              </w:rPr>
              <w:t>塑料制品</w:t>
            </w:r>
            <w:r>
              <w:t>制造，因此不属于《省政府办公厅关于印发江苏省</w:t>
            </w:r>
            <w:r>
              <w:rPr>
                <w:rFonts w:hint="eastAsia"/>
                <w:lang w:eastAsia="zh-CN"/>
              </w:rPr>
              <w:t>“</w:t>
            </w:r>
            <w:r>
              <w:t>两减六治三提升</w:t>
            </w:r>
            <w:r>
              <w:rPr>
                <w:rFonts w:hint="eastAsia"/>
                <w:lang w:eastAsia="zh-CN"/>
              </w:rPr>
              <w:t>”</w:t>
            </w:r>
            <w:r>
              <w:t>专项行动实施方案的通知》（苏政办发[2017]30号）、《中共江苏省委江苏省人民政府 关于印发《</w:t>
            </w:r>
            <w:r>
              <w:rPr>
                <w:rFonts w:hint="eastAsia"/>
                <w:lang w:eastAsia="zh-CN"/>
              </w:rPr>
              <w:t>“</w:t>
            </w:r>
            <w:r>
              <w:t>两减六治三提升</w:t>
            </w:r>
            <w:r>
              <w:rPr>
                <w:rFonts w:hint="eastAsia"/>
                <w:lang w:eastAsia="zh-CN"/>
              </w:rPr>
              <w:t>”</w:t>
            </w:r>
            <w:r>
              <w:t>专项行动方案的通知》》（苏发[2016]47号）、《市政府办公室关于印发苏州市</w:t>
            </w:r>
            <w:r>
              <w:rPr>
                <w:rFonts w:hint="eastAsia"/>
                <w:lang w:eastAsia="zh-CN"/>
              </w:rPr>
              <w:t>“</w:t>
            </w:r>
            <w:r>
              <w:t>两减六治三提升</w:t>
            </w:r>
            <w:r>
              <w:rPr>
                <w:rFonts w:hint="eastAsia"/>
                <w:lang w:eastAsia="zh-CN"/>
              </w:rPr>
              <w:t>”</w:t>
            </w:r>
            <w:r>
              <w:t>13个专项行动实施方案的通知》（苏府办[2017]108号）和《关于印发苏州高新区</w:t>
            </w:r>
            <w:r>
              <w:rPr>
                <w:rFonts w:hint="eastAsia"/>
                <w:lang w:eastAsia="zh-CN"/>
              </w:rPr>
              <w:t>“</w:t>
            </w:r>
            <w:r>
              <w:t>两减六治三提升</w:t>
            </w:r>
            <w:r>
              <w:rPr>
                <w:rFonts w:hint="eastAsia"/>
                <w:lang w:eastAsia="zh-CN"/>
              </w:rPr>
              <w:t>”</w:t>
            </w:r>
            <w:r>
              <w:t>专项行动实施方案的通知》（苏高新委[2017]33号）中的</w:t>
            </w:r>
            <w:r>
              <w:rPr>
                <w:rFonts w:hint="eastAsia"/>
                <w:lang w:eastAsia="zh-CN"/>
              </w:rPr>
              <w:t>“</w:t>
            </w:r>
            <w:r>
              <w:t>包装印刷、集装箱、交通工具、机械设备、人造板、家具、船舶制造等行业</w:t>
            </w:r>
            <w:r>
              <w:rPr>
                <w:rFonts w:hint="eastAsia"/>
                <w:lang w:eastAsia="zh-CN"/>
              </w:rPr>
              <w:t>”</w:t>
            </w:r>
            <w:r>
              <w:t>，项目产生的有机废气经水洗塔处理后排放，因此项目的建设符合省、市、高新区</w:t>
            </w:r>
            <w:r>
              <w:rPr>
                <w:rFonts w:hint="eastAsia"/>
                <w:lang w:eastAsia="zh-CN"/>
              </w:rPr>
              <w:t>“</w:t>
            </w:r>
            <w:r>
              <w:t>两减六治三提升</w:t>
            </w:r>
            <w:r>
              <w:rPr>
                <w:rFonts w:hint="eastAsia"/>
                <w:lang w:eastAsia="zh-CN"/>
              </w:rPr>
              <w:t>”</w:t>
            </w:r>
            <w:r>
              <w:t>的要求。</w:t>
            </w:r>
          </w:p>
          <w:p>
            <w:pPr>
              <w:ind w:firstLine="480"/>
              <w:rPr>
                <w:b/>
                <w:bCs/>
              </w:rPr>
            </w:pPr>
            <w:r>
              <w:rPr>
                <w:b/>
                <w:bCs/>
              </w:rPr>
              <w:t>（6）与</w:t>
            </w:r>
            <w:r>
              <w:rPr>
                <w:rFonts w:hint="eastAsia"/>
                <w:b/>
                <w:bCs/>
                <w:lang w:eastAsia="zh-CN"/>
              </w:rPr>
              <w:t>“</w:t>
            </w:r>
            <w:r>
              <w:rPr>
                <w:b/>
                <w:bCs/>
              </w:rPr>
              <w:t>江苏省重点行业挥发性有机物污染控制指南</w:t>
            </w:r>
            <w:r>
              <w:rPr>
                <w:rFonts w:hint="eastAsia"/>
                <w:b/>
                <w:bCs/>
                <w:lang w:eastAsia="zh-CN"/>
              </w:rPr>
              <w:t>”</w:t>
            </w:r>
            <w:r>
              <w:rPr>
                <w:b/>
                <w:bCs/>
              </w:rPr>
              <w:t>政策相符性</w:t>
            </w:r>
          </w:p>
          <w:p>
            <w:pPr>
              <w:snapToGrid w:val="0"/>
              <w:jc w:val="center"/>
            </w:pPr>
            <w:r>
              <w:rPr>
                <w:b/>
              </w:rPr>
              <w:t>表2-3  江苏省重点行业挥发性有机物污染控制指南相符性对比一览表</w:t>
            </w:r>
          </w:p>
          <w:tbl>
            <w:tblPr>
              <w:tblStyle w:val="26"/>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83"/>
              <w:gridCol w:w="965"/>
              <w:gridCol w:w="4341"/>
              <w:gridCol w:w="2708"/>
              <w:gridCol w:w="92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83" w:type="dxa"/>
                  <w:noWrap w:val="0"/>
                  <w:vAlign w:val="center"/>
                </w:tcPr>
                <w:p>
                  <w:pPr>
                    <w:bidi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内容</w:t>
                  </w:r>
                </w:p>
              </w:tc>
              <w:tc>
                <w:tcPr>
                  <w:tcW w:w="965" w:type="dxa"/>
                  <w:noWrap w:val="0"/>
                  <w:vAlign w:val="center"/>
                </w:tcPr>
                <w:p>
                  <w:pPr>
                    <w:bidi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序号</w:t>
                  </w:r>
                </w:p>
              </w:tc>
              <w:tc>
                <w:tcPr>
                  <w:tcW w:w="4341" w:type="dxa"/>
                  <w:noWrap w:val="0"/>
                  <w:vAlign w:val="center"/>
                </w:tcPr>
                <w:p>
                  <w:pPr>
                    <w:bidi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指南要求</w:t>
                  </w:r>
                </w:p>
              </w:tc>
              <w:tc>
                <w:tcPr>
                  <w:tcW w:w="2708" w:type="dxa"/>
                  <w:noWrap w:val="0"/>
                  <w:vAlign w:val="center"/>
                </w:tcPr>
                <w:p>
                  <w:pPr>
                    <w:bidi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项目情况</w:t>
                  </w:r>
                </w:p>
              </w:tc>
              <w:tc>
                <w:tcPr>
                  <w:tcW w:w="925" w:type="dxa"/>
                  <w:noWrap w:val="0"/>
                  <w:vAlign w:val="center"/>
                </w:tcPr>
                <w:p>
                  <w:pPr>
                    <w:bidi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相符性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83" w:type="dxa"/>
                  <w:vMerge w:val="restart"/>
                  <w:noWrap w:val="0"/>
                  <w:vAlign w:val="center"/>
                </w:tcPr>
                <w:p>
                  <w:pPr>
                    <w:bidi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总体要求</w:t>
                  </w:r>
                </w:p>
              </w:tc>
              <w:tc>
                <w:tcPr>
                  <w:tcW w:w="965" w:type="dxa"/>
                  <w:noWrap w:val="0"/>
                  <w:vAlign w:val="center"/>
                </w:tcPr>
                <w:p>
                  <w:pPr>
                    <w:bidi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4341" w:type="dxa"/>
                  <w:noWrap w:val="0"/>
                  <w:vAlign w:val="center"/>
                </w:tcPr>
                <w:p>
                  <w:pPr>
                    <w:bidi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所有产生有机废气污染的企业，应优先采用环保型原辅料 、生产工艺和装备，对相应生产单元或设施进行密闭， 从源头控制 VOCs的产生，减少废气污染物排放</w:t>
                  </w:r>
                </w:p>
              </w:tc>
              <w:tc>
                <w:tcPr>
                  <w:tcW w:w="2708" w:type="dxa"/>
                  <w:noWrap w:val="0"/>
                  <w:vAlign w:val="center"/>
                </w:tcPr>
                <w:p>
                  <w:pPr>
                    <w:bidi w:val="0"/>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不涉及挥发性有机物</w:t>
                  </w:r>
                </w:p>
              </w:tc>
              <w:tc>
                <w:tcPr>
                  <w:tcW w:w="925" w:type="dxa"/>
                  <w:noWrap w:val="0"/>
                  <w:vAlign w:val="center"/>
                </w:tcPr>
                <w:p>
                  <w:pPr>
                    <w:bidi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83" w:type="dxa"/>
                  <w:vMerge w:val="continue"/>
                  <w:noWrap w:val="0"/>
                  <w:vAlign w:val="center"/>
                </w:tcPr>
                <w:p>
                  <w:pPr>
                    <w:bidi w:val="0"/>
                    <w:spacing w:line="240" w:lineRule="auto"/>
                    <w:jc w:val="center"/>
                    <w:rPr>
                      <w:rFonts w:hint="default" w:ascii="Times New Roman" w:hAnsi="Times New Roman" w:eastAsia="宋体" w:cs="Times New Roman"/>
                      <w:sz w:val="21"/>
                      <w:szCs w:val="21"/>
                    </w:rPr>
                  </w:pPr>
                </w:p>
              </w:tc>
              <w:tc>
                <w:tcPr>
                  <w:tcW w:w="965" w:type="dxa"/>
                  <w:noWrap w:val="0"/>
                  <w:vAlign w:val="center"/>
                </w:tcPr>
                <w:p>
                  <w:pPr>
                    <w:bidi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4341" w:type="dxa"/>
                  <w:noWrap w:val="0"/>
                  <w:vAlign w:val="center"/>
                </w:tcPr>
                <w:p>
                  <w:pPr>
                    <w:bidi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鼓励对排放的 VOCs 进行回收利用，并优先在生产系统内回用 。对浓度、性状差异较大的废气应分类收集，并采用适宜的方式进行有效处理，确保 VOCs 总去除率满足管理要求，其中有机化工 、医药化工、橡胶和塑料制品（有溶剂浸胶工艺）、溶剂型涂料表面涂装、包装印刷业的VOCs总收集、净化处理率均不低于90%，其他行业原则上不低于75%。</w:t>
                  </w:r>
                </w:p>
              </w:tc>
              <w:tc>
                <w:tcPr>
                  <w:tcW w:w="2708" w:type="dxa"/>
                  <w:noWrap w:val="0"/>
                  <w:vAlign w:val="center"/>
                </w:tcPr>
                <w:p>
                  <w:pPr>
                    <w:bidi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净化处理率90%以上</w:t>
                  </w:r>
                </w:p>
              </w:tc>
              <w:tc>
                <w:tcPr>
                  <w:tcW w:w="925" w:type="dxa"/>
                  <w:noWrap w:val="0"/>
                  <w:vAlign w:val="center"/>
                </w:tcPr>
                <w:p>
                  <w:pPr>
                    <w:bidi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83" w:type="dxa"/>
                  <w:vMerge w:val="continue"/>
                  <w:noWrap w:val="0"/>
                  <w:vAlign w:val="center"/>
                </w:tcPr>
                <w:p>
                  <w:pPr>
                    <w:bidi w:val="0"/>
                    <w:spacing w:line="240" w:lineRule="auto"/>
                    <w:jc w:val="center"/>
                    <w:rPr>
                      <w:rFonts w:hint="default" w:ascii="Times New Roman" w:hAnsi="Times New Roman" w:eastAsia="宋体" w:cs="Times New Roman"/>
                      <w:sz w:val="21"/>
                      <w:szCs w:val="21"/>
                    </w:rPr>
                  </w:pPr>
                </w:p>
              </w:tc>
              <w:tc>
                <w:tcPr>
                  <w:tcW w:w="965" w:type="dxa"/>
                  <w:noWrap w:val="0"/>
                  <w:vAlign w:val="center"/>
                </w:tcPr>
                <w:p>
                  <w:pPr>
                    <w:bidi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4341" w:type="dxa"/>
                  <w:noWrap w:val="0"/>
                  <w:vAlign w:val="center"/>
                </w:tcPr>
                <w:p>
                  <w:pPr>
                    <w:bidi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根据涂装工艺的不同，鼓励使用水性、高固份、粉末、紫外光固化涂料等低 VOCs 含量的环保型涂料， 限制使用溶剂型涂料， 其中汽车制造 、 家具制造、 电子和电器产品制造企业环保型涂料使用比例达到50%以上</w:t>
                  </w:r>
                </w:p>
              </w:tc>
              <w:tc>
                <w:tcPr>
                  <w:tcW w:w="2708" w:type="dxa"/>
                  <w:noWrap w:val="0"/>
                  <w:vAlign w:val="center"/>
                </w:tcPr>
                <w:p>
                  <w:pPr>
                    <w:bidi w:val="0"/>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不涉及涂装</w:t>
                  </w:r>
                </w:p>
              </w:tc>
              <w:tc>
                <w:tcPr>
                  <w:tcW w:w="925" w:type="dxa"/>
                  <w:noWrap w:val="0"/>
                  <w:vAlign w:val="center"/>
                </w:tcPr>
                <w:p>
                  <w:pPr>
                    <w:bidi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83" w:type="dxa"/>
                  <w:vMerge w:val="continue"/>
                  <w:noWrap w:val="0"/>
                  <w:vAlign w:val="center"/>
                </w:tcPr>
                <w:p>
                  <w:pPr>
                    <w:bidi w:val="0"/>
                    <w:spacing w:line="240" w:lineRule="auto"/>
                    <w:jc w:val="center"/>
                    <w:rPr>
                      <w:rFonts w:hint="default" w:ascii="Times New Roman" w:hAnsi="Times New Roman" w:eastAsia="宋体" w:cs="Times New Roman"/>
                      <w:sz w:val="21"/>
                      <w:szCs w:val="21"/>
                    </w:rPr>
                  </w:pPr>
                </w:p>
              </w:tc>
              <w:tc>
                <w:tcPr>
                  <w:tcW w:w="965" w:type="dxa"/>
                  <w:noWrap w:val="0"/>
                  <w:vAlign w:val="center"/>
                </w:tcPr>
                <w:p>
                  <w:pPr>
                    <w:bidi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4341" w:type="dxa"/>
                  <w:noWrap w:val="0"/>
                  <w:vAlign w:val="center"/>
                </w:tcPr>
                <w:p>
                  <w:pPr>
                    <w:bidi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推广采用静电喷涂、淋涂、辊涂、浸涂等涂装效率较高的涂装工艺，推广汽车行业先进涂装工艺技术的使用，优化喷漆工艺与设备，小型乘用车单位涂装面积的挥发性有机物排放量控制在35克/平方米以下。</w:t>
                  </w:r>
                </w:p>
              </w:tc>
              <w:tc>
                <w:tcPr>
                  <w:tcW w:w="2708" w:type="dxa"/>
                  <w:noWrap w:val="0"/>
                  <w:vAlign w:val="center"/>
                </w:tcPr>
                <w:p>
                  <w:pPr>
                    <w:bidi w:val="0"/>
                    <w:spacing w:line="240" w:lineRule="auto"/>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不涉及涂装</w:t>
                  </w:r>
                </w:p>
              </w:tc>
              <w:tc>
                <w:tcPr>
                  <w:tcW w:w="925" w:type="dxa"/>
                  <w:noWrap w:val="0"/>
                  <w:vAlign w:val="center"/>
                </w:tcPr>
                <w:p>
                  <w:pPr>
                    <w:bidi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83" w:type="dxa"/>
                  <w:vMerge w:val="continue"/>
                  <w:noWrap w:val="0"/>
                  <w:vAlign w:val="center"/>
                </w:tcPr>
                <w:p>
                  <w:pPr>
                    <w:bidi w:val="0"/>
                    <w:spacing w:line="240" w:lineRule="auto"/>
                    <w:jc w:val="center"/>
                    <w:rPr>
                      <w:rFonts w:hint="default" w:ascii="Times New Roman" w:hAnsi="Times New Roman" w:eastAsia="宋体" w:cs="Times New Roman"/>
                      <w:sz w:val="21"/>
                      <w:szCs w:val="21"/>
                    </w:rPr>
                  </w:pPr>
                </w:p>
              </w:tc>
              <w:tc>
                <w:tcPr>
                  <w:tcW w:w="965" w:type="dxa"/>
                  <w:noWrap w:val="0"/>
                  <w:vAlign w:val="center"/>
                </w:tcPr>
                <w:p>
                  <w:pPr>
                    <w:bidi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4341" w:type="dxa"/>
                  <w:noWrap w:val="0"/>
                  <w:vAlign w:val="center"/>
                </w:tcPr>
                <w:p>
                  <w:pPr>
                    <w:bidi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喷漆室、流平室和烘干室应设置成完全封闭的围护结构体，配备有机废气收集和处理系统，原则上禁止露天和敞开式喷涂作业。若工艺有特殊要求，不能实现封闭作业，应报环保部门批准 。</w:t>
                  </w:r>
                </w:p>
              </w:tc>
              <w:tc>
                <w:tcPr>
                  <w:tcW w:w="2708" w:type="dxa"/>
                  <w:noWrap w:val="0"/>
                  <w:vAlign w:val="center"/>
                </w:tcPr>
                <w:p>
                  <w:pPr>
                    <w:bidi w:val="0"/>
                    <w:spacing w:line="240" w:lineRule="auto"/>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不涉及</w:t>
                  </w:r>
                </w:p>
              </w:tc>
              <w:tc>
                <w:tcPr>
                  <w:tcW w:w="925" w:type="dxa"/>
                  <w:noWrap w:val="0"/>
                  <w:vAlign w:val="center"/>
                </w:tcPr>
                <w:p>
                  <w:pPr>
                    <w:bidi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83" w:type="dxa"/>
                  <w:vMerge w:val="continue"/>
                  <w:noWrap w:val="0"/>
                  <w:vAlign w:val="center"/>
                </w:tcPr>
                <w:p>
                  <w:pPr>
                    <w:bidi w:val="0"/>
                    <w:spacing w:line="240" w:lineRule="auto"/>
                    <w:jc w:val="center"/>
                    <w:rPr>
                      <w:rFonts w:hint="default" w:ascii="Times New Roman" w:hAnsi="Times New Roman" w:eastAsia="宋体" w:cs="Times New Roman"/>
                      <w:sz w:val="21"/>
                      <w:szCs w:val="21"/>
                    </w:rPr>
                  </w:pPr>
                </w:p>
              </w:tc>
              <w:tc>
                <w:tcPr>
                  <w:tcW w:w="965" w:type="dxa"/>
                  <w:noWrap w:val="0"/>
                  <w:vAlign w:val="center"/>
                </w:tcPr>
                <w:p>
                  <w:pPr>
                    <w:bidi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4341" w:type="dxa"/>
                  <w:noWrap w:val="0"/>
                  <w:vAlign w:val="center"/>
                </w:tcPr>
                <w:p>
                  <w:pPr>
                    <w:bidi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烘干废气应收集后采用焚烧方式处理，流平废气原则上纳入烘干废气处理系统一并处理 。</w:t>
                  </w:r>
                </w:p>
              </w:tc>
              <w:tc>
                <w:tcPr>
                  <w:tcW w:w="2708" w:type="dxa"/>
                  <w:noWrap w:val="0"/>
                  <w:vAlign w:val="center"/>
                </w:tcPr>
                <w:p>
                  <w:pPr>
                    <w:bidi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不涉及</w:t>
                  </w:r>
                </w:p>
              </w:tc>
              <w:tc>
                <w:tcPr>
                  <w:tcW w:w="925" w:type="dxa"/>
                  <w:noWrap w:val="0"/>
                  <w:vAlign w:val="center"/>
                </w:tcPr>
                <w:p>
                  <w:pPr>
                    <w:bidi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83" w:type="dxa"/>
                  <w:noWrap w:val="0"/>
                  <w:vAlign w:val="center"/>
                </w:tcPr>
                <w:p>
                  <w:pPr>
                    <w:bidi w:val="0"/>
                    <w:spacing w:line="240" w:lineRule="auto"/>
                    <w:jc w:val="center"/>
                    <w:rPr>
                      <w:rFonts w:hint="default" w:ascii="Times New Roman" w:hAnsi="Times New Roman" w:eastAsia="宋体" w:cs="Times New Roman"/>
                      <w:sz w:val="21"/>
                      <w:szCs w:val="21"/>
                    </w:rPr>
                  </w:pPr>
                </w:p>
              </w:tc>
              <w:tc>
                <w:tcPr>
                  <w:tcW w:w="965" w:type="dxa"/>
                  <w:noWrap w:val="0"/>
                  <w:vAlign w:val="center"/>
                </w:tcPr>
                <w:p>
                  <w:pPr>
                    <w:bidi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4341" w:type="dxa"/>
                  <w:noWrap w:val="0"/>
                  <w:vAlign w:val="center"/>
                </w:tcPr>
                <w:p>
                  <w:pPr>
                    <w:bidi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喷漆废气应先采用干式过滤高效除漆雾、湿式水帘+多级过滤等工艺进行预处理， 再采用转轮吸附浓缩+高温焚烧方式处理，小型涂装企业也可采用蜂窝活性炭吸附-催化燃烧、填料塔吸收、活性炭吸附等多种方式净化后达标排放</w:t>
                  </w:r>
                </w:p>
              </w:tc>
              <w:tc>
                <w:tcPr>
                  <w:tcW w:w="2708" w:type="dxa"/>
                  <w:noWrap w:val="0"/>
                  <w:vAlign w:val="center"/>
                </w:tcPr>
                <w:p>
                  <w:pPr>
                    <w:bidi w:val="0"/>
                    <w:spacing w:line="240" w:lineRule="auto"/>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不涉及喷漆</w:t>
                  </w:r>
                </w:p>
              </w:tc>
              <w:tc>
                <w:tcPr>
                  <w:tcW w:w="925" w:type="dxa"/>
                  <w:noWrap w:val="0"/>
                  <w:vAlign w:val="center"/>
                </w:tcPr>
                <w:p>
                  <w:pPr>
                    <w:bidi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83" w:type="dxa"/>
                  <w:noWrap w:val="0"/>
                  <w:vAlign w:val="center"/>
                </w:tcPr>
                <w:p>
                  <w:pPr>
                    <w:bidi w:val="0"/>
                    <w:spacing w:line="240" w:lineRule="auto"/>
                    <w:jc w:val="center"/>
                    <w:rPr>
                      <w:rFonts w:hint="default" w:ascii="Times New Roman" w:hAnsi="Times New Roman" w:eastAsia="宋体" w:cs="Times New Roman"/>
                      <w:sz w:val="21"/>
                      <w:szCs w:val="21"/>
                    </w:rPr>
                  </w:pPr>
                </w:p>
              </w:tc>
              <w:tc>
                <w:tcPr>
                  <w:tcW w:w="965" w:type="dxa"/>
                  <w:noWrap w:val="0"/>
                  <w:vAlign w:val="center"/>
                </w:tcPr>
                <w:p>
                  <w:pPr>
                    <w:bidi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w:t>
                  </w:r>
                </w:p>
              </w:tc>
              <w:tc>
                <w:tcPr>
                  <w:tcW w:w="4341" w:type="dxa"/>
                  <w:noWrap w:val="0"/>
                  <w:vAlign w:val="center"/>
                </w:tcPr>
                <w:p>
                  <w:pPr>
                    <w:bidi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使用溶剂型涂料的表面涂装应安装高效回收净化设施</w:t>
                  </w:r>
                </w:p>
              </w:tc>
              <w:tc>
                <w:tcPr>
                  <w:tcW w:w="2708" w:type="dxa"/>
                  <w:noWrap w:val="0"/>
                  <w:vAlign w:val="center"/>
                </w:tcPr>
                <w:p>
                  <w:pPr>
                    <w:bidi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不涉及</w:t>
                  </w:r>
                </w:p>
              </w:tc>
              <w:tc>
                <w:tcPr>
                  <w:tcW w:w="925" w:type="dxa"/>
                  <w:noWrap w:val="0"/>
                  <w:vAlign w:val="center"/>
                </w:tcPr>
                <w:p>
                  <w:pPr>
                    <w:bidi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83" w:type="dxa"/>
                  <w:noWrap w:val="0"/>
                  <w:vAlign w:val="center"/>
                </w:tcPr>
                <w:p>
                  <w:pPr>
                    <w:bidi w:val="0"/>
                    <w:spacing w:line="240" w:lineRule="auto"/>
                    <w:jc w:val="center"/>
                    <w:rPr>
                      <w:rFonts w:hint="default" w:ascii="Times New Roman" w:hAnsi="Times New Roman" w:eastAsia="宋体" w:cs="Times New Roman"/>
                      <w:sz w:val="21"/>
                      <w:szCs w:val="21"/>
                    </w:rPr>
                  </w:pPr>
                </w:p>
              </w:tc>
              <w:tc>
                <w:tcPr>
                  <w:tcW w:w="965" w:type="dxa"/>
                  <w:noWrap w:val="0"/>
                  <w:vAlign w:val="center"/>
                </w:tcPr>
                <w:p>
                  <w:pPr>
                    <w:bidi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w:t>
                  </w:r>
                </w:p>
              </w:tc>
              <w:tc>
                <w:tcPr>
                  <w:tcW w:w="4341" w:type="dxa"/>
                  <w:noWrap w:val="0"/>
                  <w:vAlign w:val="center"/>
                </w:tcPr>
                <w:p>
                  <w:pPr>
                    <w:bidi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溶剂储存可参考《 江苏省化工行业废气污染防治技术规范》相关要求</w:t>
                  </w:r>
                </w:p>
              </w:tc>
              <w:tc>
                <w:tcPr>
                  <w:tcW w:w="2708" w:type="dxa"/>
                  <w:noWrap w:val="0"/>
                  <w:vAlign w:val="center"/>
                </w:tcPr>
                <w:p>
                  <w:pPr>
                    <w:bidi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不涉及</w:t>
                  </w:r>
                </w:p>
              </w:tc>
              <w:tc>
                <w:tcPr>
                  <w:tcW w:w="925" w:type="dxa"/>
                  <w:noWrap w:val="0"/>
                  <w:vAlign w:val="center"/>
                </w:tcPr>
                <w:p>
                  <w:pPr>
                    <w:bidi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符合</w:t>
                  </w:r>
                </w:p>
              </w:tc>
            </w:tr>
          </w:tbl>
          <w:p>
            <w:pPr>
              <w:adjustRightInd w:val="0"/>
              <w:snapToGrid w:val="0"/>
              <w:ind w:firstLine="482"/>
              <w:rPr>
                <w:b/>
                <w:bCs/>
              </w:rPr>
            </w:pPr>
            <w:r>
              <w:rPr>
                <w:b/>
                <w:bCs/>
              </w:rPr>
              <w:t>（7）与苏州高新区工业挥发性有机废气整治提升三年行动方案相符性</w:t>
            </w:r>
          </w:p>
          <w:p>
            <w:pPr>
              <w:jc w:val="center"/>
              <w:rPr>
                <w:b/>
                <w:bCs/>
                <w:sz w:val="21"/>
                <w:szCs w:val="21"/>
              </w:rPr>
            </w:pPr>
            <w:r>
              <w:rPr>
                <w:b/>
                <w:bCs/>
                <w:sz w:val="21"/>
                <w:szCs w:val="21"/>
              </w:rPr>
              <w:t>表2-4</w:t>
            </w:r>
            <w:r>
              <w:rPr>
                <w:rFonts w:hint="eastAsia"/>
                <w:b/>
                <w:bCs/>
                <w:sz w:val="21"/>
                <w:szCs w:val="21"/>
                <w:lang w:eastAsia="zh-CN"/>
              </w:rPr>
              <w:t>“</w:t>
            </w:r>
            <w:r>
              <w:rPr>
                <w:b/>
                <w:bCs/>
                <w:sz w:val="21"/>
                <w:szCs w:val="21"/>
              </w:rPr>
              <w:t>苏州高新区工业挥发性有机废气整治提升三年行动方案</w:t>
            </w:r>
            <w:r>
              <w:rPr>
                <w:rFonts w:hint="eastAsia"/>
                <w:b/>
                <w:bCs/>
                <w:sz w:val="21"/>
                <w:szCs w:val="21"/>
                <w:lang w:eastAsia="zh-CN"/>
              </w:rPr>
              <w:t>”</w:t>
            </w:r>
            <w:r>
              <w:rPr>
                <w:b/>
                <w:bCs/>
                <w:sz w:val="21"/>
                <w:szCs w:val="21"/>
              </w:rPr>
              <w:t>符合性分析</w:t>
            </w:r>
          </w:p>
          <w:tbl>
            <w:tblPr>
              <w:tblStyle w:val="26"/>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5830"/>
              <w:gridCol w:w="25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36" w:type="dxa"/>
                  <w:tcBorders>
                    <w:bottom w:val="single" w:color="auto" w:sz="12" w:space="0"/>
                  </w:tcBorders>
                  <w:noWrap w:val="0"/>
                  <w:vAlign w:val="center"/>
                </w:tcPr>
                <w:p>
                  <w:pPr>
                    <w:spacing w:line="240" w:lineRule="auto"/>
                    <w:jc w:val="center"/>
                    <w:rPr>
                      <w:sz w:val="21"/>
                      <w:szCs w:val="21"/>
                    </w:rPr>
                  </w:pPr>
                  <w:r>
                    <w:rPr>
                      <w:sz w:val="21"/>
                      <w:szCs w:val="21"/>
                    </w:rPr>
                    <w:t>项目</w:t>
                  </w:r>
                </w:p>
              </w:tc>
              <w:tc>
                <w:tcPr>
                  <w:tcW w:w="5830" w:type="dxa"/>
                  <w:tcBorders>
                    <w:bottom w:val="single" w:color="auto" w:sz="12" w:space="0"/>
                  </w:tcBorders>
                  <w:noWrap w:val="0"/>
                  <w:vAlign w:val="center"/>
                </w:tcPr>
                <w:p>
                  <w:pPr>
                    <w:spacing w:line="240" w:lineRule="auto"/>
                    <w:jc w:val="center"/>
                    <w:rPr>
                      <w:sz w:val="21"/>
                      <w:szCs w:val="21"/>
                    </w:rPr>
                  </w:pPr>
                  <w:r>
                    <w:rPr>
                      <w:sz w:val="21"/>
                      <w:szCs w:val="21"/>
                    </w:rPr>
                    <w:t>内容</w:t>
                  </w:r>
                </w:p>
              </w:tc>
              <w:tc>
                <w:tcPr>
                  <w:tcW w:w="2556" w:type="dxa"/>
                  <w:tcBorders>
                    <w:bottom w:val="single" w:color="auto" w:sz="12" w:space="0"/>
                  </w:tcBorders>
                  <w:noWrap w:val="0"/>
                  <w:vAlign w:val="center"/>
                </w:tcPr>
                <w:p>
                  <w:pPr>
                    <w:spacing w:line="240" w:lineRule="auto"/>
                    <w:jc w:val="center"/>
                    <w:rPr>
                      <w:sz w:val="21"/>
                      <w:szCs w:val="21"/>
                    </w:rPr>
                  </w:pPr>
                  <w:r>
                    <w:rPr>
                      <w:sz w:val="21"/>
                      <w:szCs w:val="21"/>
                    </w:rPr>
                    <w:t>符合性分析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36" w:type="dxa"/>
                  <w:vMerge w:val="restart"/>
                  <w:tcBorders>
                    <w:top w:val="single" w:color="auto" w:sz="12" w:space="0"/>
                  </w:tcBorders>
                  <w:noWrap w:val="0"/>
                  <w:vAlign w:val="center"/>
                </w:tcPr>
                <w:p>
                  <w:pPr>
                    <w:spacing w:line="240" w:lineRule="auto"/>
                    <w:jc w:val="center"/>
                    <w:rPr>
                      <w:sz w:val="21"/>
                      <w:szCs w:val="21"/>
                    </w:rPr>
                  </w:pPr>
                  <w:r>
                    <w:rPr>
                      <w:sz w:val="21"/>
                      <w:szCs w:val="21"/>
                    </w:rPr>
                    <w:t>一、收集处理要求</w:t>
                  </w:r>
                </w:p>
              </w:tc>
              <w:tc>
                <w:tcPr>
                  <w:tcW w:w="5830" w:type="dxa"/>
                  <w:tcBorders>
                    <w:top w:val="single" w:color="auto" w:sz="12" w:space="0"/>
                  </w:tcBorders>
                  <w:noWrap w:val="0"/>
                  <w:vAlign w:val="center"/>
                </w:tcPr>
                <w:p>
                  <w:pPr>
                    <w:spacing w:line="240" w:lineRule="auto"/>
                    <w:jc w:val="both"/>
                    <w:rPr>
                      <w:sz w:val="21"/>
                      <w:szCs w:val="21"/>
                    </w:rPr>
                  </w:pPr>
                  <w:r>
                    <w:rPr>
                      <w:b/>
                      <w:sz w:val="21"/>
                      <w:szCs w:val="21"/>
                    </w:rPr>
                    <w:t>源头控制：</w:t>
                  </w:r>
                  <w:r>
                    <w:rPr>
                      <w:sz w:val="21"/>
                      <w:szCs w:val="21"/>
                    </w:rPr>
                    <w:t>在技术条件允许的前提下，包装印刷、集装箱、交通工具、机械设备、人造板、家具、船舶制造等行业使用低VOCs含量的涂料、胶黏剂、清洗剂、油墨替代原有的有机溶剂，对相应生产设备以连续化、自动化、密闭化替代间歇式、敞开式生产方式，减少物料与外环境的接触。</w:t>
                  </w:r>
                </w:p>
              </w:tc>
              <w:tc>
                <w:tcPr>
                  <w:tcW w:w="2556" w:type="dxa"/>
                  <w:tcBorders>
                    <w:top w:val="single" w:color="auto" w:sz="12" w:space="0"/>
                  </w:tcBorders>
                  <w:noWrap w:val="0"/>
                  <w:vAlign w:val="center"/>
                </w:tcPr>
                <w:p>
                  <w:pPr>
                    <w:spacing w:line="240" w:lineRule="auto"/>
                    <w:jc w:val="center"/>
                    <w:rPr>
                      <w:sz w:val="21"/>
                      <w:szCs w:val="21"/>
                    </w:rPr>
                  </w:pPr>
                  <w:r>
                    <w:rPr>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36" w:type="dxa"/>
                  <w:vMerge w:val="continue"/>
                  <w:noWrap w:val="0"/>
                  <w:vAlign w:val="center"/>
                </w:tcPr>
                <w:p>
                  <w:pPr>
                    <w:spacing w:line="240" w:lineRule="auto"/>
                    <w:jc w:val="center"/>
                    <w:rPr>
                      <w:sz w:val="21"/>
                      <w:szCs w:val="21"/>
                    </w:rPr>
                  </w:pPr>
                </w:p>
              </w:tc>
              <w:tc>
                <w:tcPr>
                  <w:tcW w:w="5830" w:type="dxa"/>
                  <w:noWrap w:val="0"/>
                  <w:vAlign w:val="center"/>
                </w:tcPr>
                <w:p>
                  <w:pPr>
                    <w:spacing w:line="240" w:lineRule="auto"/>
                    <w:jc w:val="center"/>
                    <w:rPr>
                      <w:sz w:val="21"/>
                      <w:szCs w:val="21"/>
                    </w:rPr>
                  </w:pPr>
                  <w:r>
                    <w:rPr>
                      <w:b/>
                      <w:sz w:val="21"/>
                      <w:szCs w:val="21"/>
                    </w:rPr>
                    <w:t>提高收集效率：</w:t>
                  </w:r>
                  <w:r>
                    <w:rPr>
                      <w:sz w:val="21"/>
                      <w:szCs w:val="21"/>
                    </w:rPr>
                    <w:t>有机化工、医药化工、橡胶和塑料制品（有溶剂浸胶工艺）、溶剂型涂料表面涂装、包装印刷业和VOCs排放总量≥1t/a的企业，按照VOCs总收集率不低于90%的标准进行改造，其他行业原则上按照不低于75%的标准进行改造。</w:t>
                  </w:r>
                </w:p>
              </w:tc>
              <w:tc>
                <w:tcPr>
                  <w:tcW w:w="2556" w:type="dxa"/>
                  <w:noWrap w:val="0"/>
                  <w:vAlign w:val="center"/>
                </w:tcPr>
                <w:p>
                  <w:pPr>
                    <w:spacing w:line="240" w:lineRule="auto"/>
                    <w:jc w:val="center"/>
                    <w:rPr>
                      <w:sz w:val="21"/>
                      <w:szCs w:val="21"/>
                    </w:rPr>
                  </w:pPr>
                  <w:r>
                    <w:rPr>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36" w:type="dxa"/>
                  <w:vMerge w:val="continue"/>
                  <w:noWrap w:val="0"/>
                  <w:vAlign w:val="center"/>
                </w:tcPr>
                <w:p>
                  <w:pPr>
                    <w:spacing w:line="240" w:lineRule="auto"/>
                    <w:jc w:val="center"/>
                    <w:rPr>
                      <w:sz w:val="21"/>
                      <w:szCs w:val="21"/>
                    </w:rPr>
                  </w:pPr>
                </w:p>
              </w:tc>
              <w:tc>
                <w:tcPr>
                  <w:tcW w:w="5830" w:type="dxa"/>
                  <w:noWrap w:val="0"/>
                  <w:vAlign w:val="center"/>
                </w:tcPr>
                <w:p>
                  <w:pPr>
                    <w:spacing w:line="240" w:lineRule="auto"/>
                    <w:rPr>
                      <w:sz w:val="21"/>
                      <w:szCs w:val="21"/>
                    </w:rPr>
                  </w:pPr>
                  <w:r>
                    <w:rPr>
                      <w:b/>
                      <w:sz w:val="21"/>
                      <w:szCs w:val="21"/>
                    </w:rPr>
                    <w:t>废气输送方式：</w:t>
                  </w:r>
                  <w:r>
                    <w:rPr>
                      <w:sz w:val="21"/>
                      <w:szCs w:val="21"/>
                    </w:rPr>
                    <w:t>参照《江苏省化工行业废气污染防治技术规范》，减少废气在输送过程中因管道泄露导致的对环境的影响。</w:t>
                  </w:r>
                </w:p>
              </w:tc>
              <w:tc>
                <w:tcPr>
                  <w:tcW w:w="2556" w:type="dxa"/>
                  <w:noWrap w:val="0"/>
                  <w:vAlign w:val="center"/>
                </w:tcPr>
                <w:p>
                  <w:pPr>
                    <w:spacing w:line="240" w:lineRule="auto"/>
                    <w:jc w:val="center"/>
                    <w:rPr>
                      <w:sz w:val="21"/>
                      <w:szCs w:val="21"/>
                    </w:rPr>
                  </w:pPr>
                  <w:r>
                    <w:rPr>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36" w:type="dxa"/>
                  <w:vMerge w:val="continue"/>
                  <w:noWrap w:val="0"/>
                  <w:vAlign w:val="center"/>
                </w:tcPr>
                <w:p>
                  <w:pPr>
                    <w:spacing w:line="240" w:lineRule="auto"/>
                    <w:jc w:val="center"/>
                    <w:rPr>
                      <w:sz w:val="21"/>
                      <w:szCs w:val="21"/>
                    </w:rPr>
                  </w:pPr>
                </w:p>
              </w:tc>
              <w:tc>
                <w:tcPr>
                  <w:tcW w:w="5830" w:type="dxa"/>
                  <w:noWrap w:val="0"/>
                  <w:vAlign w:val="center"/>
                </w:tcPr>
                <w:p>
                  <w:pPr>
                    <w:spacing w:line="240" w:lineRule="auto"/>
                    <w:jc w:val="center"/>
                    <w:rPr>
                      <w:sz w:val="21"/>
                      <w:szCs w:val="21"/>
                    </w:rPr>
                  </w:pPr>
                  <w:r>
                    <w:rPr>
                      <w:b/>
                      <w:sz w:val="21"/>
                      <w:szCs w:val="21"/>
                    </w:rPr>
                    <w:t>末端处理效率：</w:t>
                  </w:r>
                  <w:r>
                    <w:rPr>
                      <w:sz w:val="21"/>
                      <w:szCs w:val="21"/>
                    </w:rPr>
                    <w:t>有机化工、医药化工、橡胶和塑料制品、溶剂型涂料表面涂装、包装印刷等行业企业按照净化处理效率不低于90%的标准进行改造，其他行业原则上按照不低于75%的标准进行改造。</w:t>
                  </w:r>
                </w:p>
                <w:p>
                  <w:pPr>
                    <w:spacing w:line="240" w:lineRule="auto"/>
                    <w:jc w:val="center"/>
                    <w:rPr>
                      <w:sz w:val="21"/>
                      <w:szCs w:val="21"/>
                    </w:rPr>
                  </w:pPr>
                  <w:r>
                    <w:rPr>
                      <w:sz w:val="21"/>
                      <w:szCs w:val="21"/>
                    </w:rPr>
                    <w:t>非甲烷总烃进气浓度≥70mg/m</w:t>
                  </w:r>
                  <w:r>
                    <w:rPr>
                      <w:sz w:val="21"/>
                      <w:szCs w:val="21"/>
                      <w:vertAlign w:val="superscript"/>
                    </w:rPr>
                    <w:t>3</w:t>
                  </w:r>
                  <w:r>
                    <w:rPr>
                      <w:sz w:val="21"/>
                      <w:szCs w:val="21"/>
                    </w:rPr>
                    <w:t>或者产生量≥2t/a的企业废气处理工艺不允许选择仅活性炭处理的末端治理方式。</w:t>
                  </w:r>
                </w:p>
              </w:tc>
              <w:tc>
                <w:tcPr>
                  <w:tcW w:w="2556" w:type="dxa"/>
                  <w:noWrap w:val="0"/>
                  <w:vAlign w:val="center"/>
                </w:tcPr>
                <w:p>
                  <w:pPr>
                    <w:spacing w:line="240" w:lineRule="auto"/>
                    <w:jc w:val="center"/>
                    <w:rPr>
                      <w:sz w:val="21"/>
                      <w:szCs w:val="21"/>
                    </w:rPr>
                  </w:pPr>
                  <w:r>
                    <w:rPr>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36" w:type="dxa"/>
                  <w:vMerge w:val="continue"/>
                  <w:noWrap w:val="0"/>
                  <w:vAlign w:val="center"/>
                </w:tcPr>
                <w:p>
                  <w:pPr>
                    <w:spacing w:line="240" w:lineRule="auto"/>
                    <w:jc w:val="center"/>
                    <w:rPr>
                      <w:sz w:val="21"/>
                      <w:szCs w:val="21"/>
                    </w:rPr>
                  </w:pPr>
                </w:p>
              </w:tc>
              <w:tc>
                <w:tcPr>
                  <w:tcW w:w="5830" w:type="dxa"/>
                  <w:noWrap w:val="0"/>
                  <w:vAlign w:val="center"/>
                </w:tcPr>
                <w:p>
                  <w:pPr>
                    <w:spacing w:line="240" w:lineRule="auto"/>
                    <w:rPr>
                      <w:sz w:val="21"/>
                      <w:szCs w:val="21"/>
                    </w:rPr>
                  </w:pPr>
                  <w:r>
                    <w:rPr>
                      <w:b/>
                      <w:sz w:val="21"/>
                      <w:szCs w:val="21"/>
                    </w:rPr>
                    <w:t>提高环保管理水平：</w:t>
                  </w:r>
                  <w:r>
                    <w:rPr>
                      <w:sz w:val="21"/>
                      <w:szCs w:val="21"/>
                    </w:rPr>
                    <w:t>企业成立有关机构和专门人员负责VOCs污染控制相关工作；建立健全与废气治理设施相关的规章制度、岗位责任、运行维护、操作技术和规程，应记录原辅材料的类别、使用量、产品产量和废气处理设施运行状况、废溶剂、废吸收剂回收台账等信息，制定吸附剂、催化剂和吸收液等药剂的购买及更换台账；制定和落实废气污染治理设施维修制度、检修计划，确保设施正常运行；安装在线监测设备的，应记录在线监测装置获取的VOCs排放浓度，作为设施日常稳定运行情况的考核依据。</w:t>
                  </w:r>
                </w:p>
              </w:tc>
              <w:tc>
                <w:tcPr>
                  <w:tcW w:w="2556" w:type="dxa"/>
                  <w:noWrap w:val="0"/>
                  <w:vAlign w:val="center"/>
                </w:tcPr>
                <w:p>
                  <w:pPr>
                    <w:spacing w:line="240" w:lineRule="auto"/>
                    <w:jc w:val="center"/>
                    <w:rPr>
                      <w:sz w:val="21"/>
                      <w:szCs w:val="21"/>
                    </w:rPr>
                  </w:pPr>
                  <w:r>
                    <w:rPr>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36" w:type="dxa"/>
                  <w:vMerge w:val="restart"/>
                  <w:noWrap w:val="0"/>
                  <w:vAlign w:val="center"/>
                </w:tcPr>
                <w:p>
                  <w:pPr>
                    <w:spacing w:line="240" w:lineRule="auto"/>
                    <w:jc w:val="center"/>
                    <w:rPr>
                      <w:sz w:val="21"/>
                      <w:szCs w:val="21"/>
                    </w:rPr>
                  </w:pPr>
                  <w:r>
                    <w:rPr>
                      <w:sz w:val="21"/>
                      <w:szCs w:val="21"/>
                    </w:rPr>
                    <w:t>二、严格新建项目准入</w:t>
                  </w:r>
                </w:p>
              </w:tc>
              <w:tc>
                <w:tcPr>
                  <w:tcW w:w="5830" w:type="dxa"/>
                  <w:noWrap w:val="0"/>
                  <w:vAlign w:val="center"/>
                </w:tcPr>
                <w:p>
                  <w:pPr>
                    <w:spacing w:line="240" w:lineRule="auto"/>
                    <w:jc w:val="center"/>
                    <w:rPr>
                      <w:sz w:val="21"/>
                      <w:szCs w:val="21"/>
                    </w:rPr>
                  </w:pPr>
                  <w:r>
                    <w:rPr>
                      <w:sz w:val="21"/>
                      <w:szCs w:val="21"/>
                    </w:rPr>
                    <w:t>1、喷涂、电泳等表面涂装和涉有机溶剂的印刷、涂布、清洗、浸渍等排放VOCs的处理工艺，除为主体项目配套外，原则上律不予准入。</w:t>
                  </w:r>
                </w:p>
              </w:tc>
              <w:tc>
                <w:tcPr>
                  <w:tcW w:w="2556" w:type="dxa"/>
                  <w:noWrap w:val="0"/>
                  <w:vAlign w:val="center"/>
                </w:tcPr>
                <w:p>
                  <w:pPr>
                    <w:spacing w:line="240" w:lineRule="auto"/>
                    <w:jc w:val="center"/>
                    <w:rPr>
                      <w:sz w:val="21"/>
                      <w:szCs w:val="21"/>
                    </w:rPr>
                  </w:pPr>
                  <w:r>
                    <w:rPr>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36" w:type="dxa"/>
                  <w:vMerge w:val="continue"/>
                  <w:noWrap w:val="0"/>
                  <w:vAlign w:val="center"/>
                </w:tcPr>
                <w:p>
                  <w:pPr>
                    <w:spacing w:line="240" w:lineRule="auto"/>
                    <w:jc w:val="center"/>
                    <w:rPr>
                      <w:sz w:val="21"/>
                      <w:szCs w:val="21"/>
                    </w:rPr>
                  </w:pPr>
                </w:p>
              </w:tc>
              <w:tc>
                <w:tcPr>
                  <w:tcW w:w="5830" w:type="dxa"/>
                  <w:noWrap w:val="0"/>
                  <w:vAlign w:val="center"/>
                </w:tcPr>
                <w:p>
                  <w:pPr>
                    <w:spacing w:line="240" w:lineRule="auto"/>
                    <w:jc w:val="center"/>
                    <w:rPr>
                      <w:sz w:val="21"/>
                      <w:szCs w:val="21"/>
                    </w:rPr>
                  </w:pPr>
                  <w:r>
                    <w:rPr>
                      <w:sz w:val="21"/>
                      <w:szCs w:val="21"/>
                    </w:rPr>
                    <w:t>2、VOCs排放总量≥3t/a的建设项目，投资额不得低于5000万人民币，VOCs排放总量≥5t/a的建设项目，投资额不得低于1个亿人民币。</w:t>
                  </w:r>
                </w:p>
              </w:tc>
              <w:tc>
                <w:tcPr>
                  <w:tcW w:w="2556" w:type="dxa"/>
                  <w:noWrap w:val="0"/>
                  <w:vAlign w:val="center"/>
                </w:tcPr>
                <w:p>
                  <w:pPr>
                    <w:spacing w:line="240" w:lineRule="auto"/>
                    <w:jc w:val="center"/>
                    <w:rPr>
                      <w:sz w:val="21"/>
                      <w:szCs w:val="21"/>
                    </w:rPr>
                  </w:pPr>
                  <w:r>
                    <w:rPr>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36" w:type="dxa"/>
                  <w:vMerge w:val="continue"/>
                  <w:noWrap w:val="0"/>
                  <w:vAlign w:val="center"/>
                </w:tcPr>
                <w:p>
                  <w:pPr>
                    <w:spacing w:line="240" w:lineRule="auto"/>
                    <w:jc w:val="center"/>
                    <w:rPr>
                      <w:sz w:val="21"/>
                      <w:szCs w:val="21"/>
                    </w:rPr>
                  </w:pPr>
                </w:p>
              </w:tc>
              <w:tc>
                <w:tcPr>
                  <w:tcW w:w="5830" w:type="dxa"/>
                  <w:noWrap w:val="0"/>
                  <w:vAlign w:val="center"/>
                </w:tcPr>
                <w:p>
                  <w:pPr>
                    <w:spacing w:line="240" w:lineRule="auto"/>
                    <w:jc w:val="center"/>
                    <w:rPr>
                      <w:sz w:val="21"/>
                      <w:szCs w:val="21"/>
                    </w:rPr>
                  </w:pPr>
                  <w:r>
                    <w:rPr>
                      <w:sz w:val="21"/>
                      <w:szCs w:val="21"/>
                    </w:rPr>
                    <w:t>3、严格限制VOCs新增排放量≥10t/a以上项目的准入。</w:t>
                  </w:r>
                </w:p>
              </w:tc>
              <w:tc>
                <w:tcPr>
                  <w:tcW w:w="2556" w:type="dxa"/>
                  <w:noWrap w:val="0"/>
                  <w:vAlign w:val="center"/>
                </w:tcPr>
                <w:p>
                  <w:pPr>
                    <w:spacing w:line="240" w:lineRule="auto"/>
                    <w:jc w:val="center"/>
                    <w:rPr>
                      <w:sz w:val="21"/>
                      <w:szCs w:val="21"/>
                    </w:rPr>
                  </w:pPr>
                  <w:r>
                    <w:rPr>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36" w:type="dxa"/>
                  <w:vMerge w:val="continue"/>
                  <w:noWrap w:val="0"/>
                  <w:vAlign w:val="center"/>
                </w:tcPr>
                <w:p>
                  <w:pPr>
                    <w:spacing w:line="240" w:lineRule="auto"/>
                    <w:jc w:val="center"/>
                    <w:rPr>
                      <w:sz w:val="21"/>
                      <w:szCs w:val="21"/>
                    </w:rPr>
                  </w:pPr>
                </w:p>
              </w:tc>
              <w:tc>
                <w:tcPr>
                  <w:tcW w:w="5830" w:type="dxa"/>
                  <w:noWrap w:val="0"/>
                  <w:vAlign w:val="center"/>
                </w:tcPr>
                <w:p>
                  <w:pPr>
                    <w:spacing w:line="240" w:lineRule="auto"/>
                    <w:jc w:val="center"/>
                    <w:rPr>
                      <w:sz w:val="21"/>
                      <w:szCs w:val="21"/>
                    </w:rPr>
                  </w:pPr>
                  <w:r>
                    <w:rPr>
                      <w:sz w:val="21"/>
                      <w:szCs w:val="21"/>
                    </w:rPr>
                    <w:t>4、包装印刷、集装箱、交通工具、机械设备、人造板、家具、船舶制造等行业，使用低VOCs含量的涂料、胶黏剂、清洗剂、油墨等有机溶剂。</w:t>
                  </w:r>
                </w:p>
              </w:tc>
              <w:tc>
                <w:tcPr>
                  <w:tcW w:w="2556" w:type="dxa"/>
                  <w:noWrap w:val="0"/>
                  <w:vAlign w:val="center"/>
                </w:tcPr>
                <w:p>
                  <w:pPr>
                    <w:spacing w:line="240" w:lineRule="auto"/>
                    <w:jc w:val="center"/>
                    <w:rPr>
                      <w:sz w:val="21"/>
                      <w:szCs w:val="21"/>
                    </w:rPr>
                  </w:pPr>
                  <w:r>
                    <w:rPr>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36" w:type="dxa"/>
                  <w:vMerge w:val="continue"/>
                  <w:noWrap w:val="0"/>
                  <w:vAlign w:val="center"/>
                </w:tcPr>
                <w:p>
                  <w:pPr>
                    <w:spacing w:line="240" w:lineRule="auto"/>
                    <w:jc w:val="center"/>
                    <w:rPr>
                      <w:sz w:val="21"/>
                      <w:szCs w:val="21"/>
                    </w:rPr>
                  </w:pPr>
                </w:p>
              </w:tc>
              <w:tc>
                <w:tcPr>
                  <w:tcW w:w="5830" w:type="dxa"/>
                  <w:noWrap w:val="0"/>
                  <w:vAlign w:val="center"/>
                </w:tcPr>
                <w:p>
                  <w:pPr>
                    <w:spacing w:line="240" w:lineRule="auto"/>
                    <w:jc w:val="center"/>
                    <w:rPr>
                      <w:sz w:val="21"/>
                      <w:szCs w:val="21"/>
                    </w:rPr>
                  </w:pPr>
                  <w:r>
                    <w:rPr>
                      <w:sz w:val="21"/>
                      <w:szCs w:val="21"/>
                    </w:rPr>
                    <w:t>5、严格控制敏感目标周边300米范围内建设挥发性有机物排放量大（≥3t/a）的工业项目，切实减少对敏感目标的影响。</w:t>
                  </w:r>
                </w:p>
              </w:tc>
              <w:tc>
                <w:tcPr>
                  <w:tcW w:w="2556" w:type="dxa"/>
                  <w:noWrap w:val="0"/>
                  <w:vAlign w:val="center"/>
                </w:tcPr>
                <w:p>
                  <w:pPr>
                    <w:spacing w:line="240" w:lineRule="auto"/>
                    <w:jc w:val="center"/>
                    <w:rPr>
                      <w:sz w:val="21"/>
                      <w:szCs w:val="21"/>
                    </w:rPr>
                  </w:pPr>
                  <w:r>
                    <w:rPr>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36" w:type="dxa"/>
                  <w:vMerge w:val="continue"/>
                  <w:noWrap w:val="0"/>
                  <w:vAlign w:val="center"/>
                </w:tcPr>
                <w:p>
                  <w:pPr>
                    <w:spacing w:line="240" w:lineRule="auto"/>
                    <w:jc w:val="center"/>
                    <w:rPr>
                      <w:sz w:val="21"/>
                      <w:szCs w:val="21"/>
                    </w:rPr>
                  </w:pPr>
                </w:p>
              </w:tc>
              <w:tc>
                <w:tcPr>
                  <w:tcW w:w="5830" w:type="dxa"/>
                  <w:noWrap w:val="0"/>
                  <w:vAlign w:val="center"/>
                </w:tcPr>
                <w:p>
                  <w:pPr>
                    <w:spacing w:line="240" w:lineRule="auto"/>
                    <w:jc w:val="center"/>
                    <w:rPr>
                      <w:sz w:val="21"/>
                      <w:szCs w:val="21"/>
                    </w:rPr>
                  </w:pPr>
                  <w:r>
                    <w:rPr>
                      <w:sz w:val="21"/>
                      <w:szCs w:val="21"/>
                    </w:rPr>
                    <w:t>6、化工集中区、高架沿线、中心城区等信访投诉较多的环境敏感区域内新增VOCs项目排放总量在项目所在地人民政府（街道办、管委会）范围内平衡；其他项目按照倍量削减政策在全区范围内平衡。</w:t>
                  </w:r>
                </w:p>
              </w:tc>
              <w:tc>
                <w:tcPr>
                  <w:tcW w:w="2556" w:type="dxa"/>
                  <w:noWrap w:val="0"/>
                  <w:vAlign w:val="center"/>
                </w:tcPr>
                <w:p>
                  <w:pPr>
                    <w:spacing w:line="240" w:lineRule="auto"/>
                    <w:jc w:val="center"/>
                    <w:rPr>
                      <w:sz w:val="21"/>
                      <w:szCs w:val="21"/>
                    </w:rPr>
                  </w:pPr>
                  <w:r>
                    <w:rPr>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36" w:type="dxa"/>
                  <w:vMerge w:val="continue"/>
                  <w:noWrap w:val="0"/>
                  <w:vAlign w:val="center"/>
                </w:tcPr>
                <w:p>
                  <w:pPr>
                    <w:spacing w:line="240" w:lineRule="auto"/>
                    <w:jc w:val="center"/>
                    <w:rPr>
                      <w:sz w:val="21"/>
                      <w:szCs w:val="21"/>
                    </w:rPr>
                  </w:pPr>
                </w:p>
              </w:tc>
              <w:tc>
                <w:tcPr>
                  <w:tcW w:w="5830" w:type="dxa"/>
                  <w:noWrap w:val="0"/>
                  <w:vAlign w:val="center"/>
                </w:tcPr>
                <w:p>
                  <w:pPr>
                    <w:spacing w:line="240" w:lineRule="auto"/>
                    <w:jc w:val="center"/>
                    <w:rPr>
                      <w:sz w:val="21"/>
                      <w:szCs w:val="21"/>
                    </w:rPr>
                  </w:pPr>
                  <w:r>
                    <w:rPr>
                      <w:sz w:val="21"/>
                      <w:szCs w:val="21"/>
                    </w:rPr>
                    <w:t>7、按照前文所述废气收集、处理等要求严格新项目的准入。</w:t>
                  </w:r>
                </w:p>
              </w:tc>
              <w:tc>
                <w:tcPr>
                  <w:tcW w:w="2556" w:type="dxa"/>
                  <w:noWrap w:val="0"/>
                  <w:vAlign w:val="center"/>
                </w:tcPr>
                <w:p>
                  <w:pPr>
                    <w:spacing w:line="240" w:lineRule="auto"/>
                    <w:jc w:val="center"/>
                    <w:rPr>
                      <w:sz w:val="21"/>
                      <w:szCs w:val="21"/>
                    </w:rPr>
                  </w:pPr>
                  <w:r>
                    <w:rPr>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36" w:type="dxa"/>
                  <w:noWrap w:val="0"/>
                  <w:vAlign w:val="center"/>
                </w:tcPr>
                <w:p>
                  <w:pPr>
                    <w:spacing w:line="240" w:lineRule="auto"/>
                    <w:jc w:val="center"/>
                    <w:rPr>
                      <w:sz w:val="21"/>
                      <w:szCs w:val="21"/>
                    </w:rPr>
                  </w:pPr>
                  <w:r>
                    <w:rPr>
                      <w:sz w:val="21"/>
                      <w:szCs w:val="21"/>
                    </w:rPr>
                    <w:t>三、提高执法监管和服务水平</w:t>
                  </w:r>
                </w:p>
              </w:tc>
              <w:tc>
                <w:tcPr>
                  <w:tcW w:w="5830" w:type="dxa"/>
                  <w:noWrap w:val="0"/>
                  <w:vAlign w:val="center"/>
                </w:tcPr>
                <w:p>
                  <w:pPr>
                    <w:spacing w:line="240" w:lineRule="auto"/>
                    <w:jc w:val="center"/>
                    <w:rPr>
                      <w:sz w:val="21"/>
                      <w:szCs w:val="21"/>
                    </w:rPr>
                  </w:pPr>
                  <w:r>
                    <w:rPr>
                      <w:sz w:val="21"/>
                      <w:szCs w:val="21"/>
                    </w:rPr>
                    <w:t>1、严格执行排放标准。涉VOCs行业工业企业有组织废气非甲烷总烃排放浓度执行70mg/m</w:t>
                  </w:r>
                  <w:r>
                    <w:rPr>
                      <w:sz w:val="21"/>
                      <w:szCs w:val="21"/>
                      <w:vertAlign w:val="superscript"/>
                    </w:rPr>
                    <w:t>3</w:t>
                  </w:r>
                  <w:r>
                    <w:rPr>
                      <w:sz w:val="21"/>
                      <w:szCs w:val="21"/>
                    </w:rPr>
                    <w:t>。其他有组织废气和无组织废气有机污染物因子排放标准执行《大气污染物综合排放标准》（GB 16297-1996）浓度的80%。</w:t>
                  </w:r>
                </w:p>
              </w:tc>
              <w:tc>
                <w:tcPr>
                  <w:tcW w:w="2556" w:type="dxa"/>
                  <w:noWrap w:val="0"/>
                  <w:vAlign w:val="center"/>
                </w:tcPr>
                <w:p>
                  <w:pPr>
                    <w:spacing w:line="240" w:lineRule="auto"/>
                    <w:jc w:val="center"/>
                    <w:rPr>
                      <w:sz w:val="21"/>
                      <w:szCs w:val="21"/>
                    </w:rPr>
                  </w:pPr>
                  <w:r>
                    <w:rPr>
                      <w:sz w:val="21"/>
                      <w:szCs w:val="21"/>
                    </w:rPr>
                    <w:t>相符</w:t>
                  </w:r>
                </w:p>
              </w:tc>
            </w:tr>
          </w:tbl>
          <w:p>
            <w:pPr>
              <w:numPr>
                <w:ilvl w:val="0"/>
                <w:numId w:val="2"/>
              </w:numPr>
              <w:spacing w:line="480" w:lineRule="exact"/>
              <w:ind w:firstLine="482" w:firstLineChars="200"/>
              <w:rPr>
                <w:b/>
                <w:bCs/>
              </w:rPr>
            </w:pPr>
            <w:r>
              <w:rPr>
                <w:b/>
                <w:bCs/>
              </w:rPr>
              <w:t>项目建设与</w:t>
            </w:r>
            <w:r>
              <w:rPr>
                <w:rFonts w:hint="eastAsia"/>
                <w:b/>
                <w:bCs/>
                <w:lang w:eastAsia="zh-CN"/>
              </w:rPr>
              <w:t>“</w:t>
            </w:r>
            <w:r>
              <w:rPr>
                <w:b/>
                <w:bCs/>
              </w:rPr>
              <w:t>三线一单</w:t>
            </w:r>
            <w:r>
              <w:rPr>
                <w:rFonts w:hint="eastAsia"/>
                <w:b/>
                <w:bCs/>
                <w:lang w:eastAsia="zh-CN"/>
              </w:rPr>
              <w:t>”</w:t>
            </w:r>
            <w:r>
              <w:rPr>
                <w:b/>
                <w:bCs/>
              </w:rPr>
              <w:t>相符性分析</w:t>
            </w:r>
          </w:p>
          <w:p>
            <w:pPr>
              <w:ind w:firstLine="480" w:firstLineChars="200"/>
            </w:pPr>
            <w:r>
              <w:rPr>
                <w:bCs/>
              </w:rPr>
              <w:t>（1）与生态红线相符性分析</w:t>
            </w:r>
          </w:p>
          <w:p>
            <w:pPr>
              <w:snapToGrid w:val="0"/>
              <w:spacing w:line="480" w:lineRule="exact"/>
              <w:ind w:firstLine="480" w:firstLineChars="200"/>
            </w:pPr>
            <w:r>
              <w:t>根据《江苏省国家级生态保护红线规划》，高新区范围内的生态保护红线见表2-1。</w:t>
            </w:r>
          </w:p>
          <w:p>
            <w:pPr>
              <w:spacing w:line="480" w:lineRule="exact"/>
              <w:ind w:firstLine="422" w:firstLineChars="200"/>
              <w:jc w:val="center"/>
              <w:rPr>
                <w:b/>
                <w:sz w:val="21"/>
                <w:szCs w:val="21"/>
              </w:rPr>
            </w:pPr>
            <w:r>
              <w:rPr>
                <w:b/>
                <w:sz w:val="21"/>
                <w:szCs w:val="21"/>
              </w:rPr>
              <w:t>表2-1  生态保护红线区域</w:t>
            </w:r>
          </w:p>
          <w:tbl>
            <w:tblPr>
              <w:tblStyle w:val="26"/>
              <w:tblW w:w="0" w:type="auto"/>
              <w:jc w:val="center"/>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1525"/>
              <w:gridCol w:w="1473"/>
              <w:gridCol w:w="5082"/>
              <w:gridCol w:w="1342"/>
            </w:tblGrid>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jc w:val="center"/>
              </w:trPr>
              <w:tc>
                <w:tcPr>
                  <w:tcW w:w="1525" w:type="dxa"/>
                  <w:noWrap w:val="0"/>
                  <w:vAlign w:val="center"/>
                </w:tcPr>
                <w:p>
                  <w:pPr>
                    <w:spacing w:line="240" w:lineRule="auto"/>
                    <w:jc w:val="center"/>
                    <w:rPr>
                      <w:b/>
                      <w:bCs/>
                      <w:sz w:val="21"/>
                      <w:szCs w:val="21"/>
                    </w:rPr>
                  </w:pPr>
                  <w:r>
                    <w:rPr>
                      <w:b/>
                      <w:bCs/>
                      <w:sz w:val="21"/>
                      <w:szCs w:val="21"/>
                    </w:rPr>
                    <w:t>生态保护红线名称</w:t>
                  </w:r>
                </w:p>
              </w:tc>
              <w:tc>
                <w:tcPr>
                  <w:tcW w:w="1473" w:type="dxa"/>
                  <w:noWrap w:val="0"/>
                  <w:vAlign w:val="center"/>
                </w:tcPr>
                <w:p>
                  <w:pPr>
                    <w:spacing w:line="240" w:lineRule="auto"/>
                    <w:jc w:val="center"/>
                    <w:rPr>
                      <w:b/>
                      <w:bCs/>
                      <w:sz w:val="21"/>
                      <w:szCs w:val="21"/>
                    </w:rPr>
                  </w:pPr>
                  <w:r>
                    <w:rPr>
                      <w:b/>
                      <w:bCs/>
                      <w:sz w:val="21"/>
                      <w:szCs w:val="21"/>
                    </w:rPr>
                    <w:t>类型</w:t>
                  </w:r>
                </w:p>
              </w:tc>
              <w:tc>
                <w:tcPr>
                  <w:tcW w:w="5082" w:type="dxa"/>
                  <w:noWrap w:val="0"/>
                  <w:vAlign w:val="center"/>
                </w:tcPr>
                <w:p>
                  <w:pPr>
                    <w:spacing w:line="240" w:lineRule="auto"/>
                    <w:jc w:val="center"/>
                    <w:rPr>
                      <w:b/>
                      <w:bCs/>
                      <w:sz w:val="21"/>
                      <w:szCs w:val="21"/>
                    </w:rPr>
                  </w:pPr>
                  <w:r>
                    <w:rPr>
                      <w:b/>
                      <w:bCs/>
                      <w:sz w:val="21"/>
                      <w:szCs w:val="21"/>
                    </w:rPr>
                    <w:t>地理位置</w:t>
                  </w:r>
                </w:p>
              </w:tc>
              <w:tc>
                <w:tcPr>
                  <w:tcW w:w="1342" w:type="dxa"/>
                  <w:noWrap w:val="0"/>
                  <w:vAlign w:val="center"/>
                </w:tcPr>
                <w:p>
                  <w:pPr>
                    <w:spacing w:line="240" w:lineRule="auto"/>
                    <w:jc w:val="center"/>
                    <w:rPr>
                      <w:b/>
                      <w:bCs/>
                      <w:sz w:val="21"/>
                      <w:szCs w:val="21"/>
                    </w:rPr>
                  </w:pPr>
                  <w:r>
                    <w:rPr>
                      <w:b/>
                      <w:bCs/>
                      <w:sz w:val="21"/>
                      <w:szCs w:val="21"/>
                    </w:rPr>
                    <w:t>区域面积</w:t>
                  </w:r>
                </w:p>
                <w:p>
                  <w:pPr>
                    <w:spacing w:line="240" w:lineRule="auto"/>
                    <w:jc w:val="center"/>
                    <w:rPr>
                      <w:b/>
                      <w:bCs/>
                      <w:sz w:val="21"/>
                      <w:szCs w:val="21"/>
                    </w:rPr>
                  </w:pPr>
                  <w:r>
                    <w:rPr>
                      <w:b/>
                      <w:bCs/>
                      <w:sz w:val="21"/>
                      <w:szCs w:val="21"/>
                    </w:rPr>
                    <w:t>（平方公里）</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jc w:val="center"/>
              </w:trPr>
              <w:tc>
                <w:tcPr>
                  <w:tcW w:w="1525" w:type="dxa"/>
                  <w:noWrap w:val="0"/>
                  <w:vAlign w:val="center"/>
                </w:tcPr>
                <w:p>
                  <w:pPr>
                    <w:spacing w:line="240" w:lineRule="auto"/>
                    <w:jc w:val="center"/>
                    <w:rPr>
                      <w:bCs/>
                      <w:sz w:val="21"/>
                      <w:szCs w:val="21"/>
                    </w:rPr>
                  </w:pPr>
                  <w:r>
                    <w:rPr>
                      <w:bCs/>
                      <w:sz w:val="21"/>
                      <w:szCs w:val="21"/>
                    </w:rPr>
                    <w:t>太湖金墅港饮用水水源保护</w:t>
                  </w:r>
                </w:p>
              </w:tc>
              <w:tc>
                <w:tcPr>
                  <w:tcW w:w="1473" w:type="dxa"/>
                  <w:noWrap w:val="0"/>
                  <w:vAlign w:val="center"/>
                </w:tcPr>
                <w:p>
                  <w:pPr>
                    <w:spacing w:line="240" w:lineRule="auto"/>
                    <w:jc w:val="center"/>
                    <w:rPr>
                      <w:bCs/>
                      <w:sz w:val="21"/>
                      <w:szCs w:val="21"/>
                    </w:rPr>
                  </w:pPr>
                  <w:r>
                    <w:rPr>
                      <w:bCs/>
                      <w:sz w:val="21"/>
                      <w:szCs w:val="21"/>
                    </w:rPr>
                    <w:t>饮用水水源保护区</w:t>
                  </w:r>
                </w:p>
              </w:tc>
              <w:tc>
                <w:tcPr>
                  <w:tcW w:w="5082" w:type="dxa"/>
                  <w:noWrap w:val="0"/>
                  <w:vAlign w:val="center"/>
                </w:tcPr>
                <w:p>
                  <w:pPr>
                    <w:spacing w:line="240" w:lineRule="auto"/>
                    <w:jc w:val="left"/>
                    <w:rPr>
                      <w:bCs/>
                      <w:sz w:val="21"/>
                      <w:szCs w:val="21"/>
                    </w:rPr>
                  </w:pPr>
                  <w:r>
                    <w:rPr>
                      <w:bCs/>
                      <w:sz w:val="21"/>
                      <w:szCs w:val="21"/>
                    </w:rPr>
                    <w:t>一级保护区：以2个水厂取水口（120°22'31.198"E，31°22'49.644"N；</w:t>
                  </w:r>
                </w:p>
                <w:p>
                  <w:pPr>
                    <w:spacing w:line="240" w:lineRule="auto"/>
                    <w:jc w:val="left"/>
                    <w:rPr>
                      <w:bCs/>
                      <w:sz w:val="21"/>
                      <w:szCs w:val="21"/>
                    </w:rPr>
                  </w:pPr>
                  <w:r>
                    <w:rPr>
                      <w:bCs/>
                      <w:sz w:val="21"/>
                      <w:szCs w:val="21"/>
                    </w:rPr>
                    <w:t>120°22'37.642"E，31°22'42.122"N）为中心，半径为500米的区域范围。</w:t>
                  </w:r>
                </w:p>
                <w:p>
                  <w:pPr>
                    <w:spacing w:line="240" w:lineRule="auto"/>
                    <w:jc w:val="left"/>
                    <w:rPr>
                      <w:bCs/>
                      <w:sz w:val="21"/>
                      <w:szCs w:val="21"/>
                    </w:rPr>
                  </w:pPr>
                  <w:r>
                    <w:rPr>
                      <w:bCs/>
                      <w:sz w:val="21"/>
                      <w:szCs w:val="21"/>
                    </w:rPr>
                    <w:t>二级保护区：一级保护区外延2000米的水域范围和一级保护区边界到太湖防洪大堤陆域范围</w:t>
                  </w:r>
                </w:p>
              </w:tc>
              <w:tc>
                <w:tcPr>
                  <w:tcW w:w="1342" w:type="dxa"/>
                  <w:noWrap w:val="0"/>
                  <w:vAlign w:val="center"/>
                </w:tcPr>
                <w:p>
                  <w:pPr>
                    <w:spacing w:line="240" w:lineRule="auto"/>
                    <w:jc w:val="center"/>
                    <w:rPr>
                      <w:bCs/>
                      <w:sz w:val="21"/>
                      <w:szCs w:val="21"/>
                    </w:rPr>
                  </w:pPr>
                  <w:r>
                    <w:rPr>
                      <w:bCs/>
                      <w:sz w:val="21"/>
                      <w:szCs w:val="21"/>
                    </w:rPr>
                    <w:t>14.84</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jc w:val="center"/>
              </w:trPr>
              <w:tc>
                <w:tcPr>
                  <w:tcW w:w="1525" w:type="dxa"/>
                  <w:noWrap w:val="0"/>
                  <w:vAlign w:val="center"/>
                </w:tcPr>
                <w:p>
                  <w:pPr>
                    <w:spacing w:line="240" w:lineRule="auto"/>
                    <w:jc w:val="center"/>
                    <w:rPr>
                      <w:bCs/>
                      <w:sz w:val="21"/>
                      <w:szCs w:val="21"/>
                    </w:rPr>
                  </w:pPr>
                  <w:r>
                    <w:rPr>
                      <w:bCs/>
                      <w:sz w:val="21"/>
                      <w:szCs w:val="21"/>
                    </w:rPr>
                    <w:t>太湖镇湖饮用水水源保护区</w:t>
                  </w:r>
                </w:p>
              </w:tc>
              <w:tc>
                <w:tcPr>
                  <w:tcW w:w="1473" w:type="dxa"/>
                  <w:noWrap w:val="0"/>
                  <w:vAlign w:val="center"/>
                </w:tcPr>
                <w:p>
                  <w:pPr>
                    <w:spacing w:line="240" w:lineRule="auto"/>
                    <w:jc w:val="center"/>
                    <w:rPr>
                      <w:bCs/>
                      <w:sz w:val="21"/>
                      <w:szCs w:val="21"/>
                    </w:rPr>
                  </w:pPr>
                  <w:r>
                    <w:rPr>
                      <w:bCs/>
                      <w:sz w:val="21"/>
                      <w:szCs w:val="21"/>
                    </w:rPr>
                    <w:t>饮用水水源保护区</w:t>
                  </w:r>
                </w:p>
              </w:tc>
              <w:tc>
                <w:tcPr>
                  <w:tcW w:w="5082" w:type="dxa"/>
                  <w:noWrap w:val="0"/>
                  <w:vAlign w:val="center"/>
                </w:tcPr>
                <w:p>
                  <w:pPr>
                    <w:spacing w:line="240" w:lineRule="auto"/>
                    <w:jc w:val="left"/>
                    <w:rPr>
                      <w:bCs/>
                      <w:sz w:val="21"/>
                      <w:szCs w:val="21"/>
                    </w:rPr>
                  </w:pPr>
                  <w:r>
                    <w:rPr>
                      <w:bCs/>
                      <w:sz w:val="21"/>
                      <w:szCs w:val="21"/>
                    </w:rPr>
                    <w:t>一级保护区：以2 个水厂取水口（120°17'8.285"E，31°19'34.725"N）为中心，半径为500米的区域范围。</w:t>
                  </w:r>
                </w:p>
                <w:p>
                  <w:pPr>
                    <w:spacing w:line="240" w:lineRule="auto"/>
                    <w:jc w:val="left"/>
                    <w:rPr>
                      <w:bCs/>
                      <w:sz w:val="21"/>
                      <w:szCs w:val="21"/>
                    </w:rPr>
                  </w:pPr>
                  <w:r>
                    <w:rPr>
                      <w:bCs/>
                      <w:sz w:val="21"/>
                      <w:szCs w:val="21"/>
                    </w:rPr>
                    <w:t>二级保护区：一级保护区</w:t>
                  </w:r>
                </w:p>
                <w:p>
                  <w:pPr>
                    <w:spacing w:line="240" w:lineRule="auto"/>
                    <w:jc w:val="left"/>
                    <w:rPr>
                      <w:bCs/>
                      <w:sz w:val="21"/>
                      <w:szCs w:val="21"/>
                    </w:rPr>
                  </w:pPr>
                  <w:r>
                    <w:rPr>
                      <w:bCs/>
                      <w:sz w:val="21"/>
                      <w:szCs w:val="21"/>
                    </w:rPr>
                    <w:t>外，外延2000米的水域范围和二级保护区水域与相对应的本岸背水坡堤脚外100米之间的陆域范围</w:t>
                  </w:r>
                </w:p>
              </w:tc>
              <w:tc>
                <w:tcPr>
                  <w:tcW w:w="1342" w:type="dxa"/>
                  <w:noWrap w:val="0"/>
                  <w:vAlign w:val="center"/>
                </w:tcPr>
                <w:p>
                  <w:pPr>
                    <w:spacing w:line="240" w:lineRule="auto"/>
                    <w:jc w:val="center"/>
                    <w:rPr>
                      <w:bCs/>
                      <w:sz w:val="21"/>
                      <w:szCs w:val="21"/>
                    </w:rPr>
                  </w:pPr>
                  <w:r>
                    <w:rPr>
                      <w:bCs/>
                      <w:sz w:val="21"/>
                      <w:szCs w:val="21"/>
                    </w:rPr>
                    <w:t>18.56</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jc w:val="center"/>
              </w:trPr>
              <w:tc>
                <w:tcPr>
                  <w:tcW w:w="1525" w:type="dxa"/>
                  <w:noWrap w:val="0"/>
                  <w:vAlign w:val="center"/>
                </w:tcPr>
                <w:p>
                  <w:pPr>
                    <w:spacing w:line="240" w:lineRule="auto"/>
                    <w:jc w:val="center"/>
                    <w:rPr>
                      <w:bCs/>
                      <w:sz w:val="21"/>
                      <w:szCs w:val="21"/>
                    </w:rPr>
                  </w:pPr>
                  <w:r>
                    <w:rPr>
                      <w:bCs/>
                      <w:sz w:val="21"/>
                      <w:szCs w:val="21"/>
                    </w:rPr>
                    <w:t>太湖梅鲚河蚬国家级水产种质资源</w:t>
                  </w:r>
                </w:p>
              </w:tc>
              <w:tc>
                <w:tcPr>
                  <w:tcW w:w="1473" w:type="dxa"/>
                  <w:noWrap w:val="0"/>
                  <w:vAlign w:val="center"/>
                </w:tcPr>
                <w:p>
                  <w:pPr>
                    <w:spacing w:line="240" w:lineRule="auto"/>
                    <w:jc w:val="center"/>
                    <w:rPr>
                      <w:bCs/>
                      <w:sz w:val="21"/>
                      <w:szCs w:val="21"/>
                    </w:rPr>
                  </w:pPr>
                  <w:r>
                    <w:rPr>
                      <w:bCs/>
                      <w:sz w:val="21"/>
                      <w:szCs w:val="21"/>
                    </w:rPr>
                    <w:t>水产种质资源保护</w:t>
                  </w:r>
                </w:p>
                <w:p>
                  <w:pPr>
                    <w:spacing w:line="240" w:lineRule="auto"/>
                    <w:jc w:val="center"/>
                    <w:rPr>
                      <w:bCs/>
                      <w:sz w:val="21"/>
                      <w:szCs w:val="21"/>
                    </w:rPr>
                  </w:pPr>
                  <w:r>
                    <w:rPr>
                      <w:bCs/>
                      <w:sz w:val="21"/>
                      <w:szCs w:val="21"/>
                    </w:rPr>
                    <w:t>区的核心区</w:t>
                  </w:r>
                </w:p>
              </w:tc>
              <w:tc>
                <w:tcPr>
                  <w:tcW w:w="5082" w:type="dxa"/>
                  <w:noWrap w:val="0"/>
                  <w:vAlign w:val="center"/>
                </w:tcPr>
                <w:p>
                  <w:pPr>
                    <w:spacing w:line="240" w:lineRule="auto"/>
                    <w:jc w:val="left"/>
                    <w:rPr>
                      <w:bCs/>
                      <w:sz w:val="21"/>
                      <w:szCs w:val="21"/>
                    </w:rPr>
                  </w:pPr>
                  <w:r>
                    <w:rPr>
                      <w:bCs/>
                      <w:sz w:val="21"/>
                      <w:szCs w:val="21"/>
                    </w:rPr>
                    <w:t>其中核心区四至范围为乌龟山东南（120°14′05″E，31°19′10″N），乌龟山西南（120°13′03″E，31°19′18″N），乌龟山西北（120°13′42″E，31°23′28″N），乌龟山东北（120°14′47″E，31°23′20″N）</w:t>
                  </w:r>
                </w:p>
              </w:tc>
              <w:tc>
                <w:tcPr>
                  <w:tcW w:w="1342" w:type="dxa"/>
                  <w:noWrap w:val="0"/>
                  <w:vAlign w:val="center"/>
                </w:tcPr>
                <w:p>
                  <w:pPr>
                    <w:spacing w:line="240" w:lineRule="auto"/>
                    <w:jc w:val="center"/>
                    <w:rPr>
                      <w:bCs/>
                      <w:sz w:val="21"/>
                      <w:szCs w:val="21"/>
                    </w:rPr>
                  </w:pPr>
                  <w:r>
                    <w:rPr>
                      <w:bCs/>
                      <w:sz w:val="21"/>
                      <w:szCs w:val="21"/>
                    </w:rPr>
                    <w:t>12.33</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jc w:val="center"/>
              </w:trPr>
              <w:tc>
                <w:tcPr>
                  <w:tcW w:w="1525" w:type="dxa"/>
                  <w:noWrap w:val="0"/>
                  <w:vAlign w:val="center"/>
                </w:tcPr>
                <w:p>
                  <w:pPr>
                    <w:spacing w:line="240" w:lineRule="auto"/>
                    <w:jc w:val="center"/>
                    <w:rPr>
                      <w:bCs/>
                      <w:sz w:val="21"/>
                      <w:szCs w:val="21"/>
                    </w:rPr>
                  </w:pPr>
                  <w:r>
                    <w:rPr>
                      <w:bCs/>
                      <w:sz w:val="21"/>
                      <w:szCs w:val="21"/>
                    </w:rPr>
                    <w:t>太湖重要湿地 （虎丘区）</w:t>
                  </w:r>
                </w:p>
              </w:tc>
              <w:tc>
                <w:tcPr>
                  <w:tcW w:w="1473" w:type="dxa"/>
                  <w:noWrap w:val="0"/>
                  <w:vAlign w:val="center"/>
                </w:tcPr>
                <w:p>
                  <w:pPr>
                    <w:spacing w:line="240" w:lineRule="auto"/>
                    <w:jc w:val="center"/>
                    <w:rPr>
                      <w:bCs/>
                      <w:sz w:val="21"/>
                      <w:szCs w:val="21"/>
                    </w:rPr>
                  </w:pPr>
                  <w:r>
                    <w:rPr>
                      <w:bCs/>
                      <w:sz w:val="21"/>
                      <w:szCs w:val="21"/>
                    </w:rPr>
                    <w:t>重要湖泊湿地</w:t>
                  </w:r>
                </w:p>
              </w:tc>
              <w:tc>
                <w:tcPr>
                  <w:tcW w:w="5082" w:type="dxa"/>
                  <w:noWrap w:val="0"/>
                  <w:vAlign w:val="center"/>
                </w:tcPr>
                <w:p>
                  <w:pPr>
                    <w:spacing w:line="240" w:lineRule="auto"/>
                    <w:jc w:val="left"/>
                    <w:rPr>
                      <w:bCs/>
                      <w:sz w:val="21"/>
                      <w:szCs w:val="21"/>
                    </w:rPr>
                  </w:pPr>
                  <w:r>
                    <w:rPr>
                      <w:bCs/>
                      <w:sz w:val="21"/>
                      <w:szCs w:val="21"/>
                    </w:rPr>
                    <w:t>太湖湖体水域</w:t>
                  </w:r>
                </w:p>
              </w:tc>
              <w:tc>
                <w:tcPr>
                  <w:tcW w:w="1342" w:type="dxa"/>
                  <w:noWrap w:val="0"/>
                  <w:vAlign w:val="center"/>
                </w:tcPr>
                <w:p>
                  <w:pPr>
                    <w:spacing w:line="240" w:lineRule="auto"/>
                    <w:jc w:val="center"/>
                    <w:rPr>
                      <w:bCs/>
                      <w:sz w:val="21"/>
                      <w:szCs w:val="21"/>
                    </w:rPr>
                  </w:pPr>
                  <w:r>
                    <w:rPr>
                      <w:bCs/>
                      <w:sz w:val="21"/>
                      <w:szCs w:val="21"/>
                    </w:rPr>
                    <w:t>112.09</w:t>
                  </w:r>
                </w:p>
              </w:tc>
            </w:tr>
          </w:tbl>
          <w:p>
            <w:pPr>
              <w:ind w:firstLine="480" w:firstLineChars="200"/>
              <w:jc w:val="left"/>
              <w:rPr>
                <w:bCs/>
              </w:rPr>
            </w:pPr>
            <w:r>
              <w:rPr>
                <w:bCs/>
              </w:rPr>
              <w:t>经查对，本项目不在上述生态红线范围内。</w:t>
            </w:r>
          </w:p>
          <w:p>
            <w:pPr>
              <w:ind w:firstLine="480" w:firstLineChars="200"/>
            </w:pPr>
            <w:r>
              <w:t>根据《江苏省生态红线区域保护规划》苏政发〔2013〕113号，项目地周边最近的重要生态保护功能区为江苏大阳山国家森林公园。</w:t>
            </w:r>
          </w:p>
          <w:p>
            <w:pPr>
              <w:tabs>
                <w:tab w:val="left" w:pos="2160"/>
              </w:tabs>
              <w:ind w:firstLine="480" w:firstLineChars="200"/>
            </w:pPr>
            <w:r>
              <w:t>根据规划，项目周边最近的生态红线区域的主导生态功能和保护范围见表2-2。</w:t>
            </w:r>
          </w:p>
          <w:p>
            <w:pPr>
              <w:spacing w:line="480" w:lineRule="exact"/>
              <w:ind w:firstLine="482" w:firstLineChars="200"/>
              <w:jc w:val="center"/>
              <w:rPr>
                <w:b/>
              </w:rPr>
            </w:pPr>
            <w:r>
              <w:rPr>
                <w:b/>
              </w:rPr>
              <w:t>表2-2  生态红线规划保护内容</w:t>
            </w:r>
          </w:p>
          <w:tbl>
            <w:tblPr>
              <w:tblStyle w:val="2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990"/>
              <w:gridCol w:w="940"/>
              <w:gridCol w:w="3968"/>
              <w:gridCol w:w="747"/>
              <w:gridCol w:w="730"/>
              <w:gridCol w:w="80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241" w:type="dxa"/>
                  <w:vMerge w:val="restart"/>
                  <w:tcBorders>
                    <w:top w:val="single" w:color="auto" w:sz="12" w:space="0"/>
                  </w:tcBorders>
                  <w:noWrap w:val="0"/>
                  <w:vAlign w:val="center"/>
                </w:tcPr>
                <w:p>
                  <w:pPr>
                    <w:widowControl/>
                    <w:spacing w:line="240" w:lineRule="auto"/>
                    <w:jc w:val="center"/>
                    <w:rPr>
                      <w:sz w:val="21"/>
                      <w:szCs w:val="21"/>
                    </w:rPr>
                  </w:pPr>
                  <w:r>
                    <w:rPr>
                      <w:sz w:val="21"/>
                      <w:szCs w:val="21"/>
                    </w:rPr>
                    <w:t>红线区域名称</w:t>
                  </w:r>
                </w:p>
              </w:tc>
              <w:tc>
                <w:tcPr>
                  <w:tcW w:w="990" w:type="dxa"/>
                  <w:vMerge w:val="restart"/>
                  <w:tcBorders>
                    <w:top w:val="single" w:color="auto" w:sz="12" w:space="0"/>
                  </w:tcBorders>
                  <w:noWrap w:val="0"/>
                  <w:vAlign w:val="center"/>
                </w:tcPr>
                <w:p>
                  <w:pPr>
                    <w:widowControl/>
                    <w:spacing w:line="240" w:lineRule="auto"/>
                    <w:jc w:val="center"/>
                    <w:rPr>
                      <w:sz w:val="21"/>
                      <w:szCs w:val="21"/>
                    </w:rPr>
                  </w:pPr>
                  <w:r>
                    <w:rPr>
                      <w:sz w:val="21"/>
                      <w:szCs w:val="21"/>
                    </w:rPr>
                    <w:t>主导生态功能</w:t>
                  </w:r>
                </w:p>
              </w:tc>
              <w:tc>
                <w:tcPr>
                  <w:tcW w:w="4908" w:type="dxa"/>
                  <w:gridSpan w:val="2"/>
                  <w:tcBorders>
                    <w:top w:val="single" w:color="auto" w:sz="12" w:space="0"/>
                  </w:tcBorders>
                  <w:noWrap w:val="0"/>
                  <w:vAlign w:val="center"/>
                </w:tcPr>
                <w:p>
                  <w:pPr>
                    <w:widowControl/>
                    <w:spacing w:line="240" w:lineRule="auto"/>
                    <w:ind w:firstLine="420" w:firstLineChars="200"/>
                    <w:jc w:val="center"/>
                    <w:rPr>
                      <w:sz w:val="21"/>
                      <w:szCs w:val="21"/>
                    </w:rPr>
                  </w:pPr>
                  <w:r>
                    <w:rPr>
                      <w:sz w:val="21"/>
                      <w:szCs w:val="21"/>
                    </w:rPr>
                    <w:t>红线区域范围</w:t>
                  </w:r>
                </w:p>
              </w:tc>
              <w:tc>
                <w:tcPr>
                  <w:tcW w:w="2283" w:type="dxa"/>
                  <w:gridSpan w:val="3"/>
                  <w:tcBorders>
                    <w:top w:val="single" w:color="auto" w:sz="12" w:space="0"/>
                  </w:tcBorders>
                  <w:noWrap w:val="0"/>
                  <w:tcMar>
                    <w:left w:w="28" w:type="dxa"/>
                    <w:right w:w="28" w:type="dxa"/>
                  </w:tcMar>
                  <w:vAlign w:val="center"/>
                </w:tcPr>
                <w:p>
                  <w:pPr>
                    <w:widowControl/>
                    <w:spacing w:line="240" w:lineRule="auto"/>
                    <w:jc w:val="center"/>
                    <w:rPr>
                      <w:sz w:val="21"/>
                      <w:szCs w:val="21"/>
                    </w:rPr>
                  </w:pPr>
                  <w:r>
                    <w:rPr>
                      <w:sz w:val="21"/>
                      <w:szCs w:val="21"/>
                    </w:rPr>
                    <w:t>面积（平方公里）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29" w:hRule="atLeast"/>
                <w:tblHeader/>
                <w:jc w:val="center"/>
              </w:trPr>
              <w:tc>
                <w:tcPr>
                  <w:tcW w:w="1241" w:type="dxa"/>
                  <w:vMerge w:val="continue"/>
                  <w:tcBorders>
                    <w:bottom w:val="single" w:color="auto" w:sz="12" w:space="0"/>
                  </w:tcBorders>
                  <w:noWrap w:val="0"/>
                  <w:vAlign w:val="center"/>
                </w:tcPr>
                <w:p>
                  <w:pPr>
                    <w:widowControl/>
                    <w:spacing w:line="240" w:lineRule="auto"/>
                    <w:ind w:firstLine="420" w:firstLineChars="200"/>
                    <w:jc w:val="center"/>
                    <w:rPr>
                      <w:sz w:val="21"/>
                      <w:szCs w:val="21"/>
                    </w:rPr>
                  </w:pPr>
                </w:p>
              </w:tc>
              <w:tc>
                <w:tcPr>
                  <w:tcW w:w="990" w:type="dxa"/>
                  <w:vMerge w:val="continue"/>
                  <w:tcBorders>
                    <w:bottom w:val="single" w:color="auto" w:sz="12" w:space="0"/>
                  </w:tcBorders>
                  <w:noWrap w:val="0"/>
                  <w:vAlign w:val="center"/>
                </w:tcPr>
                <w:p>
                  <w:pPr>
                    <w:widowControl/>
                    <w:spacing w:line="240" w:lineRule="auto"/>
                    <w:ind w:firstLine="420" w:firstLineChars="200"/>
                    <w:jc w:val="center"/>
                    <w:rPr>
                      <w:sz w:val="21"/>
                      <w:szCs w:val="21"/>
                    </w:rPr>
                  </w:pPr>
                </w:p>
              </w:tc>
              <w:tc>
                <w:tcPr>
                  <w:tcW w:w="940" w:type="dxa"/>
                  <w:tcBorders>
                    <w:bottom w:val="single" w:color="auto" w:sz="12" w:space="0"/>
                  </w:tcBorders>
                  <w:noWrap w:val="0"/>
                  <w:vAlign w:val="center"/>
                </w:tcPr>
                <w:p>
                  <w:pPr>
                    <w:widowControl/>
                    <w:spacing w:line="240" w:lineRule="auto"/>
                    <w:ind w:firstLine="105" w:firstLineChars="50"/>
                    <w:jc w:val="center"/>
                    <w:rPr>
                      <w:sz w:val="21"/>
                      <w:szCs w:val="21"/>
                    </w:rPr>
                  </w:pPr>
                  <w:r>
                    <w:rPr>
                      <w:sz w:val="21"/>
                      <w:szCs w:val="21"/>
                    </w:rPr>
                    <w:t>一级管控区</w:t>
                  </w:r>
                </w:p>
              </w:tc>
              <w:tc>
                <w:tcPr>
                  <w:tcW w:w="3968" w:type="dxa"/>
                  <w:tcBorders>
                    <w:bottom w:val="single" w:color="auto" w:sz="12" w:space="0"/>
                  </w:tcBorders>
                  <w:noWrap w:val="0"/>
                  <w:vAlign w:val="center"/>
                </w:tcPr>
                <w:p>
                  <w:pPr>
                    <w:widowControl/>
                    <w:spacing w:line="240" w:lineRule="auto"/>
                    <w:jc w:val="center"/>
                    <w:rPr>
                      <w:sz w:val="21"/>
                      <w:szCs w:val="21"/>
                    </w:rPr>
                  </w:pPr>
                  <w:r>
                    <w:rPr>
                      <w:sz w:val="21"/>
                      <w:szCs w:val="21"/>
                    </w:rPr>
                    <w:t>二级管控区</w:t>
                  </w:r>
                </w:p>
              </w:tc>
              <w:tc>
                <w:tcPr>
                  <w:tcW w:w="747" w:type="dxa"/>
                  <w:tcBorders>
                    <w:bottom w:val="single" w:color="auto" w:sz="12" w:space="0"/>
                  </w:tcBorders>
                  <w:noWrap w:val="0"/>
                  <w:tcMar>
                    <w:left w:w="28" w:type="dxa"/>
                    <w:right w:w="28" w:type="dxa"/>
                  </w:tcMar>
                  <w:vAlign w:val="center"/>
                </w:tcPr>
                <w:p>
                  <w:pPr>
                    <w:widowControl/>
                    <w:spacing w:line="240" w:lineRule="auto"/>
                    <w:jc w:val="center"/>
                    <w:rPr>
                      <w:sz w:val="21"/>
                      <w:szCs w:val="21"/>
                    </w:rPr>
                  </w:pPr>
                  <w:r>
                    <w:rPr>
                      <w:sz w:val="21"/>
                      <w:szCs w:val="21"/>
                    </w:rPr>
                    <w:t>总面积</w:t>
                  </w:r>
                </w:p>
              </w:tc>
              <w:tc>
                <w:tcPr>
                  <w:tcW w:w="730" w:type="dxa"/>
                  <w:tcBorders>
                    <w:bottom w:val="single" w:color="auto" w:sz="12" w:space="0"/>
                  </w:tcBorders>
                  <w:noWrap w:val="0"/>
                  <w:tcMar>
                    <w:left w:w="28" w:type="dxa"/>
                    <w:right w:w="28" w:type="dxa"/>
                  </w:tcMar>
                  <w:vAlign w:val="center"/>
                </w:tcPr>
                <w:p>
                  <w:pPr>
                    <w:widowControl/>
                    <w:spacing w:line="240" w:lineRule="auto"/>
                    <w:jc w:val="center"/>
                    <w:rPr>
                      <w:sz w:val="21"/>
                      <w:szCs w:val="21"/>
                    </w:rPr>
                  </w:pPr>
                  <w:r>
                    <w:rPr>
                      <w:sz w:val="21"/>
                      <w:szCs w:val="21"/>
                    </w:rPr>
                    <w:t>一级管控区</w:t>
                  </w:r>
                </w:p>
              </w:tc>
              <w:tc>
                <w:tcPr>
                  <w:tcW w:w="806" w:type="dxa"/>
                  <w:tcBorders>
                    <w:bottom w:val="single" w:color="auto" w:sz="12" w:space="0"/>
                  </w:tcBorders>
                  <w:noWrap w:val="0"/>
                  <w:tcMar>
                    <w:left w:w="28" w:type="dxa"/>
                    <w:right w:w="28" w:type="dxa"/>
                  </w:tcMar>
                  <w:vAlign w:val="center"/>
                </w:tcPr>
                <w:p>
                  <w:pPr>
                    <w:widowControl/>
                    <w:spacing w:line="240" w:lineRule="auto"/>
                    <w:jc w:val="center"/>
                    <w:rPr>
                      <w:sz w:val="21"/>
                      <w:szCs w:val="21"/>
                    </w:rPr>
                  </w:pPr>
                  <w:r>
                    <w:rPr>
                      <w:sz w:val="21"/>
                      <w:szCs w:val="21"/>
                    </w:rPr>
                    <w:t>二级管控区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1" w:type="dxa"/>
                  <w:tcBorders>
                    <w:top w:val="single" w:color="auto" w:sz="12" w:space="0"/>
                    <w:bottom w:val="single" w:color="auto" w:sz="12" w:space="0"/>
                  </w:tcBorders>
                  <w:noWrap w:val="0"/>
                  <w:vAlign w:val="center"/>
                </w:tcPr>
                <w:p>
                  <w:pPr>
                    <w:spacing w:line="240" w:lineRule="auto"/>
                    <w:jc w:val="center"/>
                    <w:rPr>
                      <w:sz w:val="21"/>
                      <w:szCs w:val="21"/>
                    </w:rPr>
                  </w:pPr>
                  <w:r>
                    <w:rPr>
                      <w:sz w:val="21"/>
                      <w:szCs w:val="21"/>
                    </w:rPr>
                    <w:t>江苏大阳山国家森林公园</w:t>
                  </w:r>
                </w:p>
              </w:tc>
              <w:tc>
                <w:tcPr>
                  <w:tcW w:w="990" w:type="dxa"/>
                  <w:tcBorders>
                    <w:top w:val="single" w:color="auto" w:sz="12" w:space="0"/>
                    <w:bottom w:val="single" w:color="auto" w:sz="12" w:space="0"/>
                  </w:tcBorders>
                  <w:noWrap w:val="0"/>
                  <w:vAlign w:val="center"/>
                </w:tcPr>
                <w:p>
                  <w:pPr>
                    <w:spacing w:line="240" w:lineRule="auto"/>
                    <w:jc w:val="center"/>
                    <w:rPr>
                      <w:sz w:val="21"/>
                      <w:szCs w:val="21"/>
                    </w:rPr>
                  </w:pPr>
                  <w:r>
                    <w:rPr>
                      <w:sz w:val="21"/>
                      <w:szCs w:val="21"/>
                    </w:rPr>
                    <w:t>自然与人文景观保护</w:t>
                  </w:r>
                </w:p>
              </w:tc>
              <w:tc>
                <w:tcPr>
                  <w:tcW w:w="940" w:type="dxa"/>
                  <w:tcBorders>
                    <w:top w:val="single" w:color="auto" w:sz="12" w:space="0"/>
                    <w:bottom w:val="single" w:color="auto" w:sz="12" w:space="0"/>
                  </w:tcBorders>
                  <w:noWrap w:val="0"/>
                  <w:vAlign w:val="center"/>
                </w:tcPr>
                <w:p>
                  <w:pPr>
                    <w:spacing w:line="240" w:lineRule="auto"/>
                    <w:jc w:val="center"/>
                    <w:rPr>
                      <w:sz w:val="21"/>
                      <w:szCs w:val="21"/>
                    </w:rPr>
                  </w:pPr>
                  <w:r>
                    <w:rPr>
                      <w:sz w:val="21"/>
                      <w:szCs w:val="21"/>
                    </w:rPr>
                    <w:t>/</w:t>
                  </w:r>
                </w:p>
              </w:tc>
              <w:tc>
                <w:tcPr>
                  <w:tcW w:w="3968" w:type="dxa"/>
                  <w:tcBorders>
                    <w:top w:val="single" w:color="auto" w:sz="12" w:space="0"/>
                    <w:bottom w:val="single" w:color="auto" w:sz="12" w:space="0"/>
                  </w:tcBorders>
                  <w:noWrap w:val="0"/>
                  <w:vAlign w:val="center"/>
                </w:tcPr>
                <w:p>
                  <w:pPr>
                    <w:spacing w:line="240" w:lineRule="auto"/>
                    <w:jc w:val="left"/>
                    <w:rPr>
                      <w:sz w:val="21"/>
                      <w:szCs w:val="21"/>
                    </w:rPr>
                  </w:pPr>
                  <w:r>
                    <w:rPr>
                      <w:sz w:val="21"/>
                      <w:szCs w:val="21"/>
                    </w:rPr>
                    <w:t>阳山环路以西，兴贤路以南，太湖大道以北，阳山环路西线以东，区域内包括浒关分区、东渚镇、通安镇、阳山林场，涉及新民村、石林村、观山村、香桥村、树山村、青峰村、宝山村、阳山村</w:t>
                  </w:r>
                </w:p>
              </w:tc>
              <w:tc>
                <w:tcPr>
                  <w:tcW w:w="747" w:type="dxa"/>
                  <w:tcBorders>
                    <w:top w:val="single" w:color="auto" w:sz="12" w:space="0"/>
                    <w:bottom w:val="single" w:color="auto" w:sz="12" w:space="0"/>
                  </w:tcBorders>
                  <w:noWrap w:val="0"/>
                  <w:tcMar>
                    <w:left w:w="28" w:type="dxa"/>
                    <w:right w:w="28" w:type="dxa"/>
                  </w:tcMar>
                  <w:vAlign w:val="center"/>
                </w:tcPr>
                <w:p>
                  <w:pPr>
                    <w:spacing w:line="240" w:lineRule="auto"/>
                    <w:jc w:val="center"/>
                    <w:rPr>
                      <w:sz w:val="21"/>
                      <w:szCs w:val="21"/>
                    </w:rPr>
                  </w:pPr>
                  <w:r>
                    <w:rPr>
                      <w:sz w:val="21"/>
                      <w:szCs w:val="21"/>
                    </w:rPr>
                    <w:t>10.3</w:t>
                  </w:r>
                </w:p>
              </w:tc>
              <w:tc>
                <w:tcPr>
                  <w:tcW w:w="730" w:type="dxa"/>
                  <w:tcBorders>
                    <w:top w:val="single" w:color="auto" w:sz="12" w:space="0"/>
                    <w:bottom w:val="single" w:color="auto" w:sz="12" w:space="0"/>
                  </w:tcBorders>
                  <w:noWrap w:val="0"/>
                  <w:tcMar>
                    <w:left w:w="28" w:type="dxa"/>
                    <w:right w:w="28" w:type="dxa"/>
                  </w:tcMar>
                  <w:vAlign w:val="center"/>
                </w:tcPr>
                <w:p>
                  <w:pPr>
                    <w:spacing w:line="240" w:lineRule="auto"/>
                    <w:jc w:val="center"/>
                    <w:rPr>
                      <w:sz w:val="21"/>
                      <w:szCs w:val="21"/>
                    </w:rPr>
                  </w:pPr>
                  <w:r>
                    <w:rPr>
                      <w:sz w:val="21"/>
                      <w:szCs w:val="21"/>
                    </w:rPr>
                    <w:t>/</w:t>
                  </w:r>
                </w:p>
              </w:tc>
              <w:tc>
                <w:tcPr>
                  <w:tcW w:w="806" w:type="dxa"/>
                  <w:tcBorders>
                    <w:top w:val="single" w:color="auto" w:sz="12" w:space="0"/>
                    <w:bottom w:val="single" w:color="auto" w:sz="12" w:space="0"/>
                  </w:tcBorders>
                  <w:noWrap w:val="0"/>
                  <w:tcMar>
                    <w:left w:w="28" w:type="dxa"/>
                    <w:right w:w="28" w:type="dxa"/>
                  </w:tcMar>
                  <w:vAlign w:val="center"/>
                </w:tcPr>
                <w:p>
                  <w:pPr>
                    <w:spacing w:line="240" w:lineRule="auto"/>
                    <w:jc w:val="center"/>
                    <w:rPr>
                      <w:sz w:val="21"/>
                      <w:szCs w:val="21"/>
                    </w:rPr>
                  </w:pPr>
                  <w:r>
                    <w:rPr>
                      <w:sz w:val="21"/>
                      <w:szCs w:val="21"/>
                    </w:rPr>
                    <w:t>10.3</w:t>
                  </w:r>
                </w:p>
              </w:tc>
            </w:tr>
          </w:tbl>
          <w:p>
            <w:pPr>
              <w:pStyle w:val="2"/>
              <w:ind w:firstLine="480"/>
            </w:pPr>
            <w:r>
              <w:t>本项目距江苏大阳山国家森林公园约</w:t>
            </w:r>
            <w:r>
              <w:rPr>
                <w:rFonts w:hint="eastAsia"/>
                <w:lang w:val="en-US" w:eastAsia="zh-CN"/>
              </w:rPr>
              <w:t>1000</w:t>
            </w:r>
            <w:r>
              <w:t>m，不在其二级管控区范围内。</w:t>
            </w:r>
          </w:p>
          <w:p>
            <w:pPr>
              <w:pStyle w:val="2"/>
              <w:ind w:firstLine="480"/>
            </w:pPr>
            <w:r>
              <w:t>（2）与环境质量底线的相符性分析</w:t>
            </w:r>
          </w:p>
          <w:p>
            <w:pPr>
              <w:pStyle w:val="2"/>
              <w:ind w:firstLine="480"/>
            </w:pPr>
            <w:r>
              <w:t>根据项目地2018年苏州高新区环境质量公报，大气属于未达标区域、水属于达标区域、声环境质量较好，具有一定的环境容量。在严格落实本次评价提出的各项环保治理措施要求后，经预测分析，本项目生产过程中产生的无组织废气对区域环境空气质量影响较小；项目生活污水经市政污水管网接入新区第二污水处理厂集中处理，对该污水处理厂的影响较小；项目建成后对周围的声环境影响较小，且附近无居民区敏感点，不会改变周围环境的功能属性，项目的建设符合声环境功能区要求。项目建设符合当地环境功能区划。</w:t>
            </w:r>
          </w:p>
          <w:p>
            <w:pPr>
              <w:pStyle w:val="2"/>
              <w:ind w:firstLine="480"/>
            </w:pPr>
            <w:r>
              <w:t>因此，本项目的建设不会突破当地环境质量底线。</w:t>
            </w:r>
          </w:p>
          <w:p>
            <w:pPr>
              <w:pStyle w:val="2"/>
              <w:ind w:firstLine="480"/>
            </w:pPr>
            <w:r>
              <w:t>（3）与资源利用上线的对照分析</w:t>
            </w:r>
          </w:p>
          <w:p>
            <w:pPr>
              <w:pStyle w:val="2"/>
              <w:ind w:firstLine="480"/>
            </w:pPr>
            <w:r>
              <w:t>本项目所用资源主要为水、电，苏州高新区环保产业园有完善的给水、排水、供电等基础设施，可满足本项目运行的要求。</w:t>
            </w:r>
          </w:p>
          <w:p>
            <w:pPr>
              <w:pStyle w:val="2"/>
              <w:ind w:firstLine="480"/>
            </w:pPr>
            <w:r>
              <w:t>因此，本项目建设符合资源利用上线标准。</w:t>
            </w:r>
          </w:p>
          <w:p>
            <w:pPr>
              <w:pStyle w:val="2"/>
              <w:ind w:firstLine="480"/>
            </w:pPr>
            <w:r>
              <w:t>（4）环境准入负面清单</w:t>
            </w:r>
          </w:p>
          <w:p>
            <w:pPr>
              <w:pStyle w:val="2"/>
              <w:ind w:firstLine="480"/>
            </w:pPr>
            <w:r>
              <w:t>本项目所在地位于苏州高新区</w:t>
            </w:r>
            <w:r>
              <w:rPr>
                <w:rFonts w:hint="eastAsia"/>
                <w:color w:val="auto"/>
              </w:rPr>
              <w:t>浒关分区东金芝路56号</w:t>
            </w:r>
            <w:r>
              <w:t>，属于工业用地（附土地证）；本项目为</w:t>
            </w:r>
            <w:r>
              <w:rPr>
                <w:rFonts w:hint="eastAsia"/>
                <w:lang w:val="en-US" w:eastAsia="zh-CN"/>
              </w:rPr>
              <w:t>塑料制品</w:t>
            </w:r>
            <w:r>
              <w:t>行业，不属于高新区禁止建设项目，与产业定位相符。</w:t>
            </w:r>
          </w:p>
          <w:p>
            <w:pPr>
              <w:autoSpaceDE w:val="0"/>
              <w:autoSpaceDN w:val="0"/>
              <w:ind w:firstLine="480" w:firstLineChars="200"/>
              <w:jc w:val="left"/>
              <w:rPr>
                <w:rFonts w:hint="default"/>
                <w:kern w:val="0"/>
              </w:rPr>
            </w:pPr>
            <w:r>
              <w:t>本项目符合高新区发展规划，不在环境准入负面清单中。</w:t>
            </w:r>
          </w:p>
        </w:tc>
      </w:tr>
    </w:tbl>
    <w:p>
      <w:r>
        <w:br w:type="page"/>
      </w:r>
    </w:p>
    <w:p>
      <w:pPr>
        <w:pStyle w:val="22"/>
        <w:jc w:val="left"/>
        <w:rPr>
          <w:rFonts w:ascii="Times New Roman" w:hAnsi="Times New Roman"/>
          <w:sz w:val="28"/>
        </w:rPr>
      </w:pPr>
      <w:bookmarkStart w:id="6" w:name="_Toc26412"/>
      <w:r>
        <w:rPr>
          <w:rFonts w:ascii="Times New Roman" w:hAnsi="Times New Roman"/>
          <w:sz w:val="28"/>
        </w:rPr>
        <w:t>三、环境质量状况</w:t>
      </w:r>
      <w:bookmarkEnd w:id="6"/>
    </w:p>
    <w:tbl>
      <w:tblPr>
        <w:tblStyle w:val="27"/>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23" w:hRule="atLeast"/>
          <w:jc w:val="center"/>
        </w:trPr>
        <w:tc>
          <w:tcPr>
            <w:tcW w:w="9639" w:type="dxa"/>
          </w:tcPr>
          <w:p>
            <w:pPr>
              <w:rPr>
                <w:b/>
              </w:rPr>
            </w:pPr>
            <w:r>
              <w:rPr>
                <w:b/>
              </w:rPr>
              <w:t>建设项目所在地区域环境质量现状及主要环境问题（环境空气、地面水、地下水、声环境、辐射环境、生态环境等）</w:t>
            </w:r>
          </w:p>
          <w:p>
            <w:pPr>
              <w:adjustRightInd w:val="0"/>
              <w:snapToGrid w:val="0"/>
              <w:ind w:firstLine="482" w:firstLineChars="200"/>
              <w:rPr>
                <w:b/>
                <w:color w:val="FF0000"/>
              </w:rPr>
            </w:pPr>
            <w:r>
              <w:rPr>
                <w:b/>
              </w:rPr>
              <w:t>1、大气环境质量现状</w:t>
            </w:r>
          </w:p>
          <w:p>
            <w:pPr>
              <w:tabs>
                <w:tab w:val="left" w:pos="720"/>
              </w:tabs>
              <w:autoSpaceDE w:val="0"/>
              <w:autoSpaceDN w:val="0"/>
              <w:spacing w:line="360" w:lineRule="auto"/>
              <w:ind w:firstLine="480"/>
              <w:jc w:val="left"/>
              <w:rPr>
                <w:rFonts w:hint="eastAsia"/>
                <w:sz w:val="24"/>
                <w:lang w:val="en-US" w:eastAsia="zh-CN"/>
              </w:rPr>
            </w:pPr>
            <w:r>
              <w:rPr>
                <w:rFonts w:hint="eastAsia"/>
                <w:sz w:val="24"/>
              </w:rPr>
              <w:t>根据</w:t>
            </w:r>
            <w:r>
              <w:rPr>
                <w:rFonts w:hint="eastAsia"/>
                <w:sz w:val="24"/>
                <w:lang w:val="en-US" w:eastAsia="zh-CN"/>
              </w:rPr>
              <w:t>2019年度苏州高新区环境质量公报。</w:t>
            </w:r>
          </w:p>
          <w:p>
            <w:pPr>
              <w:tabs>
                <w:tab w:val="left" w:pos="720"/>
              </w:tabs>
              <w:autoSpaceDE w:val="0"/>
              <w:autoSpaceDN w:val="0"/>
              <w:spacing w:line="360" w:lineRule="auto"/>
              <w:ind w:firstLine="480"/>
              <w:jc w:val="left"/>
              <w:rPr>
                <w:rFonts w:hint="default"/>
                <w:b/>
                <w:bCs/>
                <w:sz w:val="24"/>
                <w:lang w:val="en-US" w:eastAsia="zh-CN"/>
              </w:rPr>
            </w:pPr>
            <w:r>
              <w:rPr>
                <w:rFonts w:hint="default"/>
                <w:b/>
                <w:bCs/>
                <w:sz w:val="24"/>
                <w:lang w:val="en-US" w:eastAsia="zh-CN"/>
              </w:rPr>
              <w:t>（一）空气质量优良率</w:t>
            </w:r>
          </w:p>
          <w:p>
            <w:pPr>
              <w:tabs>
                <w:tab w:val="left" w:pos="720"/>
              </w:tabs>
              <w:autoSpaceDE w:val="0"/>
              <w:autoSpaceDN w:val="0"/>
              <w:spacing w:line="360" w:lineRule="auto"/>
              <w:ind w:firstLine="480"/>
              <w:jc w:val="left"/>
              <w:rPr>
                <w:rFonts w:hint="default"/>
                <w:sz w:val="24"/>
                <w:lang w:val="en-US" w:eastAsia="zh-CN"/>
              </w:rPr>
            </w:pPr>
            <w:r>
              <w:rPr>
                <w:rFonts w:hint="default"/>
                <w:sz w:val="24"/>
                <w:lang w:val="en-US" w:eastAsia="zh-CN"/>
              </w:rPr>
              <w:t>2019年，苏州高新区环境空气质量持续改善，全年空气质量（AQI）优良率为78.0%。优的比率为22.0%，良的比率为56.0%，轻度污染的比率为19.5%，中度污染的比率为2.5%。</w:t>
            </w:r>
          </w:p>
          <w:p>
            <w:pPr>
              <w:tabs>
                <w:tab w:val="left" w:pos="720"/>
              </w:tabs>
              <w:autoSpaceDE w:val="0"/>
              <w:autoSpaceDN w:val="0"/>
              <w:spacing w:line="360" w:lineRule="auto"/>
              <w:ind w:firstLine="480"/>
              <w:jc w:val="left"/>
              <w:rPr>
                <w:rFonts w:hint="default"/>
                <w:b/>
                <w:bCs/>
                <w:sz w:val="24"/>
                <w:lang w:val="en-US" w:eastAsia="zh-CN"/>
              </w:rPr>
            </w:pPr>
            <w:r>
              <w:rPr>
                <w:rFonts w:hint="default"/>
                <w:b/>
                <w:bCs/>
                <w:sz w:val="24"/>
                <w:lang w:val="en-US" w:eastAsia="zh-CN"/>
              </w:rPr>
              <w:t>（二）主要污染物</w:t>
            </w:r>
          </w:p>
          <w:p>
            <w:pPr>
              <w:tabs>
                <w:tab w:val="left" w:pos="720"/>
              </w:tabs>
              <w:autoSpaceDE w:val="0"/>
              <w:autoSpaceDN w:val="0"/>
              <w:spacing w:line="360" w:lineRule="auto"/>
              <w:ind w:firstLine="480"/>
              <w:jc w:val="left"/>
              <w:rPr>
                <w:rFonts w:hint="default"/>
                <w:sz w:val="24"/>
                <w:lang w:val="en-US" w:eastAsia="zh-CN"/>
              </w:rPr>
            </w:pPr>
            <w:r>
              <w:rPr>
                <w:rFonts w:hint="default"/>
                <w:sz w:val="24"/>
                <w:lang w:val="en-US" w:eastAsia="zh-CN"/>
              </w:rPr>
              <w:t>细颗粒物（PM</w:t>
            </w:r>
            <w:r>
              <w:rPr>
                <w:rFonts w:hint="default"/>
                <w:sz w:val="24"/>
                <w:vertAlign w:val="subscript"/>
                <w:lang w:val="en-US" w:eastAsia="zh-CN"/>
              </w:rPr>
              <w:t>2.5</w:t>
            </w:r>
            <w:r>
              <w:rPr>
                <w:rFonts w:hint="default"/>
                <w:sz w:val="24"/>
                <w:lang w:val="en-US" w:eastAsia="zh-CN"/>
              </w:rPr>
              <w:t>）年均浓度为40微克/立方米，超过国家二级标准（35微克/立方米）0.14倍。</w:t>
            </w:r>
          </w:p>
          <w:p>
            <w:pPr>
              <w:tabs>
                <w:tab w:val="left" w:pos="720"/>
              </w:tabs>
              <w:autoSpaceDE w:val="0"/>
              <w:autoSpaceDN w:val="0"/>
              <w:spacing w:line="360" w:lineRule="auto"/>
              <w:ind w:firstLine="480"/>
              <w:jc w:val="left"/>
              <w:rPr>
                <w:rFonts w:hint="default"/>
                <w:sz w:val="24"/>
                <w:lang w:val="en-US" w:eastAsia="zh-CN"/>
              </w:rPr>
            </w:pPr>
            <w:r>
              <w:rPr>
                <w:rFonts w:hint="default"/>
                <w:sz w:val="24"/>
                <w:lang w:val="en-US" w:eastAsia="zh-CN"/>
              </w:rPr>
              <w:t>可吸入颗粒物（PM</w:t>
            </w:r>
            <w:r>
              <w:rPr>
                <w:rFonts w:hint="default"/>
                <w:sz w:val="24"/>
                <w:vertAlign w:val="subscript"/>
                <w:lang w:val="en-US" w:eastAsia="zh-CN"/>
              </w:rPr>
              <w:t>10</w:t>
            </w:r>
            <w:r>
              <w:rPr>
                <w:rFonts w:hint="default"/>
                <w:sz w:val="24"/>
                <w:lang w:val="en-US" w:eastAsia="zh-CN"/>
              </w:rPr>
              <w:t>）年均浓度为58微克/立方米，达到国家二级标准（70微克/立方米）。</w:t>
            </w:r>
          </w:p>
          <w:p>
            <w:pPr>
              <w:tabs>
                <w:tab w:val="left" w:pos="720"/>
              </w:tabs>
              <w:autoSpaceDE w:val="0"/>
              <w:autoSpaceDN w:val="0"/>
              <w:spacing w:line="360" w:lineRule="auto"/>
              <w:ind w:firstLine="480"/>
              <w:jc w:val="left"/>
              <w:rPr>
                <w:rFonts w:hint="default"/>
                <w:sz w:val="24"/>
                <w:lang w:val="en-US" w:eastAsia="zh-CN"/>
              </w:rPr>
            </w:pPr>
            <w:r>
              <w:rPr>
                <w:rFonts w:hint="default"/>
                <w:sz w:val="24"/>
                <w:lang w:val="en-US" w:eastAsia="zh-CN"/>
              </w:rPr>
              <w:t>二氧化氮（NO</w:t>
            </w:r>
            <w:r>
              <w:rPr>
                <w:rFonts w:hint="default"/>
                <w:sz w:val="24"/>
                <w:vertAlign w:val="subscript"/>
                <w:lang w:val="en-US" w:eastAsia="zh-CN"/>
              </w:rPr>
              <w:t>2</w:t>
            </w:r>
            <w:r>
              <w:rPr>
                <w:rFonts w:hint="default"/>
                <w:sz w:val="24"/>
                <w:lang w:val="en-US" w:eastAsia="zh-CN"/>
              </w:rPr>
              <w:t>）年均浓度为35微克/立方米，达到国家二级标准（40微克/立方米）。</w:t>
            </w:r>
          </w:p>
          <w:p>
            <w:pPr>
              <w:tabs>
                <w:tab w:val="left" w:pos="720"/>
              </w:tabs>
              <w:autoSpaceDE w:val="0"/>
              <w:autoSpaceDN w:val="0"/>
              <w:spacing w:line="360" w:lineRule="auto"/>
              <w:ind w:firstLine="480"/>
              <w:jc w:val="left"/>
              <w:rPr>
                <w:rFonts w:hint="default"/>
                <w:sz w:val="24"/>
                <w:lang w:val="en-US" w:eastAsia="zh-CN"/>
              </w:rPr>
            </w:pPr>
            <w:r>
              <w:rPr>
                <w:rFonts w:hint="default"/>
                <w:sz w:val="24"/>
                <w:lang w:val="en-US" w:eastAsia="zh-CN"/>
              </w:rPr>
              <w:t>二氧化硫（SO</w:t>
            </w:r>
            <w:r>
              <w:rPr>
                <w:rFonts w:hint="default"/>
                <w:sz w:val="24"/>
                <w:vertAlign w:val="subscript"/>
                <w:lang w:val="en-US" w:eastAsia="zh-CN"/>
              </w:rPr>
              <w:t>2</w:t>
            </w:r>
            <w:r>
              <w:rPr>
                <w:rFonts w:hint="default"/>
                <w:sz w:val="24"/>
                <w:lang w:val="en-US" w:eastAsia="zh-CN"/>
              </w:rPr>
              <w:t>）年均浓度为6微克/立方米，优于国家一级标准（20微克/立方米）。</w:t>
            </w:r>
          </w:p>
          <w:p>
            <w:pPr>
              <w:tabs>
                <w:tab w:val="left" w:pos="720"/>
              </w:tabs>
              <w:autoSpaceDE w:val="0"/>
              <w:autoSpaceDN w:val="0"/>
              <w:spacing w:line="360" w:lineRule="auto"/>
              <w:ind w:firstLine="480"/>
              <w:jc w:val="left"/>
              <w:rPr>
                <w:rFonts w:hint="default"/>
                <w:sz w:val="24"/>
                <w:lang w:val="en-US" w:eastAsia="zh-CN"/>
              </w:rPr>
            </w:pPr>
            <w:r>
              <w:rPr>
                <w:rFonts w:hint="default"/>
                <w:sz w:val="24"/>
                <w:lang w:val="en-US" w:eastAsia="zh-CN"/>
              </w:rPr>
              <w:t>臭氧（O</w:t>
            </w:r>
            <w:r>
              <w:rPr>
                <w:rFonts w:hint="default"/>
                <w:sz w:val="24"/>
                <w:vertAlign w:val="subscript"/>
                <w:lang w:val="en-US" w:eastAsia="zh-CN"/>
              </w:rPr>
              <w:t>3</w:t>
            </w:r>
            <w:r>
              <w:rPr>
                <w:rFonts w:hint="default"/>
                <w:sz w:val="24"/>
                <w:lang w:val="en-US" w:eastAsia="zh-CN"/>
              </w:rPr>
              <w:t>）日最大8小时滑动平均值的第90百分位数为164微克/立方米，超过国家二级标准（160微克/立方米）0.02倍。</w:t>
            </w:r>
          </w:p>
          <w:p>
            <w:pPr>
              <w:tabs>
                <w:tab w:val="left" w:pos="720"/>
              </w:tabs>
              <w:autoSpaceDE w:val="0"/>
              <w:autoSpaceDN w:val="0"/>
              <w:spacing w:line="360" w:lineRule="auto"/>
              <w:ind w:firstLine="480"/>
              <w:jc w:val="left"/>
              <w:rPr>
                <w:rFonts w:hint="default"/>
                <w:sz w:val="24"/>
                <w:lang w:val="en-US" w:eastAsia="zh-CN"/>
              </w:rPr>
            </w:pPr>
            <w:r>
              <w:rPr>
                <w:rFonts w:hint="default"/>
                <w:sz w:val="24"/>
                <w:lang w:val="en-US" w:eastAsia="zh-CN"/>
              </w:rPr>
              <w:t>一氧化碳（CO）24小时平均第95百分位数为1.2毫克/立方米，优于国家一级标准（4毫克/立方米）。</w:t>
            </w:r>
          </w:p>
          <w:p>
            <w:pPr>
              <w:tabs>
                <w:tab w:val="left" w:pos="720"/>
              </w:tabs>
              <w:autoSpaceDE w:val="0"/>
              <w:autoSpaceDN w:val="0"/>
              <w:spacing w:line="360" w:lineRule="auto"/>
              <w:ind w:firstLine="480"/>
              <w:jc w:val="left"/>
              <w:rPr>
                <w:rFonts w:hint="default"/>
                <w:b/>
                <w:bCs/>
                <w:sz w:val="24"/>
                <w:lang w:val="en-US" w:eastAsia="zh-CN"/>
              </w:rPr>
            </w:pPr>
            <w:r>
              <w:rPr>
                <w:rFonts w:hint="default"/>
                <w:b/>
                <w:bCs/>
                <w:sz w:val="24"/>
                <w:lang w:val="en-US" w:eastAsia="zh-CN"/>
              </w:rPr>
              <w:t>（三）酸雨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color w:val="auto"/>
                <w:sz w:val="24"/>
              </w:rPr>
            </w:pPr>
            <w:r>
              <w:rPr>
                <w:rFonts w:hint="default"/>
                <w:sz w:val="24"/>
                <w:lang w:val="en-US" w:eastAsia="zh-CN"/>
              </w:rPr>
              <w:t>苏州高新区酸雨发生频率为25.0%，pH范围在4.52～6.29之间，年均值5.92。</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b/>
                <w:bCs/>
                <w:color w:val="auto"/>
                <w:sz w:val="21"/>
                <w:szCs w:val="21"/>
              </w:rPr>
            </w:pPr>
            <w:r>
              <w:rPr>
                <w:rFonts w:hint="default" w:ascii="Times New Roman" w:hAnsi="Times New Roman" w:cs="Times New Roman"/>
                <w:b/>
                <w:color w:val="auto"/>
                <w:sz w:val="21"/>
                <w:szCs w:val="21"/>
              </w:rPr>
              <w:t>表3-1  2018年苏州市</w:t>
            </w:r>
            <w:r>
              <w:rPr>
                <w:rFonts w:hint="default" w:ascii="Times New Roman" w:hAnsi="Times New Roman" w:cs="Times New Roman"/>
                <w:b/>
                <w:color w:val="auto"/>
                <w:sz w:val="21"/>
                <w:szCs w:val="21"/>
                <w:lang w:eastAsia="zh-CN"/>
              </w:rPr>
              <w:t>高新</w:t>
            </w:r>
            <w:r>
              <w:rPr>
                <w:rFonts w:hint="default" w:ascii="Times New Roman" w:hAnsi="Times New Roman" w:cs="Times New Roman"/>
                <w:b/>
                <w:color w:val="auto"/>
                <w:sz w:val="21"/>
                <w:szCs w:val="21"/>
              </w:rPr>
              <w:t>区空气质量现状评价表</w:t>
            </w:r>
          </w:p>
          <w:tbl>
            <w:tblPr>
              <w:tblStyle w:val="26"/>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73"/>
              <w:gridCol w:w="2852"/>
              <w:gridCol w:w="1898"/>
              <w:gridCol w:w="1898"/>
              <w:gridCol w:w="189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污染物</w:t>
                  </w:r>
                </w:p>
              </w:tc>
              <w:tc>
                <w:tcPr>
                  <w:tcW w:w="1513"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年评价指标</w:t>
                  </w:r>
                </w:p>
              </w:tc>
              <w:tc>
                <w:tcPr>
                  <w:tcW w:w="1007"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现状浓度</w:t>
                  </w:r>
                </w:p>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（μg/m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w:t>
                  </w:r>
                </w:p>
              </w:tc>
              <w:tc>
                <w:tcPr>
                  <w:tcW w:w="1007"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标准值</w:t>
                  </w:r>
                </w:p>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（μg/m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w:t>
                  </w:r>
                </w:p>
              </w:tc>
              <w:tc>
                <w:tcPr>
                  <w:tcW w:w="1007"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vMerge w:val="restar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SO</w:t>
                  </w:r>
                  <w:r>
                    <w:rPr>
                      <w:rFonts w:hint="default" w:ascii="Times New Roman" w:hAnsi="Times New Roman" w:eastAsia="宋体" w:cs="Times New Roman"/>
                      <w:color w:val="auto"/>
                      <w:sz w:val="21"/>
                      <w:szCs w:val="21"/>
                      <w:vertAlign w:val="subscript"/>
                    </w:rPr>
                    <w:t>2</w:t>
                  </w:r>
                </w:p>
              </w:tc>
              <w:tc>
                <w:tcPr>
                  <w:tcW w:w="1513"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年平均</w:t>
                  </w:r>
                </w:p>
              </w:tc>
              <w:tc>
                <w:tcPr>
                  <w:tcW w:w="1007" w:type="pct"/>
                  <w:noWrap w:val="0"/>
                  <w:vAlign w:val="center"/>
                </w:tcPr>
                <w:p>
                  <w:pPr>
                    <w:spacing w:line="240" w:lineRule="auto"/>
                    <w:jc w:val="center"/>
                    <w:rPr>
                      <w:rFonts w:hint="eastAsia" w:ascii="Times New Roman" w:hAnsi="Times New Roman" w:eastAsia="宋体" w:cs="Times New Roman"/>
                      <w:color w:val="auto"/>
                      <w:sz w:val="21"/>
                      <w:szCs w:val="21"/>
                      <w:lang w:eastAsia="zh-CN"/>
                    </w:rPr>
                  </w:pPr>
                  <w:r>
                    <w:rPr>
                      <w:rFonts w:hint="eastAsia" w:cs="Times New Roman"/>
                      <w:color w:val="auto"/>
                      <w:sz w:val="21"/>
                      <w:szCs w:val="21"/>
                      <w:lang w:val="en-US" w:eastAsia="zh-CN"/>
                    </w:rPr>
                    <w:t>6</w:t>
                  </w:r>
                </w:p>
              </w:tc>
              <w:tc>
                <w:tcPr>
                  <w:tcW w:w="1007"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60</w:t>
                  </w:r>
                </w:p>
              </w:tc>
              <w:tc>
                <w:tcPr>
                  <w:tcW w:w="1007"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vMerge w:val="continue"/>
                  <w:noWrap w:val="0"/>
                  <w:vAlign w:val="center"/>
                </w:tcPr>
                <w:p>
                  <w:pPr>
                    <w:spacing w:line="240" w:lineRule="auto"/>
                    <w:jc w:val="center"/>
                    <w:rPr>
                      <w:rFonts w:hint="default" w:ascii="Times New Roman" w:hAnsi="Times New Roman" w:eastAsia="宋体" w:cs="Times New Roman"/>
                      <w:color w:val="auto"/>
                      <w:sz w:val="21"/>
                      <w:szCs w:val="21"/>
                    </w:rPr>
                  </w:pPr>
                </w:p>
              </w:tc>
              <w:tc>
                <w:tcPr>
                  <w:tcW w:w="1513"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24小时平均</w:t>
                  </w:r>
                </w:p>
              </w:tc>
              <w:tc>
                <w:tcPr>
                  <w:tcW w:w="1007"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007"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150</w:t>
                  </w:r>
                </w:p>
              </w:tc>
              <w:tc>
                <w:tcPr>
                  <w:tcW w:w="1007"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vMerge w:val="restar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NO</w:t>
                  </w:r>
                  <w:r>
                    <w:rPr>
                      <w:rFonts w:hint="default" w:ascii="Times New Roman" w:hAnsi="Times New Roman" w:eastAsia="宋体" w:cs="Times New Roman"/>
                      <w:color w:val="auto"/>
                      <w:sz w:val="21"/>
                      <w:szCs w:val="21"/>
                      <w:vertAlign w:val="subscript"/>
                    </w:rPr>
                    <w:t>2</w:t>
                  </w:r>
                </w:p>
              </w:tc>
              <w:tc>
                <w:tcPr>
                  <w:tcW w:w="1513"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年平均</w:t>
                  </w:r>
                </w:p>
              </w:tc>
              <w:tc>
                <w:tcPr>
                  <w:tcW w:w="1007" w:type="pct"/>
                  <w:noWrap w:val="0"/>
                  <w:vAlign w:val="center"/>
                </w:tcPr>
                <w:p>
                  <w:pPr>
                    <w:spacing w:line="240" w:lineRule="auto"/>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35</w:t>
                  </w:r>
                </w:p>
              </w:tc>
              <w:tc>
                <w:tcPr>
                  <w:tcW w:w="1007"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40</w:t>
                  </w:r>
                </w:p>
              </w:tc>
              <w:tc>
                <w:tcPr>
                  <w:tcW w:w="1007"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vMerge w:val="continue"/>
                  <w:noWrap w:val="0"/>
                  <w:vAlign w:val="center"/>
                </w:tcPr>
                <w:p>
                  <w:pPr>
                    <w:spacing w:line="240" w:lineRule="auto"/>
                    <w:jc w:val="center"/>
                    <w:rPr>
                      <w:rFonts w:hint="default" w:ascii="Times New Roman" w:hAnsi="Times New Roman" w:eastAsia="宋体" w:cs="Times New Roman"/>
                      <w:color w:val="auto"/>
                      <w:sz w:val="21"/>
                      <w:szCs w:val="21"/>
                    </w:rPr>
                  </w:pPr>
                </w:p>
              </w:tc>
              <w:tc>
                <w:tcPr>
                  <w:tcW w:w="1513"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24小时平均</w:t>
                  </w:r>
                </w:p>
              </w:tc>
              <w:tc>
                <w:tcPr>
                  <w:tcW w:w="1007"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007"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80</w:t>
                  </w:r>
                </w:p>
              </w:tc>
              <w:tc>
                <w:tcPr>
                  <w:tcW w:w="1007"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vMerge w:val="restar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PM</w:t>
                  </w:r>
                  <w:r>
                    <w:rPr>
                      <w:rFonts w:hint="default" w:ascii="Times New Roman" w:hAnsi="Times New Roman" w:eastAsia="宋体" w:cs="Times New Roman"/>
                      <w:color w:val="auto"/>
                      <w:sz w:val="21"/>
                      <w:szCs w:val="21"/>
                      <w:vertAlign w:val="subscript"/>
                    </w:rPr>
                    <w:t>10</w:t>
                  </w:r>
                </w:p>
              </w:tc>
              <w:tc>
                <w:tcPr>
                  <w:tcW w:w="1513"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年平均</w:t>
                  </w:r>
                </w:p>
              </w:tc>
              <w:tc>
                <w:tcPr>
                  <w:tcW w:w="1007" w:type="pct"/>
                  <w:noWrap w:val="0"/>
                  <w:vAlign w:val="center"/>
                </w:tcPr>
                <w:p>
                  <w:pPr>
                    <w:spacing w:line="240" w:lineRule="auto"/>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58</w:t>
                  </w:r>
                </w:p>
              </w:tc>
              <w:tc>
                <w:tcPr>
                  <w:tcW w:w="1007"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70</w:t>
                  </w:r>
                </w:p>
              </w:tc>
              <w:tc>
                <w:tcPr>
                  <w:tcW w:w="1007"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vMerge w:val="continue"/>
                  <w:noWrap w:val="0"/>
                  <w:vAlign w:val="center"/>
                </w:tcPr>
                <w:p>
                  <w:pPr>
                    <w:spacing w:line="240" w:lineRule="auto"/>
                    <w:jc w:val="center"/>
                    <w:rPr>
                      <w:rFonts w:hint="default" w:ascii="Times New Roman" w:hAnsi="Times New Roman" w:eastAsia="宋体" w:cs="Times New Roman"/>
                      <w:color w:val="auto"/>
                      <w:sz w:val="21"/>
                      <w:szCs w:val="21"/>
                    </w:rPr>
                  </w:pPr>
                </w:p>
              </w:tc>
              <w:tc>
                <w:tcPr>
                  <w:tcW w:w="1513"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24小时平均</w:t>
                  </w:r>
                </w:p>
              </w:tc>
              <w:tc>
                <w:tcPr>
                  <w:tcW w:w="1007"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007"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150</w:t>
                  </w:r>
                </w:p>
              </w:tc>
              <w:tc>
                <w:tcPr>
                  <w:tcW w:w="1007"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vMerge w:val="restar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PM</w:t>
                  </w:r>
                  <w:r>
                    <w:rPr>
                      <w:rFonts w:hint="default" w:ascii="Times New Roman" w:hAnsi="Times New Roman" w:eastAsia="宋体" w:cs="Times New Roman"/>
                      <w:color w:val="auto"/>
                      <w:sz w:val="21"/>
                      <w:szCs w:val="21"/>
                      <w:vertAlign w:val="subscript"/>
                    </w:rPr>
                    <w:t>2.5</w:t>
                  </w:r>
                </w:p>
              </w:tc>
              <w:tc>
                <w:tcPr>
                  <w:tcW w:w="1513"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年平均</w:t>
                  </w:r>
                </w:p>
              </w:tc>
              <w:tc>
                <w:tcPr>
                  <w:tcW w:w="1007" w:type="pct"/>
                  <w:noWrap w:val="0"/>
                  <w:vAlign w:val="center"/>
                </w:tcPr>
                <w:p>
                  <w:pPr>
                    <w:spacing w:line="240" w:lineRule="auto"/>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40</w:t>
                  </w:r>
                </w:p>
              </w:tc>
              <w:tc>
                <w:tcPr>
                  <w:tcW w:w="1007"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35</w:t>
                  </w:r>
                </w:p>
              </w:tc>
              <w:tc>
                <w:tcPr>
                  <w:tcW w:w="1007"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不达标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vMerge w:val="continue"/>
                  <w:noWrap w:val="0"/>
                  <w:vAlign w:val="center"/>
                </w:tcPr>
                <w:p>
                  <w:pPr>
                    <w:spacing w:line="240" w:lineRule="auto"/>
                    <w:jc w:val="center"/>
                    <w:rPr>
                      <w:rFonts w:hint="default" w:ascii="Times New Roman" w:hAnsi="Times New Roman" w:eastAsia="宋体" w:cs="Times New Roman"/>
                      <w:color w:val="auto"/>
                      <w:sz w:val="21"/>
                      <w:szCs w:val="21"/>
                    </w:rPr>
                  </w:pPr>
                </w:p>
              </w:tc>
              <w:tc>
                <w:tcPr>
                  <w:tcW w:w="1513"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24小时平均</w:t>
                  </w:r>
                </w:p>
              </w:tc>
              <w:tc>
                <w:tcPr>
                  <w:tcW w:w="1007"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007"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75</w:t>
                  </w:r>
                </w:p>
              </w:tc>
              <w:tc>
                <w:tcPr>
                  <w:tcW w:w="1007"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vMerge w:val="restar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CO</w:t>
                  </w:r>
                </w:p>
              </w:tc>
              <w:tc>
                <w:tcPr>
                  <w:tcW w:w="1513"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年平均</w:t>
                  </w:r>
                </w:p>
              </w:tc>
              <w:tc>
                <w:tcPr>
                  <w:tcW w:w="1007"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007"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007"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vMerge w:val="continue"/>
                  <w:noWrap w:val="0"/>
                  <w:vAlign w:val="center"/>
                </w:tcPr>
                <w:p>
                  <w:pPr>
                    <w:spacing w:line="240" w:lineRule="auto"/>
                    <w:jc w:val="center"/>
                    <w:rPr>
                      <w:rFonts w:hint="default" w:ascii="Times New Roman" w:hAnsi="Times New Roman" w:eastAsia="宋体" w:cs="Times New Roman"/>
                      <w:color w:val="auto"/>
                      <w:sz w:val="21"/>
                      <w:szCs w:val="21"/>
                    </w:rPr>
                  </w:pPr>
                </w:p>
              </w:tc>
              <w:tc>
                <w:tcPr>
                  <w:tcW w:w="1513"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24小时平均</w:t>
                  </w:r>
                </w:p>
              </w:tc>
              <w:tc>
                <w:tcPr>
                  <w:tcW w:w="1007"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1200</w:t>
                  </w:r>
                </w:p>
              </w:tc>
              <w:tc>
                <w:tcPr>
                  <w:tcW w:w="1007"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4000</w:t>
                  </w:r>
                </w:p>
              </w:tc>
              <w:tc>
                <w:tcPr>
                  <w:tcW w:w="1007"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vMerge w:val="restart"/>
                  <w:noWrap w:val="0"/>
                  <w:vAlign w:val="center"/>
                </w:tcPr>
                <w:p>
                  <w:pPr>
                    <w:spacing w:line="240" w:lineRule="auto"/>
                    <w:jc w:val="center"/>
                    <w:rPr>
                      <w:rFonts w:hint="default" w:ascii="Times New Roman" w:hAnsi="Times New Roman" w:eastAsia="宋体" w:cs="Times New Roman"/>
                      <w:color w:val="auto"/>
                      <w:sz w:val="21"/>
                      <w:szCs w:val="21"/>
                      <w:vertAlign w:val="subscript"/>
                    </w:rPr>
                  </w:pPr>
                  <w:r>
                    <w:rPr>
                      <w:rFonts w:hint="default" w:ascii="Times New Roman" w:hAnsi="Times New Roman" w:eastAsia="宋体" w:cs="Times New Roman"/>
                      <w:color w:val="auto"/>
                      <w:sz w:val="21"/>
                      <w:szCs w:val="21"/>
                    </w:rPr>
                    <w:t>O</w:t>
                  </w:r>
                  <w:r>
                    <w:rPr>
                      <w:rFonts w:hint="default" w:ascii="Times New Roman" w:hAnsi="Times New Roman" w:eastAsia="宋体" w:cs="Times New Roman"/>
                      <w:color w:val="auto"/>
                      <w:sz w:val="21"/>
                      <w:szCs w:val="21"/>
                      <w:vertAlign w:val="subscript"/>
                    </w:rPr>
                    <w:t>3</w:t>
                  </w:r>
                </w:p>
              </w:tc>
              <w:tc>
                <w:tcPr>
                  <w:tcW w:w="1513"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年平均</w:t>
                  </w:r>
                </w:p>
              </w:tc>
              <w:tc>
                <w:tcPr>
                  <w:tcW w:w="1007"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007"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007"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vMerge w:val="continue"/>
                  <w:noWrap w:val="0"/>
                  <w:vAlign w:val="center"/>
                </w:tcPr>
                <w:p>
                  <w:pPr>
                    <w:spacing w:line="240" w:lineRule="auto"/>
                    <w:jc w:val="center"/>
                    <w:rPr>
                      <w:rFonts w:hint="default" w:ascii="Times New Roman" w:hAnsi="Times New Roman" w:eastAsia="宋体" w:cs="Times New Roman"/>
                      <w:color w:val="auto"/>
                      <w:sz w:val="21"/>
                      <w:szCs w:val="21"/>
                    </w:rPr>
                  </w:pPr>
                </w:p>
              </w:tc>
              <w:tc>
                <w:tcPr>
                  <w:tcW w:w="1513"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日最大8小时滑动平均</w:t>
                  </w:r>
                </w:p>
              </w:tc>
              <w:tc>
                <w:tcPr>
                  <w:tcW w:w="1007" w:type="pct"/>
                  <w:noWrap w:val="0"/>
                  <w:vAlign w:val="center"/>
                </w:tcPr>
                <w:p>
                  <w:pPr>
                    <w:spacing w:line="240" w:lineRule="auto"/>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164</w:t>
                  </w:r>
                </w:p>
              </w:tc>
              <w:tc>
                <w:tcPr>
                  <w:tcW w:w="1007"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160</w:t>
                  </w:r>
                </w:p>
              </w:tc>
              <w:tc>
                <w:tcPr>
                  <w:tcW w:w="1007" w:type="pc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不达标</w:t>
                  </w:r>
                </w:p>
              </w:tc>
            </w:tr>
          </w:tbl>
          <w:p>
            <w:pPr>
              <w:adjustRightInd w:val="0"/>
              <w:snapToGrid w:val="0"/>
              <w:ind w:firstLine="482" w:firstLineChars="200"/>
              <w:rPr>
                <w:b/>
                <w:bCs/>
                <w:szCs w:val="21"/>
              </w:rPr>
            </w:pPr>
            <w:r>
              <w:rPr>
                <w:b/>
                <w:bCs/>
                <w:szCs w:val="21"/>
              </w:rPr>
              <w:t>2、水环境质量现状</w:t>
            </w:r>
          </w:p>
          <w:p>
            <w:pPr>
              <w:adjustRightInd w:val="0"/>
              <w:snapToGrid w:val="0"/>
              <w:ind w:firstLine="480" w:firstLineChars="200"/>
            </w:pPr>
            <w:r>
              <w:rPr>
                <w:rFonts w:hint="eastAsia"/>
              </w:rPr>
              <w:t>本项目废水经苏州高新</w:t>
            </w:r>
            <w:r>
              <w:rPr>
                <w:rFonts w:hint="eastAsia"/>
                <w:lang w:val="en-US" w:eastAsia="zh-CN"/>
              </w:rPr>
              <w:t>白荡水质净化厂</w:t>
            </w:r>
            <w:r>
              <w:rPr>
                <w:rFonts w:hint="eastAsia"/>
              </w:rPr>
              <w:t>处理后达标排放，尾水排入</w:t>
            </w:r>
            <w:r>
              <w:rPr>
                <w:rFonts w:hint="eastAsia"/>
                <w:lang w:val="en-US" w:eastAsia="zh-CN"/>
              </w:rPr>
              <w:t>京杭运河</w:t>
            </w:r>
            <w:r>
              <w:rPr>
                <w:rFonts w:hint="eastAsia"/>
              </w:rPr>
              <w:t>。</w:t>
            </w:r>
            <w:r>
              <w:t>本次评价引用</w:t>
            </w:r>
            <w:r>
              <w:rPr>
                <w:rFonts w:hint="eastAsia"/>
                <w:lang w:val="en-US" w:eastAsia="zh-CN"/>
              </w:rPr>
              <w:t>苏州宏宇环境科技股份</w:t>
            </w:r>
            <w:r>
              <w:rPr>
                <w:rFonts w:hint="eastAsia"/>
              </w:rPr>
              <w:t>有限公司于201</w:t>
            </w:r>
            <w:r>
              <w:rPr>
                <w:rFonts w:hint="eastAsia"/>
                <w:lang w:val="en-US" w:eastAsia="zh-CN"/>
              </w:rPr>
              <w:t>8</w:t>
            </w:r>
            <w:r>
              <w:rPr>
                <w:rFonts w:hint="eastAsia"/>
              </w:rPr>
              <w:t>年</w:t>
            </w:r>
            <w:r>
              <w:rPr>
                <w:rFonts w:hint="eastAsia"/>
                <w:lang w:val="en-US" w:eastAsia="zh-CN"/>
              </w:rPr>
              <w:t>8</w:t>
            </w:r>
            <w:r>
              <w:rPr>
                <w:rFonts w:hint="eastAsia"/>
              </w:rPr>
              <w:t>月</w:t>
            </w:r>
            <w:r>
              <w:rPr>
                <w:rFonts w:hint="eastAsia"/>
                <w:lang w:val="en-US" w:eastAsia="zh-CN"/>
              </w:rPr>
              <w:t>24-26</w:t>
            </w:r>
            <w:r>
              <w:rPr>
                <w:rFonts w:hint="eastAsia"/>
              </w:rPr>
              <w:t>日对</w:t>
            </w:r>
            <w:r>
              <w:rPr>
                <w:rFonts w:hint="eastAsia"/>
                <w:lang w:val="en-US" w:eastAsia="zh-CN"/>
              </w:rPr>
              <w:t>白荡净水厂</w:t>
            </w:r>
            <w:r>
              <w:rPr>
                <w:rFonts w:hint="eastAsia"/>
              </w:rPr>
              <w:t>纳污水体</w:t>
            </w:r>
            <w:r>
              <w:rPr>
                <w:rFonts w:hint="eastAsia"/>
                <w:lang w:val="en-US" w:eastAsia="zh-CN"/>
              </w:rPr>
              <w:t>京杭运河</w:t>
            </w:r>
            <w:r>
              <w:rPr>
                <w:rFonts w:hint="eastAsia"/>
              </w:rPr>
              <w:t>排污口</w:t>
            </w:r>
            <w:r>
              <w:rPr>
                <w:rFonts w:hint="eastAsia"/>
                <w:lang w:val="en-US" w:eastAsia="zh-CN"/>
              </w:rPr>
              <w:t>附近地表水</w:t>
            </w:r>
            <w:r>
              <w:rPr>
                <w:rFonts w:hint="eastAsia"/>
              </w:rPr>
              <w:t>进行监测，监测因子为pH、化学需氧量、总磷、氨氮</w:t>
            </w:r>
            <w:r>
              <w:rPr>
                <w:rFonts w:hint="eastAsia"/>
                <w:lang w:eastAsia="zh-CN"/>
              </w:rPr>
              <w:t>，</w:t>
            </w:r>
            <w:r>
              <w:rPr>
                <w:rFonts w:hint="eastAsia"/>
                <w:lang w:val="en-US" w:eastAsia="zh-CN"/>
              </w:rPr>
              <w:t>石油类</w:t>
            </w:r>
            <w:r>
              <w:rPr>
                <w:rFonts w:hint="eastAsia"/>
              </w:rPr>
              <w:t>，监测数据如下表。</w:t>
            </w:r>
          </w:p>
          <w:p>
            <w:pPr>
              <w:pStyle w:val="2"/>
              <w:ind w:firstLine="0" w:firstLineChars="0"/>
              <w:jc w:val="center"/>
              <w:rPr>
                <w:b/>
                <w:bCs/>
                <w:sz w:val="21"/>
                <w:szCs w:val="21"/>
              </w:rPr>
            </w:pPr>
            <w:r>
              <w:rPr>
                <w:rFonts w:hint="eastAsia"/>
                <w:b/>
                <w:bCs/>
                <w:sz w:val="21"/>
                <w:szCs w:val="21"/>
              </w:rPr>
              <w:t>表3-2地表水环境现状监测结果统计(mg/L，pH无量纲)</w:t>
            </w:r>
          </w:p>
          <w:tbl>
            <w:tblPr>
              <w:tblStyle w:val="27"/>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946"/>
              <w:gridCol w:w="946"/>
              <w:gridCol w:w="946"/>
              <w:gridCol w:w="1496"/>
              <w:gridCol w:w="871"/>
              <w:gridCol w:w="1106"/>
              <w:gridCol w:w="110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564" w:type="pct"/>
                  <w:tcBorders>
                    <w:bottom w:val="single" w:color="auto" w:sz="12" w:space="0"/>
                  </w:tcBorders>
                  <w:vAlign w:val="center"/>
                </w:tcPr>
                <w:p>
                  <w:pPr>
                    <w:spacing w:line="240" w:lineRule="auto"/>
                    <w:jc w:val="center"/>
                    <w:rPr>
                      <w:sz w:val="21"/>
                      <w:szCs w:val="21"/>
                    </w:rPr>
                  </w:pPr>
                  <w:r>
                    <w:rPr>
                      <w:rFonts w:hint="eastAsia"/>
                      <w:sz w:val="21"/>
                      <w:szCs w:val="21"/>
                    </w:rPr>
                    <w:t>断面</w:t>
                  </w:r>
                </w:p>
              </w:tc>
              <w:tc>
                <w:tcPr>
                  <w:tcW w:w="502" w:type="pct"/>
                  <w:tcBorders>
                    <w:bottom w:val="single" w:color="auto" w:sz="12" w:space="0"/>
                  </w:tcBorders>
                  <w:vAlign w:val="center"/>
                </w:tcPr>
                <w:p>
                  <w:pPr>
                    <w:spacing w:line="240" w:lineRule="auto"/>
                    <w:jc w:val="center"/>
                    <w:rPr>
                      <w:rFonts w:hint="eastAsia" w:eastAsia="宋体"/>
                      <w:sz w:val="21"/>
                      <w:szCs w:val="21"/>
                      <w:lang w:val="en-US" w:eastAsia="zh-CN"/>
                    </w:rPr>
                  </w:pPr>
                  <w:r>
                    <w:rPr>
                      <w:rFonts w:hint="eastAsia"/>
                      <w:sz w:val="21"/>
                      <w:szCs w:val="21"/>
                      <w:lang w:val="en-US" w:eastAsia="zh-CN"/>
                    </w:rPr>
                    <w:t>日期</w:t>
                  </w:r>
                </w:p>
              </w:tc>
              <w:tc>
                <w:tcPr>
                  <w:tcW w:w="502" w:type="pct"/>
                  <w:tcBorders>
                    <w:bottom w:val="single" w:color="auto" w:sz="12" w:space="0"/>
                  </w:tcBorders>
                  <w:vAlign w:val="center"/>
                </w:tcPr>
                <w:p>
                  <w:pPr>
                    <w:spacing w:line="240" w:lineRule="auto"/>
                    <w:jc w:val="center"/>
                    <w:rPr>
                      <w:sz w:val="21"/>
                      <w:szCs w:val="21"/>
                    </w:rPr>
                  </w:pPr>
                  <w:r>
                    <w:rPr>
                      <w:rFonts w:hint="eastAsia"/>
                      <w:sz w:val="21"/>
                      <w:szCs w:val="21"/>
                    </w:rPr>
                    <w:t>pH</w:t>
                  </w:r>
                </w:p>
              </w:tc>
              <w:tc>
                <w:tcPr>
                  <w:tcW w:w="794" w:type="pct"/>
                  <w:tcBorders>
                    <w:bottom w:val="single" w:color="auto" w:sz="12" w:space="0"/>
                  </w:tcBorders>
                  <w:vAlign w:val="center"/>
                </w:tcPr>
                <w:p>
                  <w:pPr>
                    <w:spacing w:line="240" w:lineRule="auto"/>
                    <w:jc w:val="center"/>
                    <w:rPr>
                      <w:sz w:val="21"/>
                      <w:szCs w:val="21"/>
                    </w:rPr>
                  </w:pPr>
                  <w:r>
                    <w:rPr>
                      <w:rFonts w:hint="eastAsia"/>
                      <w:sz w:val="21"/>
                      <w:szCs w:val="21"/>
                    </w:rPr>
                    <w:t>化学需氧量</w:t>
                  </w:r>
                </w:p>
              </w:tc>
              <w:tc>
                <w:tcPr>
                  <w:tcW w:w="462" w:type="pct"/>
                  <w:tcBorders>
                    <w:bottom w:val="single" w:color="auto" w:sz="12" w:space="0"/>
                  </w:tcBorders>
                  <w:vAlign w:val="center"/>
                </w:tcPr>
                <w:p>
                  <w:pPr>
                    <w:spacing w:line="240" w:lineRule="auto"/>
                    <w:jc w:val="center"/>
                    <w:rPr>
                      <w:rFonts w:hint="default" w:eastAsia="宋体"/>
                      <w:sz w:val="21"/>
                      <w:szCs w:val="21"/>
                      <w:lang w:val="en-US" w:eastAsia="zh-CN"/>
                    </w:rPr>
                  </w:pPr>
                  <w:r>
                    <w:rPr>
                      <w:rFonts w:hint="eastAsia"/>
                      <w:sz w:val="21"/>
                      <w:szCs w:val="21"/>
                      <w:lang w:val="en-US" w:eastAsia="zh-CN"/>
                    </w:rPr>
                    <w:t>氨氮</w:t>
                  </w:r>
                </w:p>
              </w:tc>
              <w:tc>
                <w:tcPr>
                  <w:tcW w:w="587" w:type="pct"/>
                  <w:tcBorders>
                    <w:bottom w:val="single" w:color="auto" w:sz="12" w:space="0"/>
                  </w:tcBorders>
                  <w:vAlign w:val="center"/>
                </w:tcPr>
                <w:p>
                  <w:pPr>
                    <w:spacing w:line="240" w:lineRule="auto"/>
                    <w:jc w:val="center"/>
                    <w:rPr>
                      <w:sz w:val="21"/>
                      <w:szCs w:val="21"/>
                    </w:rPr>
                  </w:pPr>
                  <w:r>
                    <w:rPr>
                      <w:rFonts w:hint="eastAsia"/>
                      <w:sz w:val="21"/>
                      <w:szCs w:val="21"/>
                    </w:rPr>
                    <w:t>总磷</w:t>
                  </w:r>
                </w:p>
              </w:tc>
              <w:tc>
                <w:tcPr>
                  <w:tcW w:w="587" w:type="pct"/>
                  <w:tcBorders>
                    <w:bottom w:val="single" w:color="auto" w:sz="12" w:space="0"/>
                  </w:tcBorders>
                  <w:vAlign w:val="center"/>
                </w:tcPr>
                <w:p>
                  <w:pPr>
                    <w:spacing w:line="240" w:lineRule="auto"/>
                    <w:jc w:val="center"/>
                    <w:rPr>
                      <w:rFonts w:hint="eastAsia" w:eastAsia="宋体"/>
                      <w:sz w:val="21"/>
                      <w:szCs w:val="21"/>
                      <w:lang w:eastAsia="zh-CN"/>
                    </w:rPr>
                  </w:pPr>
                  <w:r>
                    <w:rPr>
                      <w:rFonts w:hint="eastAsia"/>
                      <w:sz w:val="21"/>
                      <w:szCs w:val="21"/>
                      <w:lang w:val="en-US" w:eastAsia="zh-CN"/>
                    </w:rPr>
                    <w:t>悬浮物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1564" w:type="pct"/>
                  <w:vMerge w:val="restart"/>
                  <w:tcBorders>
                    <w:top w:val="single" w:color="auto" w:sz="12" w:space="0"/>
                  </w:tcBorders>
                  <w:vAlign w:val="center"/>
                </w:tcPr>
                <w:p>
                  <w:pPr>
                    <w:spacing w:line="240" w:lineRule="auto"/>
                    <w:jc w:val="center"/>
                    <w:rPr>
                      <w:rFonts w:hint="default" w:eastAsia="宋体"/>
                      <w:sz w:val="21"/>
                      <w:szCs w:val="21"/>
                      <w:lang w:val="en-US" w:eastAsia="zh-CN"/>
                    </w:rPr>
                  </w:pPr>
                  <w:r>
                    <w:rPr>
                      <w:rFonts w:hint="eastAsia"/>
                      <w:sz w:val="21"/>
                      <w:szCs w:val="21"/>
                      <w:lang w:val="en-US" w:eastAsia="zh-CN"/>
                    </w:rPr>
                    <w:t>京杭运河-白荡河与京杭运河交汇处上游700m处</w:t>
                  </w:r>
                </w:p>
              </w:tc>
              <w:tc>
                <w:tcPr>
                  <w:tcW w:w="502" w:type="pct"/>
                  <w:tcBorders>
                    <w:top w:val="single" w:color="auto" w:sz="12" w:space="0"/>
                  </w:tcBorders>
                  <w:vAlign w:val="center"/>
                </w:tcPr>
                <w:p>
                  <w:pPr>
                    <w:spacing w:line="240" w:lineRule="auto"/>
                    <w:jc w:val="center"/>
                    <w:rPr>
                      <w:rFonts w:hint="default"/>
                      <w:sz w:val="21"/>
                      <w:szCs w:val="21"/>
                      <w:lang w:val="en-US" w:eastAsia="zh-CN"/>
                    </w:rPr>
                  </w:pPr>
                  <w:r>
                    <w:rPr>
                      <w:rFonts w:hint="eastAsia"/>
                      <w:sz w:val="21"/>
                      <w:szCs w:val="21"/>
                      <w:lang w:val="en-US" w:eastAsia="zh-CN"/>
                    </w:rPr>
                    <w:t>4.24</w:t>
                  </w:r>
                </w:p>
              </w:tc>
              <w:tc>
                <w:tcPr>
                  <w:tcW w:w="502" w:type="pct"/>
                  <w:tcBorders>
                    <w:top w:val="single" w:color="auto" w:sz="12" w:space="0"/>
                  </w:tcBorders>
                  <w:vAlign w:val="center"/>
                </w:tcPr>
                <w:p>
                  <w:pPr>
                    <w:spacing w:line="240" w:lineRule="auto"/>
                    <w:jc w:val="center"/>
                    <w:rPr>
                      <w:rFonts w:hint="default" w:eastAsia="宋体"/>
                      <w:sz w:val="21"/>
                      <w:szCs w:val="21"/>
                      <w:lang w:val="en-US" w:eastAsia="zh-CN"/>
                    </w:rPr>
                  </w:pPr>
                  <w:r>
                    <w:rPr>
                      <w:rFonts w:hint="eastAsia"/>
                      <w:sz w:val="21"/>
                      <w:szCs w:val="21"/>
                      <w:lang w:val="en-US" w:eastAsia="zh-CN"/>
                    </w:rPr>
                    <w:t>7.25</w:t>
                  </w:r>
                </w:p>
              </w:tc>
              <w:tc>
                <w:tcPr>
                  <w:tcW w:w="794" w:type="pct"/>
                  <w:tcBorders>
                    <w:top w:val="single" w:color="auto" w:sz="12" w:space="0"/>
                  </w:tcBorders>
                  <w:vAlign w:val="center"/>
                </w:tcPr>
                <w:p>
                  <w:pPr>
                    <w:spacing w:line="240" w:lineRule="auto"/>
                    <w:jc w:val="center"/>
                    <w:rPr>
                      <w:rFonts w:hint="default" w:eastAsia="宋体"/>
                      <w:sz w:val="21"/>
                      <w:szCs w:val="21"/>
                      <w:lang w:val="en-US" w:eastAsia="zh-CN"/>
                    </w:rPr>
                  </w:pPr>
                  <w:r>
                    <w:rPr>
                      <w:rFonts w:hint="eastAsia"/>
                      <w:sz w:val="21"/>
                      <w:szCs w:val="21"/>
                      <w:lang w:val="en-US" w:eastAsia="zh-CN"/>
                    </w:rPr>
                    <w:t>26</w:t>
                  </w:r>
                </w:p>
              </w:tc>
              <w:tc>
                <w:tcPr>
                  <w:tcW w:w="462" w:type="pct"/>
                  <w:tcBorders>
                    <w:top w:val="single" w:color="auto" w:sz="12" w:space="0"/>
                  </w:tcBorders>
                  <w:vAlign w:val="center"/>
                </w:tcPr>
                <w:p>
                  <w:pPr>
                    <w:spacing w:line="240" w:lineRule="auto"/>
                    <w:jc w:val="center"/>
                    <w:rPr>
                      <w:rFonts w:hint="default"/>
                      <w:sz w:val="21"/>
                      <w:szCs w:val="21"/>
                      <w:lang w:val="en-US" w:eastAsia="zh-CN"/>
                    </w:rPr>
                  </w:pPr>
                  <w:r>
                    <w:rPr>
                      <w:rFonts w:hint="eastAsia"/>
                      <w:sz w:val="21"/>
                      <w:szCs w:val="21"/>
                      <w:lang w:val="en-US" w:eastAsia="zh-CN"/>
                    </w:rPr>
                    <w:t>1.34</w:t>
                  </w:r>
                </w:p>
              </w:tc>
              <w:tc>
                <w:tcPr>
                  <w:tcW w:w="587" w:type="pct"/>
                  <w:tcBorders>
                    <w:top w:val="single" w:color="auto" w:sz="12" w:space="0"/>
                  </w:tcBorders>
                  <w:vAlign w:val="center"/>
                </w:tcPr>
                <w:p>
                  <w:pPr>
                    <w:spacing w:line="240" w:lineRule="auto"/>
                    <w:jc w:val="center"/>
                    <w:rPr>
                      <w:rFonts w:hint="default" w:eastAsia="宋体"/>
                      <w:sz w:val="21"/>
                      <w:szCs w:val="21"/>
                      <w:lang w:val="en-US" w:eastAsia="zh-CN"/>
                    </w:rPr>
                  </w:pPr>
                  <w:r>
                    <w:rPr>
                      <w:rFonts w:hint="eastAsia"/>
                      <w:sz w:val="21"/>
                      <w:szCs w:val="21"/>
                      <w:lang w:val="en-US" w:eastAsia="zh-CN"/>
                    </w:rPr>
                    <w:t>0.29</w:t>
                  </w:r>
                </w:p>
              </w:tc>
              <w:tc>
                <w:tcPr>
                  <w:tcW w:w="587" w:type="pct"/>
                  <w:tcBorders>
                    <w:top w:val="single" w:color="auto" w:sz="12" w:space="0"/>
                  </w:tcBorders>
                  <w:vAlign w:val="center"/>
                </w:tcPr>
                <w:p>
                  <w:pPr>
                    <w:spacing w:line="240" w:lineRule="auto"/>
                    <w:jc w:val="center"/>
                    <w:rPr>
                      <w:rFonts w:hint="default" w:eastAsia="宋体"/>
                      <w:sz w:val="21"/>
                      <w:szCs w:val="21"/>
                      <w:lang w:val="en-US" w:eastAsia="zh-CN"/>
                    </w:rPr>
                  </w:pPr>
                  <w:r>
                    <w:rPr>
                      <w:rFonts w:hint="eastAsia"/>
                      <w:sz w:val="21"/>
                      <w:szCs w:val="21"/>
                      <w:lang w:val="en-US" w:eastAsia="zh-CN"/>
                    </w:rPr>
                    <w:t>54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1564" w:type="pct"/>
                  <w:vMerge w:val="continue"/>
                  <w:vAlign w:val="center"/>
                </w:tcPr>
                <w:p>
                  <w:pPr>
                    <w:spacing w:line="240" w:lineRule="auto"/>
                    <w:jc w:val="center"/>
                    <w:rPr>
                      <w:sz w:val="21"/>
                      <w:szCs w:val="21"/>
                    </w:rPr>
                  </w:pPr>
                </w:p>
              </w:tc>
              <w:tc>
                <w:tcPr>
                  <w:tcW w:w="502" w:type="pct"/>
                  <w:vAlign w:val="center"/>
                </w:tcPr>
                <w:p>
                  <w:pPr>
                    <w:spacing w:line="240" w:lineRule="auto"/>
                    <w:jc w:val="center"/>
                    <w:rPr>
                      <w:rFonts w:hint="default" w:eastAsia="宋体"/>
                      <w:sz w:val="21"/>
                      <w:szCs w:val="21"/>
                      <w:lang w:val="en-US" w:eastAsia="zh-CN"/>
                    </w:rPr>
                  </w:pPr>
                  <w:r>
                    <w:rPr>
                      <w:rFonts w:hint="eastAsia"/>
                      <w:sz w:val="21"/>
                      <w:szCs w:val="21"/>
                      <w:lang w:val="en-US" w:eastAsia="zh-CN"/>
                    </w:rPr>
                    <w:t>4.25</w:t>
                  </w:r>
                </w:p>
              </w:tc>
              <w:tc>
                <w:tcPr>
                  <w:tcW w:w="502" w:type="pct"/>
                  <w:vAlign w:val="center"/>
                </w:tcPr>
                <w:p>
                  <w:pPr>
                    <w:spacing w:line="240" w:lineRule="auto"/>
                    <w:jc w:val="center"/>
                    <w:rPr>
                      <w:rFonts w:hint="default"/>
                      <w:sz w:val="21"/>
                      <w:szCs w:val="21"/>
                      <w:lang w:val="en-US" w:eastAsia="zh-CN"/>
                    </w:rPr>
                  </w:pPr>
                  <w:r>
                    <w:rPr>
                      <w:rFonts w:hint="eastAsia"/>
                      <w:sz w:val="21"/>
                      <w:szCs w:val="21"/>
                      <w:lang w:val="en-US" w:eastAsia="zh-CN"/>
                    </w:rPr>
                    <w:t>7.34</w:t>
                  </w:r>
                </w:p>
              </w:tc>
              <w:tc>
                <w:tcPr>
                  <w:tcW w:w="794" w:type="pct"/>
                  <w:vAlign w:val="center"/>
                </w:tcPr>
                <w:p>
                  <w:pPr>
                    <w:spacing w:line="240" w:lineRule="auto"/>
                    <w:jc w:val="center"/>
                    <w:rPr>
                      <w:rFonts w:hint="default"/>
                      <w:sz w:val="21"/>
                      <w:szCs w:val="21"/>
                      <w:lang w:val="en-US" w:eastAsia="zh-CN"/>
                    </w:rPr>
                  </w:pPr>
                  <w:r>
                    <w:rPr>
                      <w:rFonts w:hint="eastAsia"/>
                      <w:sz w:val="21"/>
                      <w:szCs w:val="21"/>
                      <w:lang w:val="en-US" w:eastAsia="zh-CN"/>
                    </w:rPr>
                    <w:t>25</w:t>
                  </w:r>
                </w:p>
              </w:tc>
              <w:tc>
                <w:tcPr>
                  <w:tcW w:w="462" w:type="pct"/>
                  <w:vAlign w:val="center"/>
                </w:tcPr>
                <w:p>
                  <w:pPr>
                    <w:spacing w:line="240" w:lineRule="auto"/>
                    <w:jc w:val="center"/>
                    <w:rPr>
                      <w:rFonts w:hint="default"/>
                      <w:sz w:val="21"/>
                      <w:szCs w:val="21"/>
                      <w:lang w:val="en-US" w:eastAsia="zh-CN"/>
                    </w:rPr>
                  </w:pPr>
                  <w:r>
                    <w:rPr>
                      <w:rFonts w:hint="eastAsia"/>
                      <w:sz w:val="21"/>
                      <w:szCs w:val="21"/>
                      <w:lang w:val="en-US" w:eastAsia="zh-CN"/>
                    </w:rPr>
                    <w:t>1.24</w:t>
                  </w:r>
                </w:p>
              </w:tc>
              <w:tc>
                <w:tcPr>
                  <w:tcW w:w="587" w:type="pct"/>
                  <w:vAlign w:val="center"/>
                </w:tcPr>
                <w:p>
                  <w:pPr>
                    <w:spacing w:line="240" w:lineRule="auto"/>
                    <w:jc w:val="center"/>
                    <w:rPr>
                      <w:rFonts w:hint="default"/>
                      <w:sz w:val="21"/>
                      <w:szCs w:val="21"/>
                      <w:lang w:val="en-US" w:eastAsia="zh-CN"/>
                    </w:rPr>
                  </w:pPr>
                  <w:r>
                    <w:rPr>
                      <w:rFonts w:hint="eastAsia"/>
                      <w:sz w:val="21"/>
                      <w:szCs w:val="21"/>
                      <w:lang w:val="en-US" w:eastAsia="zh-CN"/>
                    </w:rPr>
                    <w:t>0.28</w:t>
                  </w:r>
                </w:p>
              </w:tc>
              <w:tc>
                <w:tcPr>
                  <w:tcW w:w="587" w:type="pct"/>
                  <w:vAlign w:val="center"/>
                </w:tcPr>
                <w:p>
                  <w:pPr>
                    <w:spacing w:line="240" w:lineRule="auto"/>
                    <w:jc w:val="center"/>
                    <w:rPr>
                      <w:rFonts w:hint="default"/>
                      <w:sz w:val="21"/>
                      <w:szCs w:val="21"/>
                      <w:lang w:val="en-US" w:eastAsia="zh-CN"/>
                    </w:rPr>
                  </w:pPr>
                  <w:r>
                    <w:rPr>
                      <w:rFonts w:hint="eastAsia"/>
                      <w:sz w:val="21"/>
                      <w:szCs w:val="21"/>
                      <w:lang w:val="en-US" w:eastAsia="zh-CN"/>
                    </w:rPr>
                    <w:t>51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1564" w:type="pct"/>
                  <w:vMerge w:val="continue"/>
                  <w:vAlign w:val="center"/>
                </w:tcPr>
                <w:p>
                  <w:pPr>
                    <w:spacing w:line="240" w:lineRule="auto"/>
                    <w:jc w:val="center"/>
                    <w:rPr>
                      <w:rFonts w:hint="eastAsia"/>
                      <w:sz w:val="21"/>
                      <w:szCs w:val="21"/>
                      <w:lang w:val="en-US" w:eastAsia="zh-CN"/>
                    </w:rPr>
                  </w:pPr>
                </w:p>
              </w:tc>
              <w:tc>
                <w:tcPr>
                  <w:tcW w:w="502" w:type="pct"/>
                  <w:vAlign w:val="center"/>
                </w:tcPr>
                <w:p>
                  <w:pPr>
                    <w:spacing w:line="240" w:lineRule="auto"/>
                    <w:jc w:val="center"/>
                    <w:rPr>
                      <w:rFonts w:hint="default"/>
                      <w:sz w:val="21"/>
                      <w:szCs w:val="21"/>
                      <w:lang w:val="en-US" w:eastAsia="zh-CN"/>
                    </w:rPr>
                  </w:pPr>
                  <w:r>
                    <w:rPr>
                      <w:rFonts w:hint="eastAsia"/>
                      <w:sz w:val="21"/>
                      <w:szCs w:val="21"/>
                      <w:lang w:val="en-US" w:eastAsia="zh-CN"/>
                    </w:rPr>
                    <w:t>4.26</w:t>
                  </w:r>
                </w:p>
              </w:tc>
              <w:tc>
                <w:tcPr>
                  <w:tcW w:w="502" w:type="pct"/>
                  <w:vAlign w:val="center"/>
                </w:tcPr>
                <w:p>
                  <w:pPr>
                    <w:spacing w:line="240" w:lineRule="auto"/>
                    <w:jc w:val="center"/>
                    <w:rPr>
                      <w:rFonts w:hint="default"/>
                      <w:sz w:val="21"/>
                      <w:szCs w:val="21"/>
                      <w:lang w:val="en-US" w:eastAsia="zh-CN"/>
                    </w:rPr>
                  </w:pPr>
                  <w:r>
                    <w:rPr>
                      <w:rFonts w:hint="eastAsia"/>
                      <w:sz w:val="21"/>
                      <w:szCs w:val="21"/>
                      <w:lang w:val="en-US" w:eastAsia="zh-CN"/>
                    </w:rPr>
                    <w:t>7.39</w:t>
                  </w:r>
                </w:p>
              </w:tc>
              <w:tc>
                <w:tcPr>
                  <w:tcW w:w="794" w:type="pct"/>
                  <w:vAlign w:val="center"/>
                </w:tcPr>
                <w:p>
                  <w:pPr>
                    <w:spacing w:line="240" w:lineRule="auto"/>
                    <w:jc w:val="center"/>
                    <w:rPr>
                      <w:rFonts w:hint="default"/>
                      <w:sz w:val="21"/>
                      <w:szCs w:val="21"/>
                      <w:lang w:val="en-US" w:eastAsia="zh-CN"/>
                    </w:rPr>
                  </w:pPr>
                  <w:r>
                    <w:rPr>
                      <w:rFonts w:hint="eastAsia"/>
                      <w:sz w:val="21"/>
                      <w:szCs w:val="21"/>
                      <w:lang w:val="en-US" w:eastAsia="zh-CN"/>
                    </w:rPr>
                    <w:t>26</w:t>
                  </w:r>
                </w:p>
              </w:tc>
              <w:tc>
                <w:tcPr>
                  <w:tcW w:w="462" w:type="pct"/>
                  <w:vAlign w:val="center"/>
                </w:tcPr>
                <w:p>
                  <w:pPr>
                    <w:spacing w:line="240" w:lineRule="auto"/>
                    <w:jc w:val="center"/>
                    <w:rPr>
                      <w:rFonts w:hint="default"/>
                      <w:sz w:val="21"/>
                      <w:szCs w:val="21"/>
                      <w:lang w:val="en-US" w:eastAsia="zh-CN"/>
                    </w:rPr>
                  </w:pPr>
                  <w:r>
                    <w:rPr>
                      <w:rFonts w:hint="eastAsia"/>
                      <w:sz w:val="21"/>
                      <w:szCs w:val="21"/>
                      <w:lang w:val="en-US" w:eastAsia="zh-CN"/>
                    </w:rPr>
                    <w:t>1.36</w:t>
                  </w:r>
                </w:p>
              </w:tc>
              <w:tc>
                <w:tcPr>
                  <w:tcW w:w="587" w:type="pct"/>
                  <w:vAlign w:val="center"/>
                </w:tcPr>
                <w:p>
                  <w:pPr>
                    <w:spacing w:line="240" w:lineRule="auto"/>
                    <w:jc w:val="center"/>
                    <w:rPr>
                      <w:rFonts w:hint="default"/>
                      <w:sz w:val="21"/>
                      <w:szCs w:val="21"/>
                      <w:lang w:val="en-US" w:eastAsia="zh-CN"/>
                    </w:rPr>
                  </w:pPr>
                  <w:r>
                    <w:rPr>
                      <w:rFonts w:hint="eastAsia"/>
                      <w:sz w:val="21"/>
                      <w:szCs w:val="21"/>
                      <w:lang w:val="en-US" w:eastAsia="zh-CN"/>
                    </w:rPr>
                    <w:t>0.29</w:t>
                  </w:r>
                </w:p>
              </w:tc>
              <w:tc>
                <w:tcPr>
                  <w:tcW w:w="587" w:type="pct"/>
                  <w:vAlign w:val="center"/>
                </w:tcPr>
                <w:p>
                  <w:pPr>
                    <w:spacing w:line="240" w:lineRule="auto"/>
                    <w:jc w:val="center"/>
                    <w:rPr>
                      <w:rFonts w:hint="default"/>
                      <w:sz w:val="21"/>
                      <w:szCs w:val="21"/>
                      <w:lang w:val="en-US" w:eastAsia="zh-CN"/>
                    </w:rPr>
                  </w:pPr>
                  <w:r>
                    <w:rPr>
                      <w:rFonts w:hint="eastAsia"/>
                      <w:sz w:val="21"/>
                      <w:szCs w:val="21"/>
                      <w:lang w:val="en-US" w:eastAsia="zh-CN"/>
                    </w:rPr>
                    <w:t>53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1564" w:type="pct"/>
                  <w:vMerge w:val="restart"/>
                  <w:vAlign w:val="center"/>
                </w:tcPr>
                <w:p>
                  <w:pPr>
                    <w:spacing w:line="240" w:lineRule="auto"/>
                    <w:jc w:val="center"/>
                    <w:rPr>
                      <w:rFonts w:hint="default" w:eastAsia="宋体"/>
                      <w:sz w:val="21"/>
                      <w:szCs w:val="21"/>
                      <w:lang w:val="en-US" w:eastAsia="zh-CN"/>
                    </w:rPr>
                  </w:pPr>
                  <w:r>
                    <w:rPr>
                      <w:rFonts w:hint="eastAsia"/>
                      <w:sz w:val="21"/>
                      <w:szCs w:val="21"/>
                      <w:lang w:val="en-US" w:eastAsia="zh-CN"/>
                    </w:rPr>
                    <w:t>京杭运河-文昌桥</w:t>
                  </w:r>
                </w:p>
              </w:tc>
              <w:tc>
                <w:tcPr>
                  <w:tcW w:w="502" w:type="pct"/>
                  <w:vAlign w:val="center"/>
                </w:tcPr>
                <w:p>
                  <w:pPr>
                    <w:spacing w:line="240" w:lineRule="auto"/>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4.24</w:t>
                  </w:r>
                </w:p>
              </w:tc>
              <w:tc>
                <w:tcPr>
                  <w:tcW w:w="502" w:type="pct"/>
                  <w:vAlign w:val="center"/>
                </w:tcPr>
                <w:p>
                  <w:pPr>
                    <w:spacing w:line="240" w:lineRule="auto"/>
                    <w:jc w:val="center"/>
                    <w:rPr>
                      <w:rFonts w:hint="default" w:eastAsia="宋体"/>
                      <w:sz w:val="21"/>
                      <w:szCs w:val="21"/>
                      <w:lang w:val="en-US" w:eastAsia="zh-CN"/>
                    </w:rPr>
                  </w:pPr>
                  <w:r>
                    <w:rPr>
                      <w:rFonts w:hint="eastAsia"/>
                      <w:sz w:val="21"/>
                      <w:szCs w:val="21"/>
                      <w:lang w:val="en-US" w:eastAsia="zh-CN"/>
                    </w:rPr>
                    <w:t>7.29</w:t>
                  </w:r>
                </w:p>
              </w:tc>
              <w:tc>
                <w:tcPr>
                  <w:tcW w:w="794" w:type="pct"/>
                  <w:vAlign w:val="center"/>
                </w:tcPr>
                <w:p>
                  <w:pPr>
                    <w:spacing w:line="240" w:lineRule="auto"/>
                    <w:jc w:val="center"/>
                    <w:rPr>
                      <w:rFonts w:hint="default" w:eastAsia="宋体"/>
                      <w:sz w:val="21"/>
                      <w:szCs w:val="21"/>
                      <w:lang w:val="en-US" w:eastAsia="zh-CN"/>
                    </w:rPr>
                  </w:pPr>
                  <w:r>
                    <w:rPr>
                      <w:rFonts w:hint="eastAsia"/>
                      <w:sz w:val="21"/>
                      <w:szCs w:val="21"/>
                      <w:lang w:val="en-US" w:eastAsia="zh-CN"/>
                    </w:rPr>
                    <w:t>28</w:t>
                  </w:r>
                </w:p>
              </w:tc>
              <w:tc>
                <w:tcPr>
                  <w:tcW w:w="462" w:type="pct"/>
                  <w:vAlign w:val="center"/>
                </w:tcPr>
                <w:p>
                  <w:pPr>
                    <w:spacing w:line="240" w:lineRule="auto"/>
                    <w:jc w:val="center"/>
                    <w:rPr>
                      <w:rFonts w:hint="default"/>
                      <w:sz w:val="21"/>
                      <w:szCs w:val="21"/>
                      <w:lang w:val="en-US" w:eastAsia="zh-CN"/>
                    </w:rPr>
                  </w:pPr>
                  <w:r>
                    <w:rPr>
                      <w:rFonts w:hint="eastAsia"/>
                      <w:sz w:val="21"/>
                      <w:szCs w:val="21"/>
                      <w:lang w:val="en-US" w:eastAsia="zh-CN"/>
                    </w:rPr>
                    <w:t>1.42</w:t>
                  </w:r>
                </w:p>
              </w:tc>
              <w:tc>
                <w:tcPr>
                  <w:tcW w:w="587" w:type="pct"/>
                  <w:vAlign w:val="center"/>
                </w:tcPr>
                <w:p>
                  <w:pPr>
                    <w:spacing w:line="240" w:lineRule="auto"/>
                    <w:jc w:val="center"/>
                    <w:rPr>
                      <w:rFonts w:hint="default" w:eastAsia="宋体"/>
                      <w:sz w:val="21"/>
                      <w:szCs w:val="21"/>
                      <w:lang w:val="en-US" w:eastAsia="zh-CN"/>
                    </w:rPr>
                  </w:pPr>
                  <w:r>
                    <w:rPr>
                      <w:rFonts w:hint="eastAsia"/>
                      <w:sz w:val="21"/>
                      <w:szCs w:val="21"/>
                      <w:lang w:val="en-US" w:eastAsia="zh-CN"/>
                    </w:rPr>
                    <w:t>0.28</w:t>
                  </w:r>
                </w:p>
              </w:tc>
              <w:tc>
                <w:tcPr>
                  <w:tcW w:w="587" w:type="pct"/>
                  <w:vAlign w:val="center"/>
                </w:tcPr>
                <w:p>
                  <w:pPr>
                    <w:spacing w:line="240" w:lineRule="auto"/>
                    <w:jc w:val="center"/>
                    <w:rPr>
                      <w:rFonts w:hint="default" w:eastAsia="宋体"/>
                      <w:sz w:val="21"/>
                      <w:szCs w:val="21"/>
                      <w:lang w:val="en-US" w:eastAsia="zh-CN"/>
                    </w:rPr>
                  </w:pPr>
                  <w:r>
                    <w:rPr>
                      <w:rFonts w:hint="eastAsia"/>
                      <w:sz w:val="21"/>
                      <w:szCs w:val="21"/>
                      <w:lang w:val="en-US" w:eastAsia="zh-CN"/>
                    </w:rPr>
                    <w:t>52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1564" w:type="pct"/>
                  <w:vMerge w:val="continue"/>
                  <w:vAlign w:val="center"/>
                </w:tcPr>
                <w:p>
                  <w:pPr>
                    <w:spacing w:line="240" w:lineRule="auto"/>
                    <w:jc w:val="center"/>
                    <w:rPr>
                      <w:sz w:val="21"/>
                      <w:szCs w:val="21"/>
                    </w:rPr>
                  </w:pPr>
                </w:p>
              </w:tc>
              <w:tc>
                <w:tcPr>
                  <w:tcW w:w="502" w:type="pct"/>
                  <w:vAlign w:val="center"/>
                </w:tcPr>
                <w:p>
                  <w:pPr>
                    <w:spacing w:line="240" w:lineRule="auto"/>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4.25</w:t>
                  </w:r>
                </w:p>
              </w:tc>
              <w:tc>
                <w:tcPr>
                  <w:tcW w:w="502" w:type="pct"/>
                  <w:vAlign w:val="center"/>
                </w:tcPr>
                <w:p>
                  <w:pPr>
                    <w:spacing w:line="240" w:lineRule="auto"/>
                    <w:jc w:val="center"/>
                    <w:rPr>
                      <w:rFonts w:hint="default"/>
                      <w:sz w:val="21"/>
                      <w:szCs w:val="21"/>
                      <w:lang w:val="en-US" w:eastAsia="zh-CN"/>
                    </w:rPr>
                  </w:pPr>
                  <w:r>
                    <w:rPr>
                      <w:rFonts w:hint="eastAsia"/>
                      <w:sz w:val="21"/>
                      <w:szCs w:val="21"/>
                      <w:lang w:val="en-US" w:eastAsia="zh-CN"/>
                    </w:rPr>
                    <w:t>7.29</w:t>
                  </w:r>
                </w:p>
              </w:tc>
              <w:tc>
                <w:tcPr>
                  <w:tcW w:w="794" w:type="pct"/>
                  <w:vAlign w:val="center"/>
                </w:tcPr>
                <w:p>
                  <w:pPr>
                    <w:spacing w:line="240" w:lineRule="auto"/>
                    <w:jc w:val="center"/>
                    <w:rPr>
                      <w:rFonts w:hint="default"/>
                      <w:sz w:val="21"/>
                      <w:szCs w:val="21"/>
                      <w:lang w:val="en-US" w:eastAsia="zh-CN"/>
                    </w:rPr>
                  </w:pPr>
                  <w:r>
                    <w:rPr>
                      <w:rFonts w:hint="eastAsia"/>
                      <w:sz w:val="21"/>
                      <w:szCs w:val="21"/>
                      <w:lang w:val="en-US" w:eastAsia="zh-CN"/>
                    </w:rPr>
                    <w:t>28</w:t>
                  </w:r>
                </w:p>
              </w:tc>
              <w:tc>
                <w:tcPr>
                  <w:tcW w:w="462" w:type="pct"/>
                  <w:vAlign w:val="center"/>
                </w:tcPr>
                <w:p>
                  <w:pPr>
                    <w:spacing w:line="240" w:lineRule="auto"/>
                    <w:jc w:val="center"/>
                    <w:rPr>
                      <w:rFonts w:hint="default"/>
                      <w:sz w:val="21"/>
                      <w:szCs w:val="21"/>
                      <w:lang w:val="en-US" w:eastAsia="zh-CN"/>
                    </w:rPr>
                  </w:pPr>
                  <w:r>
                    <w:rPr>
                      <w:rFonts w:hint="eastAsia"/>
                      <w:sz w:val="21"/>
                      <w:szCs w:val="21"/>
                      <w:lang w:val="en-US" w:eastAsia="zh-CN"/>
                    </w:rPr>
                    <w:t>1.38</w:t>
                  </w:r>
                </w:p>
              </w:tc>
              <w:tc>
                <w:tcPr>
                  <w:tcW w:w="587" w:type="pct"/>
                  <w:vAlign w:val="center"/>
                </w:tcPr>
                <w:p>
                  <w:pPr>
                    <w:spacing w:line="240" w:lineRule="auto"/>
                    <w:jc w:val="center"/>
                    <w:rPr>
                      <w:rFonts w:hint="default"/>
                      <w:sz w:val="21"/>
                      <w:szCs w:val="21"/>
                      <w:lang w:val="en-US" w:eastAsia="zh-CN"/>
                    </w:rPr>
                  </w:pPr>
                  <w:r>
                    <w:rPr>
                      <w:rFonts w:hint="eastAsia"/>
                      <w:sz w:val="21"/>
                      <w:szCs w:val="21"/>
                      <w:lang w:val="en-US" w:eastAsia="zh-CN"/>
                    </w:rPr>
                    <w:t>0.28</w:t>
                  </w:r>
                </w:p>
              </w:tc>
              <w:tc>
                <w:tcPr>
                  <w:tcW w:w="587" w:type="pct"/>
                  <w:vAlign w:val="center"/>
                </w:tcPr>
                <w:p>
                  <w:pPr>
                    <w:spacing w:line="240" w:lineRule="auto"/>
                    <w:jc w:val="center"/>
                    <w:rPr>
                      <w:rFonts w:hint="default"/>
                      <w:sz w:val="21"/>
                      <w:szCs w:val="21"/>
                      <w:lang w:val="en-US" w:eastAsia="zh-CN"/>
                    </w:rPr>
                  </w:pPr>
                  <w:r>
                    <w:rPr>
                      <w:rFonts w:hint="eastAsia"/>
                      <w:sz w:val="21"/>
                      <w:szCs w:val="21"/>
                      <w:lang w:val="en-US" w:eastAsia="zh-CN"/>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1564" w:type="pct"/>
                  <w:vMerge w:val="continue"/>
                  <w:vAlign w:val="center"/>
                </w:tcPr>
                <w:p>
                  <w:pPr>
                    <w:spacing w:line="240" w:lineRule="auto"/>
                    <w:jc w:val="center"/>
                    <w:rPr>
                      <w:rFonts w:hint="eastAsia"/>
                      <w:sz w:val="21"/>
                      <w:szCs w:val="21"/>
                      <w:lang w:val="en-US" w:eastAsia="zh-CN"/>
                    </w:rPr>
                  </w:pPr>
                </w:p>
              </w:tc>
              <w:tc>
                <w:tcPr>
                  <w:tcW w:w="502" w:type="pct"/>
                  <w:vAlign w:val="center"/>
                </w:tcPr>
                <w:p>
                  <w:pPr>
                    <w:spacing w:line="240" w:lineRule="auto"/>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4.26</w:t>
                  </w:r>
                </w:p>
              </w:tc>
              <w:tc>
                <w:tcPr>
                  <w:tcW w:w="502" w:type="pct"/>
                  <w:vAlign w:val="center"/>
                </w:tcPr>
                <w:p>
                  <w:pPr>
                    <w:spacing w:line="240" w:lineRule="auto"/>
                    <w:jc w:val="center"/>
                    <w:rPr>
                      <w:rFonts w:hint="default"/>
                      <w:sz w:val="21"/>
                      <w:szCs w:val="21"/>
                      <w:lang w:val="en-US" w:eastAsia="zh-CN"/>
                    </w:rPr>
                  </w:pPr>
                  <w:r>
                    <w:rPr>
                      <w:rFonts w:hint="eastAsia"/>
                      <w:sz w:val="21"/>
                      <w:szCs w:val="21"/>
                      <w:lang w:val="en-US" w:eastAsia="zh-CN"/>
                    </w:rPr>
                    <w:t>7.35</w:t>
                  </w:r>
                </w:p>
              </w:tc>
              <w:tc>
                <w:tcPr>
                  <w:tcW w:w="794" w:type="pct"/>
                  <w:vAlign w:val="center"/>
                </w:tcPr>
                <w:p>
                  <w:pPr>
                    <w:spacing w:line="240" w:lineRule="auto"/>
                    <w:jc w:val="center"/>
                    <w:rPr>
                      <w:rFonts w:hint="default"/>
                      <w:sz w:val="21"/>
                      <w:szCs w:val="21"/>
                      <w:lang w:val="en-US" w:eastAsia="zh-CN"/>
                    </w:rPr>
                  </w:pPr>
                  <w:r>
                    <w:rPr>
                      <w:rFonts w:hint="eastAsia"/>
                      <w:sz w:val="21"/>
                      <w:szCs w:val="21"/>
                      <w:lang w:val="en-US" w:eastAsia="zh-CN"/>
                    </w:rPr>
                    <w:t>25</w:t>
                  </w:r>
                </w:p>
              </w:tc>
              <w:tc>
                <w:tcPr>
                  <w:tcW w:w="462" w:type="pct"/>
                  <w:vAlign w:val="center"/>
                </w:tcPr>
                <w:p>
                  <w:pPr>
                    <w:spacing w:line="240" w:lineRule="auto"/>
                    <w:jc w:val="center"/>
                    <w:rPr>
                      <w:rFonts w:hint="default"/>
                      <w:sz w:val="21"/>
                      <w:szCs w:val="21"/>
                      <w:lang w:val="en-US" w:eastAsia="zh-CN"/>
                    </w:rPr>
                  </w:pPr>
                  <w:r>
                    <w:rPr>
                      <w:rFonts w:hint="eastAsia"/>
                      <w:sz w:val="21"/>
                      <w:szCs w:val="21"/>
                      <w:lang w:val="en-US" w:eastAsia="zh-CN"/>
                    </w:rPr>
                    <w:t>1.24</w:t>
                  </w:r>
                </w:p>
              </w:tc>
              <w:tc>
                <w:tcPr>
                  <w:tcW w:w="587" w:type="pct"/>
                  <w:vAlign w:val="center"/>
                </w:tcPr>
                <w:p>
                  <w:pPr>
                    <w:spacing w:line="240" w:lineRule="auto"/>
                    <w:jc w:val="center"/>
                    <w:rPr>
                      <w:rFonts w:hint="default"/>
                      <w:sz w:val="21"/>
                      <w:szCs w:val="21"/>
                      <w:lang w:val="en-US" w:eastAsia="zh-CN"/>
                    </w:rPr>
                  </w:pPr>
                  <w:r>
                    <w:rPr>
                      <w:rFonts w:hint="eastAsia"/>
                      <w:sz w:val="21"/>
                      <w:szCs w:val="21"/>
                      <w:lang w:val="en-US" w:eastAsia="zh-CN"/>
                    </w:rPr>
                    <w:t>0.28</w:t>
                  </w:r>
                </w:p>
              </w:tc>
              <w:tc>
                <w:tcPr>
                  <w:tcW w:w="587" w:type="pct"/>
                  <w:vAlign w:val="center"/>
                </w:tcPr>
                <w:p>
                  <w:pPr>
                    <w:spacing w:line="240" w:lineRule="auto"/>
                    <w:jc w:val="center"/>
                    <w:rPr>
                      <w:rFonts w:hint="default"/>
                      <w:sz w:val="21"/>
                      <w:szCs w:val="21"/>
                      <w:lang w:val="en-US" w:eastAsia="zh-CN"/>
                    </w:rPr>
                  </w:pPr>
                  <w:r>
                    <w:rPr>
                      <w:rFonts w:hint="eastAsia"/>
                      <w:sz w:val="21"/>
                      <w:szCs w:val="21"/>
                      <w:lang w:val="en-US" w:eastAsia="zh-CN"/>
                    </w:rPr>
                    <w:t>56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564" w:type="pct"/>
                  <w:vMerge w:val="restart"/>
                  <w:vAlign w:val="center"/>
                </w:tcPr>
                <w:p>
                  <w:pPr>
                    <w:spacing w:line="240" w:lineRule="auto"/>
                    <w:jc w:val="center"/>
                    <w:rPr>
                      <w:rFonts w:hint="default" w:eastAsia="宋体"/>
                      <w:sz w:val="21"/>
                      <w:szCs w:val="21"/>
                      <w:lang w:val="en-US" w:eastAsia="zh-CN"/>
                    </w:rPr>
                  </w:pPr>
                  <w:r>
                    <w:rPr>
                      <w:rFonts w:hint="eastAsia"/>
                      <w:sz w:val="21"/>
                      <w:szCs w:val="21"/>
                      <w:lang w:val="en-US" w:eastAsia="zh-CN"/>
                    </w:rPr>
                    <w:t>京杭运河-长浒大桥</w:t>
                  </w:r>
                </w:p>
              </w:tc>
              <w:tc>
                <w:tcPr>
                  <w:tcW w:w="502" w:type="pct"/>
                  <w:vAlign w:val="center"/>
                </w:tcPr>
                <w:p>
                  <w:pPr>
                    <w:spacing w:line="240" w:lineRule="auto"/>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4.24</w:t>
                  </w:r>
                </w:p>
              </w:tc>
              <w:tc>
                <w:tcPr>
                  <w:tcW w:w="502" w:type="pct"/>
                  <w:vAlign w:val="center"/>
                </w:tcPr>
                <w:p>
                  <w:pPr>
                    <w:spacing w:line="240" w:lineRule="auto"/>
                    <w:jc w:val="center"/>
                    <w:rPr>
                      <w:rFonts w:hint="default" w:eastAsia="宋体"/>
                      <w:sz w:val="21"/>
                      <w:szCs w:val="21"/>
                      <w:lang w:val="en-US" w:eastAsia="zh-CN"/>
                    </w:rPr>
                  </w:pPr>
                  <w:r>
                    <w:rPr>
                      <w:rFonts w:hint="eastAsia"/>
                      <w:sz w:val="21"/>
                      <w:szCs w:val="21"/>
                      <w:lang w:val="en-US" w:eastAsia="zh-CN"/>
                    </w:rPr>
                    <w:t>7.31</w:t>
                  </w:r>
                </w:p>
              </w:tc>
              <w:tc>
                <w:tcPr>
                  <w:tcW w:w="794" w:type="pct"/>
                  <w:vAlign w:val="center"/>
                </w:tcPr>
                <w:p>
                  <w:pPr>
                    <w:spacing w:line="240" w:lineRule="auto"/>
                    <w:jc w:val="center"/>
                    <w:rPr>
                      <w:rFonts w:hint="default" w:eastAsia="宋体"/>
                      <w:sz w:val="21"/>
                      <w:szCs w:val="21"/>
                      <w:lang w:val="en-US" w:eastAsia="zh-CN"/>
                    </w:rPr>
                  </w:pPr>
                  <w:r>
                    <w:rPr>
                      <w:rFonts w:hint="eastAsia"/>
                      <w:sz w:val="21"/>
                      <w:szCs w:val="21"/>
                      <w:lang w:val="en-US" w:eastAsia="zh-CN"/>
                    </w:rPr>
                    <w:t>27</w:t>
                  </w:r>
                </w:p>
              </w:tc>
              <w:tc>
                <w:tcPr>
                  <w:tcW w:w="462" w:type="pct"/>
                  <w:vAlign w:val="center"/>
                </w:tcPr>
                <w:p>
                  <w:pPr>
                    <w:spacing w:line="240" w:lineRule="auto"/>
                    <w:jc w:val="center"/>
                    <w:rPr>
                      <w:rFonts w:hint="default"/>
                      <w:sz w:val="21"/>
                      <w:szCs w:val="21"/>
                      <w:lang w:val="en-US" w:eastAsia="zh-CN"/>
                    </w:rPr>
                  </w:pPr>
                  <w:r>
                    <w:rPr>
                      <w:rFonts w:hint="eastAsia"/>
                      <w:sz w:val="21"/>
                      <w:szCs w:val="21"/>
                      <w:lang w:val="en-US" w:eastAsia="zh-CN"/>
                    </w:rPr>
                    <w:t>1.27</w:t>
                  </w:r>
                </w:p>
              </w:tc>
              <w:tc>
                <w:tcPr>
                  <w:tcW w:w="587" w:type="pct"/>
                  <w:vAlign w:val="center"/>
                </w:tcPr>
                <w:p>
                  <w:pPr>
                    <w:spacing w:line="240" w:lineRule="auto"/>
                    <w:jc w:val="center"/>
                    <w:rPr>
                      <w:rFonts w:hint="default" w:eastAsia="宋体"/>
                      <w:sz w:val="21"/>
                      <w:szCs w:val="21"/>
                      <w:lang w:val="en-US" w:eastAsia="zh-CN"/>
                    </w:rPr>
                  </w:pPr>
                  <w:r>
                    <w:rPr>
                      <w:rFonts w:hint="eastAsia"/>
                      <w:sz w:val="21"/>
                      <w:szCs w:val="21"/>
                      <w:lang w:val="en-US" w:eastAsia="zh-CN"/>
                    </w:rPr>
                    <w:t>0.29</w:t>
                  </w:r>
                </w:p>
              </w:tc>
              <w:tc>
                <w:tcPr>
                  <w:tcW w:w="587" w:type="pct"/>
                  <w:vAlign w:val="center"/>
                </w:tcPr>
                <w:p>
                  <w:pPr>
                    <w:spacing w:line="240" w:lineRule="auto"/>
                    <w:jc w:val="center"/>
                    <w:rPr>
                      <w:rFonts w:hint="default" w:eastAsia="宋体"/>
                      <w:sz w:val="21"/>
                      <w:szCs w:val="21"/>
                      <w:lang w:val="en-US" w:eastAsia="zh-CN"/>
                    </w:rPr>
                  </w:pPr>
                  <w:r>
                    <w:rPr>
                      <w:rFonts w:hint="eastAsia"/>
                      <w:sz w:val="21"/>
                      <w:szCs w:val="21"/>
                      <w:lang w:val="en-US" w:eastAsia="zh-CN"/>
                    </w:rPr>
                    <w:t>53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564" w:type="pct"/>
                  <w:vMerge w:val="continue"/>
                  <w:vAlign w:val="center"/>
                </w:tcPr>
                <w:p>
                  <w:pPr>
                    <w:spacing w:line="240" w:lineRule="auto"/>
                    <w:jc w:val="center"/>
                    <w:rPr>
                      <w:sz w:val="21"/>
                      <w:szCs w:val="21"/>
                    </w:rPr>
                  </w:pPr>
                </w:p>
              </w:tc>
              <w:tc>
                <w:tcPr>
                  <w:tcW w:w="502" w:type="pct"/>
                  <w:vAlign w:val="center"/>
                </w:tcPr>
                <w:p>
                  <w:pPr>
                    <w:spacing w:line="240" w:lineRule="auto"/>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4.25</w:t>
                  </w:r>
                </w:p>
              </w:tc>
              <w:tc>
                <w:tcPr>
                  <w:tcW w:w="502" w:type="pct"/>
                  <w:vAlign w:val="center"/>
                </w:tcPr>
                <w:p>
                  <w:pPr>
                    <w:spacing w:line="240" w:lineRule="auto"/>
                    <w:jc w:val="center"/>
                    <w:rPr>
                      <w:rFonts w:hint="default"/>
                      <w:sz w:val="21"/>
                      <w:szCs w:val="21"/>
                      <w:lang w:val="en-US" w:eastAsia="zh-CN"/>
                    </w:rPr>
                  </w:pPr>
                  <w:r>
                    <w:rPr>
                      <w:rFonts w:hint="eastAsia"/>
                      <w:sz w:val="21"/>
                      <w:szCs w:val="21"/>
                      <w:lang w:val="en-US" w:eastAsia="zh-CN"/>
                    </w:rPr>
                    <w:t>7.28</w:t>
                  </w:r>
                </w:p>
              </w:tc>
              <w:tc>
                <w:tcPr>
                  <w:tcW w:w="794" w:type="pct"/>
                  <w:vAlign w:val="center"/>
                </w:tcPr>
                <w:p>
                  <w:pPr>
                    <w:spacing w:line="240" w:lineRule="auto"/>
                    <w:jc w:val="center"/>
                    <w:rPr>
                      <w:rFonts w:hint="default"/>
                      <w:sz w:val="21"/>
                      <w:szCs w:val="21"/>
                      <w:lang w:val="en-US" w:eastAsia="zh-CN"/>
                    </w:rPr>
                  </w:pPr>
                  <w:r>
                    <w:rPr>
                      <w:rFonts w:hint="eastAsia"/>
                      <w:sz w:val="21"/>
                      <w:szCs w:val="21"/>
                      <w:lang w:val="en-US" w:eastAsia="zh-CN"/>
                    </w:rPr>
                    <w:t>27</w:t>
                  </w:r>
                </w:p>
              </w:tc>
              <w:tc>
                <w:tcPr>
                  <w:tcW w:w="462" w:type="pct"/>
                  <w:vAlign w:val="center"/>
                </w:tcPr>
                <w:p>
                  <w:pPr>
                    <w:spacing w:line="240" w:lineRule="auto"/>
                    <w:jc w:val="center"/>
                    <w:rPr>
                      <w:rFonts w:hint="default"/>
                      <w:sz w:val="21"/>
                      <w:szCs w:val="21"/>
                      <w:lang w:val="en-US" w:eastAsia="zh-CN"/>
                    </w:rPr>
                  </w:pPr>
                  <w:r>
                    <w:rPr>
                      <w:rFonts w:hint="eastAsia"/>
                      <w:sz w:val="21"/>
                      <w:szCs w:val="21"/>
                      <w:lang w:val="en-US" w:eastAsia="zh-CN"/>
                    </w:rPr>
                    <w:t>1.30</w:t>
                  </w:r>
                </w:p>
              </w:tc>
              <w:tc>
                <w:tcPr>
                  <w:tcW w:w="587" w:type="pct"/>
                  <w:vAlign w:val="center"/>
                </w:tcPr>
                <w:p>
                  <w:pPr>
                    <w:spacing w:line="240" w:lineRule="auto"/>
                    <w:jc w:val="center"/>
                    <w:rPr>
                      <w:rFonts w:hint="default"/>
                      <w:sz w:val="21"/>
                      <w:szCs w:val="21"/>
                      <w:lang w:val="en-US" w:eastAsia="zh-CN"/>
                    </w:rPr>
                  </w:pPr>
                  <w:r>
                    <w:rPr>
                      <w:rFonts w:hint="eastAsia"/>
                      <w:sz w:val="21"/>
                      <w:szCs w:val="21"/>
                      <w:lang w:val="en-US" w:eastAsia="zh-CN"/>
                    </w:rPr>
                    <w:t>0.28</w:t>
                  </w:r>
                </w:p>
              </w:tc>
              <w:tc>
                <w:tcPr>
                  <w:tcW w:w="587" w:type="pct"/>
                  <w:vAlign w:val="center"/>
                </w:tcPr>
                <w:p>
                  <w:pPr>
                    <w:spacing w:line="240" w:lineRule="auto"/>
                    <w:jc w:val="center"/>
                    <w:rPr>
                      <w:rFonts w:hint="default"/>
                      <w:sz w:val="21"/>
                      <w:szCs w:val="21"/>
                      <w:lang w:val="en-US" w:eastAsia="zh-CN"/>
                    </w:rPr>
                  </w:pPr>
                  <w:r>
                    <w:rPr>
                      <w:rFonts w:hint="eastAsia"/>
                      <w:sz w:val="21"/>
                      <w:szCs w:val="21"/>
                      <w:lang w:val="en-US" w:eastAsia="zh-CN"/>
                    </w:rPr>
                    <w:t>54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564" w:type="pct"/>
                  <w:vMerge w:val="continue"/>
                  <w:vAlign w:val="center"/>
                </w:tcPr>
                <w:p>
                  <w:pPr>
                    <w:spacing w:line="240" w:lineRule="auto"/>
                    <w:jc w:val="center"/>
                    <w:rPr>
                      <w:rFonts w:hint="eastAsia"/>
                      <w:sz w:val="21"/>
                      <w:szCs w:val="21"/>
                      <w:lang w:val="en-US" w:eastAsia="zh-CN"/>
                    </w:rPr>
                  </w:pPr>
                </w:p>
              </w:tc>
              <w:tc>
                <w:tcPr>
                  <w:tcW w:w="502" w:type="pct"/>
                  <w:vAlign w:val="center"/>
                </w:tcPr>
                <w:p>
                  <w:pPr>
                    <w:spacing w:line="240" w:lineRule="auto"/>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4.26</w:t>
                  </w:r>
                </w:p>
              </w:tc>
              <w:tc>
                <w:tcPr>
                  <w:tcW w:w="502" w:type="pct"/>
                  <w:vAlign w:val="center"/>
                </w:tcPr>
                <w:p>
                  <w:pPr>
                    <w:spacing w:line="240" w:lineRule="auto"/>
                    <w:jc w:val="center"/>
                    <w:rPr>
                      <w:rFonts w:hint="default"/>
                      <w:sz w:val="21"/>
                      <w:szCs w:val="21"/>
                      <w:lang w:val="en-US" w:eastAsia="zh-CN"/>
                    </w:rPr>
                  </w:pPr>
                  <w:r>
                    <w:rPr>
                      <w:rFonts w:hint="eastAsia"/>
                      <w:sz w:val="21"/>
                      <w:szCs w:val="21"/>
                      <w:lang w:val="en-US" w:eastAsia="zh-CN"/>
                    </w:rPr>
                    <w:t>7.28</w:t>
                  </w:r>
                </w:p>
              </w:tc>
              <w:tc>
                <w:tcPr>
                  <w:tcW w:w="794" w:type="pct"/>
                  <w:vAlign w:val="center"/>
                </w:tcPr>
                <w:p>
                  <w:pPr>
                    <w:spacing w:line="240" w:lineRule="auto"/>
                    <w:jc w:val="center"/>
                    <w:rPr>
                      <w:rFonts w:hint="default"/>
                      <w:sz w:val="21"/>
                      <w:szCs w:val="21"/>
                      <w:lang w:val="en-US" w:eastAsia="zh-CN"/>
                    </w:rPr>
                  </w:pPr>
                  <w:r>
                    <w:rPr>
                      <w:rFonts w:hint="eastAsia"/>
                      <w:sz w:val="21"/>
                      <w:szCs w:val="21"/>
                      <w:lang w:val="en-US" w:eastAsia="zh-CN"/>
                    </w:rPr>
                    <w:t>28</w:t>
                  </w:r>
                </w:p>
              </w:tc>
              <w:tc>
                <w:tcPr>
                  <w:tcW w:w="462" w:type="pct"/>
                  <w:vAlign w:val="center"/>
                </w:tcPr>
                <w:p>
                  <w:pPr>
                    <w:spacing w:line="240" w:lineRule="auto"/>
                    <w:jc w:val="center"/>
                    <w:rPr>
                      <w:rFonts w:hint="default"/>
                      <w:sz w:val="21"/>
                      <w:szCs w:val="21"/>
                      <w:lang w:val="en-US" w:eastAsia="zh-CN"/>
                    </w:rPr>
                  </w:pPr>
                  <w:r>
                    <w:rPr>
                      <w:rFonts w:hint="eastAsia"/>
                      <w:sz w:val="21"/>
                      <w:szCs w:val="21"/>
                      <w:lang w:val="en-US" w:eastAsia="zh-CN"/>
                    </w:rPr>
                    <w:t>1.27</w:t>
                  </w:r>
                </w:p>
              </w:tc>
              <w:tc>
                <w:tcPr>
                  <w:tcW w:w="587" w:type="pct"/>
                  <w:vAlign w:val="center"/>
                </w:tcPr>
                <w:p>
                  <w:pPr>
                    <w:spacing w:line="240" w:lineRule="auto"/>
                    <w:jc w:val="center"/>
                    <w:rPr>
                      <w:rFonts w:hint="default"/>
                      <w:sz w:val="21"/>
                      <w:szCs w:val="21"/>
                      <w:lang w:val="en-US" w:eastAsia="zh-CN"/>
                    </w:rPr>
                  </w:pPr>
                  <w:r>
                    <w:rPr>
                      <w:rFonts w:hint="eastAsia"/>
                      <w:sz w:val="21"/>
                      <w:szCs w:val="21"/>
                      <w:lang w:val="en-US" w:eastAsia="zh-CN"/>
                    </w:rPr>
                    <w:t>0.28</w:t>
                  </w:r>
                </w:p>
              </w:tc>
              <w:tc>
                <w:tcPr>
                  <w:tcW w:w="587" w:type="pct"/>
                  <w:vAlign w:val="center"/>
                </w:tcPr>
                <w:p>
                  <w:pPr>
                    <w:spacing w:line="240" w:lineRule="auto"/>
                    <w:jc w:val="center"/>
                    <w:rPr>
                      <w:rFonts w:hint="default"/>
                      <w:sz w:val="21"/>
                      <w:szCs w:val="21"/>
                      <w:lang w:val="en-US" w:eastAsia="zh-CN"/>
                    </w:rPr>
                  </w:pPr>
                  <w:r>
                    <w:rPr>
                      <w:rFonts w:hint="eastAsia"/>
                      <w:sz w:val="21"/>
                      <w:szCs w:val="21"/>
                      <w:lang w:val="en-US" w:eastAsia="zh-CN"/>
                    </w:rPr>
                    <w:t>57</w:t>
                  </w:r>
                </w:p>
              </w:tc>
            </w:tr>
          </w:tbl>
          <w:p>
            <w:pPr>
              <w:pStyle w:val="2"/>
              <w:ind w:firstLine="480"/>
            </w:pPr>
            <w:r>
              <w:t>由上述分析可见，本项目受纳水体</w:t>
            </w:r>
            <w:r>
              <w:rPr>
                <w:rFonts w:hint="eastAsia"/>
                <w:lang w:val="en-US" w:eastAsia="zh-CN"/>
              </w:rPr>
              <w:t>京杭运河白荡净水厂</w:t>
            </w:r>
            <w:r>
              <w:t>排污口监测断面pH、化学需氧量、总磷、氨氮的浓度均符合《地表水环境质量标准》（GB3838-2002）中的III类水质标准，说明项目所在地水环境质量良好。</w:t>
            </w:r>
          </w:p>
          <w:p>
            <w:pPr>
              <w:adjustRightInd w:val="0"/>
              <w:snapToGrid w:val="0"/>
              <w:ind w:firstLine="482" w:firstLineChars="200"/>
              <w:rPr>
                <w:b/>
                <w:highlight w:val="none"/>
              </w:rPr>
            </w:pPr>
            <w:r>
              <w:rPr>
                <w:b/>
              </w:rPr>
              <w:t>3、声环境</w:t>
            </w:r>
            <w:r>
              <w:rPr>
                <w:b/>
                <w:highlight w:val="none"/>
              </w:rPr>
              <w:t>质量现状</w:t>
            </w:r>
          </w:p>
          <w:p>
            <w:pPr>
              <w:adjustRightInd w:val="0"/>
              <w:snapToGrid w:val="0"/>
              <w:ind w:firstLine="480" w:firstLineChars="200"/>
              <w:rPr>
                <w:szCs w:val="21"/>
                <w:highlight w:val="none"/>
              </w:rPr>
            </w:pPr>
            <w:r>
              <w:rPr>
                <w:highlight w:val="none"/>
              </w:rPr>
              <w:t>本项目位于苏州高新区</w:t>
            </w:r>
            <w:r>
              <w:rPr>
                <w:rFonts w:hint="eastAsia"/>
                <w:highlight w:val="none"/>
                <w:lang w:val="en-US" w:eastAsia="zh-CN"/>
              </w:rPr>
              <w:t>东金芝路56号</w:t>
            </w:r>
            <w:r>
              <w:rPr>
                <w:highlight w:val="none"/>
              </w:rPr>
              <w:t>，委托</w:t>
            </w:r>
            <w:r>
              <w:rPr>
                <w:rFonts w:hint="eastAsia"/>
                <w:highlight w:val="none"/>
              </w:rPr>
              <w:t>苏州</w:t>
            </w:r>
            <w:r>
              <w:rPr>
                <w:rFonts w:hint="eastAsia"/>
                <w:highlight w:val="none"/>
                <w:lang w:val="en-US" w:eastAsia="zh-CN"/>
              </w:rPr>
              <w:t>国泰环境检测有限公司</w:t>
            </w:r>
            <w:r>
              <w:rPr>
                <w:highlight w:val="none"/>
              </w:rPr>
              <w:t>于20</w:t>
            </w:r>
            <w:r>
              <w:rPr>
                <w:rFonts w:hint="eastAsia"/>
                <w:highlight w:val="none"/>
                <w:lang w:val="en-US" w:eastAsia="zh-CN"/>
              </w:rPr>
              <w:t>20</w:t>
            </w:r>
            <w:r>
              <w:rPr>
                <w:highlight w:val="none"/>
              </w:rPr>
              <w:t>年</w:t>
            </w:r>
            <w:r>
              <w:rPr>
                <w:rFonts w:hint="eastAsia"/>
                <w:highlight w:val="none"/>
                <w:lang w:val="en-US" w:eastAsia="zh-CN"/>
              </w:rPr>
              <w:t>5</w:t>
            </w:r>
            <w:r>
              <w:rPr>
                <w:highlight w:val="none"/>
              </w:rPr>
              <w:t>月</w:t>
            </w:r>
            <w:r>
              <w:rPr>
                <w:rFonts w:hint="eastAsia"/>
                <w:highlight w:val="none"/>
                <w:lang w:val="en-US" w:eastAsia="zh-CN"/>
              </w:rPr>
              <w:t>8</w:t>
            </w:r>
            <w:r>
              <w:rPr>
                <w:highlight w:val="none"/>
              </w:rPr>
              <w:t>日</w:t>
            </w:r>
            <w:r>
              <w:rPr>
                <w:snapToGrid w:val="0"/>
                <w:kern w:val="0"/>
                <w:highlight w:val="none"/>
              </w:rPr>
              <w:t>对</w:t>
            </w:r>
            <w:r>
              <w:rPr>
                <w:highlight w:val="none"/>
              </w:rPr>
              <w:t>项目地厂界四周</w:t>
            </w:r>
            <w:r>
              <w:rPr>
                <w:rFonts w:hint="eastAsia"/>
                <w:highlight w:val="none"/>
              </w:rPr>
              <w:t>1</w:t>
            </w:r>
            <w:r>
              <w:rPr>
                <w:highlight w:val="none"/>
              </w:rPr>
              <w:t>m处共布设4个监测点，进行声环境质量现状监测。由表3-5可以看出，项目各厂界噪声均满足《声环境质量标准》（GB3096-2008）3类标准。</w:t>
            </w:r>
          </w:p>
          <w:p>
            <w:pPr>
              <w:adjustRightInd w:val="0"/>
              <w:snapToGrid w:val="0"/>
              <w:jc w:val="center"/>
              <w:rPr>
                <w:b/>
                <w:sz w:val="21"/>
                <w:szCs w:val="21"/>
                <w:highlight w:val="none"/>
              </w:rPr>
            </w:pPr>
            <w:r>
              <w:rPr>
                <w:b/>
                <w:sz w:val="21"/>
                <w:szCs w:val="21"/>
                <w:highlight w:val="none"/>
              </w:rPr>
              <w:t>表3-</w:t>
            </w:r>
            <w:r>
              <w:rPr>
                <w:rFonts w:hint="eastAsia"/>
                <w:b/>
                <w:sz w:val="21"/>
                <w:szCs w:val="21"/>
                <w:highlight w:val="none"/>
              </w:rPr>
              <w:t>3</w:t>
            </w:r>
            <w:r>
              <w:rPr>
                <w:b/>
                <w:sz w:val="21"/>
                <w:szCs w:val="21"/>
                <w:highlight w:val="none"/>
              </w:rPr>
              <w:t>噪声现状监测结果及评价  单位：dB(A)</w:t>
            </w:r>
          </w:p>
          <w:tbl>
            <w:tblPr>
              <w:tblStyle w:val="26"/>
              <w:tblW w:w="9423"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48"/>
              <w:gridCol w:w="2277"/>
              <w:gridCol w:w="1340"/>
              <w:gridCol w:w="1559"/>
              <w:gridCol w:w="1459"/>
              <w:gridCol w:w="144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25" w:type="dxa"/>
                  <w:gridSpan w:val="2"/>
                  <w:vAlign w:val="center"/>
                </w:tcPr>
                <w:p>
                  <w:pPr>
                    <w:snapToGrid w:val="0"/>
                    <w:spacing w:line="240" w:lineRule="auto"/>
                    <w:jc w:val="center"/>
                    <w:rPr>
                      <w:b/>
                      <w:sz w:val="21"/>
                      <w:szCs w:val="21"/>
                      <w:highlight w:val="none"/>
                    </w:rPr>
                  </w:pPr>
                  <w:r>
                    <w:rPr>
                      <w:b/>
                      <w:sz w:val="21"/>
                      <w:szCs w:val="21"/>
                      <w:highlight w:val="none"/>
                    </w:rPr>
                    <w:t>昼间噪声测试日期及气象条件</w:t>
                  </w:r>
                </w:p>
              </w:tc>
              <w:tc>
                <w:tcPr>
                  <w:tcW w:w="5798" w:type="dxa"/>
                  <w:gridSpan w:val="4"/>
                  <w:vAlign w:val="center"/>
                </w:tcPr>
                <w:p>
                  <w:pPr>
                    <w:snapToGrid w:val="0"/>
                    <w:spacing w:line="240" w:lineRule="auto"/>
                    <w:jc w:val="center"/>
                    <w:rPr>
                      <w:sz w:val="21"/>
                      <w:szCs w:val="21"/>
                      <w:highlight w:val="none"/>
                    </w:rPr>
                  </w:pPr>
                  <w:r>
                    <w:rPr>
                      <w:sz w:val="21"/>
                      <w:szCs w:val="21"/>
                      <w:highlight w:val="none"/>
                    </w:rPr>
                    <w:t>20</w:t>
                  </w:r>
                  <w:r>
                    <w:rPr>
                      <w:rFonts w:hint="eastAsia"/>
                      <w:sz w:val="21"/>
                      <w:szCs w:val="21"/>
                      <w:highlight w:val="none"/>
                      <w:lang w:val="en-US" w:eastAsia="zh-CN"/>
                    </w:rPr>
                    <w:t>20</w:t>
                  </w:r>
                  <w:r>
                    <w:rPr>
                      <w:sz w:val="21"/>
                      <w:szCs w:val="21"/>
                      <w:highlight w:val="none"/>
                    </w:rPr>
                    <w:t>年</w:t>
                  </w:r>
                  <w:r>
                    <w:rPr>
                      <w:rFonts w:hint="eastAsia"/>
                      <w:sz w:val="21"/>
                      <w:szCs w:val="21"/>
                      <w:highlight w:val="none"/>
                      <w:lang w:val="en-US" w:eastAsia="zh-CN"/>
                    </w:rPr>
                    <w:t>5</w:t>
                  </w:r>
                  <w:r>
                    <w:rPr>
                      <w:sz w:val="21"/>
                      <w:szCs w:val="21"/>
                      <w:highlight w:val="none"/>
                    </w:rPr>
                    <w:t>月</w:t>
                  </w:r>
                  <w:r>
                    <w:rPr>
                      <w:rFonts w:hint="eastAsia"/>
                      <w:sz w:val="21"/>
                      <w:szCs w:val="21"/>
                      <w:highlight w:val="none"/>
                      <w:lang w:val="en-US" w:eastAsia="zh-CN"/>
                    </w:rPr>
                    <w:t>8</w:t>
                  </w:r>
                  <w:r>
                    <w:rPr>
                      <w:sz w:val="21"/>
                      <w:szCs w:val="21"/>
                      <w:highlight w:val="none"/>
                    </w:rPr>
                    <w:t xml:space="preserve">日 </w:t>
                  </w:r>
                  <w:r>
                    <w:rPr>
                      <w:rFonts w:hint="eastAsia"/>
                      <w:sz w:val="21"/>
                      <w:szCs w:val="21"/>
                      <w:highlight w:val="none"/>
                    </w:rPr>
                    <w:t>多云</w:t>
                  </w:r>
                  <w:r>
                    <w:rPr>
                      <w:sz w:val="21"/>
                      <w:szCs w:val="21"/>
                      <w:highlight w:val="none"/>
                    </w:rPr>
                    <w:t xml:space="preserve"> 最大风速：</w:t>
                  </w:r>
                  <w:r>
                    <w:rPr>
                      <w:rFonts w:hint="eastAsia"/>
                      <w:sz w:val="21"/>
                      <w:szCs w:val="21"/>
                      <w:highlight w:val="none"/>
                      <w:lang w:val="en-US" w:eastAsia="zh-CN"/>
                    </w:rPr>
                    <w:t>1.8</w:t>
                  </w:r>
                  <w:r>
                    <w:rPr>
                      <w:sz w:val="21"/>
                      <w:szCs w:val="21"/>
                      <w:highlight w:val="none"/>
                    </w:rPr>
                    <w:t>m/s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25" w:type="dxa"/>
                  <w:gridSpan w:val="2"/>
                  <w:tcBorders>
                    <w:bottom w:val="single" w:color="auto" w:sz="12" w:space="0"/>
                  </w:tcBorders>
                  <w:vAlign w:val="center"/>
                </w:tcPr>
                <w:p>
                  <w:pPr>
                    <w:snapToGrid w:val="0"/>
                    <w:spacing w:line="240" w:lineRule="auto"/>
                    <w:jc w:val="center"/>
                    <w:rPr>
                      <w:b/>
                      <w:sz w:val="21"/>
                      <w:szCs w:val="21"/>
                      <w:highlight w:val="none"/>
                    </w:rPr>
                  </w:pPr>
                  <w:r>
                    <w:rPr>
                      <w:b/>
                      <w:sz w:val="21"/>
                      <w:szCs w:val="21"/>
                      <w:highlight w:val="none"/>
                    </w:rPr>
                    <w:t>夜间噪声测试日期及气象条件</w:t>
                  </w:r>
                </w:p>
              </w:tc>
              <w:tc>
                <w:tcPr>
                  <w:tcW w:w="5798" w:type="dxa"/>
                  <w:gridSpan w:val="4"/>
                  <w:tcBorders>
                    <w:bottom w:val="single" w:color="auto" w:sz="12" w:space="0"/>
                  </w:tcBorders>
                  <w:vAlign w:val="center"/>
                </w:tcPr>
                <w:p>
                  <w:pPr>
                    <w:snapToGrid w:val="0"/>
                    <w:spacing w:line="240" w:lineRule="auto"/>
                    <w:jc w:val="center"/>
                    <w:rPr>
                      <w:sz w:val="21"/>
                      <w:szCs w:val="21"/>
                      <w:highlight w:val="none"/>
                    </w:rPr>
                  </w:pPr>
                  <w:r>
                    <w:rPr>
                      <w:sz w:val="21"/>
                      <w:szCs w:val="21"/>
                      <w:highlight w:val="none"/>
                    </w:rPr>
                    <w:t>20</w:t>
                  </w:r>
                  <w:r>
                    <w:rPr>
                      <w:rFonts w:hint="eastAsia"/>
                      <w:sz w:val="21"/>
                      <w:szCs w:val="21"/>
                      <w:highlight w:val="none"/>
                      <w:lang w:val="en-US" w:eastAsia="zh-CN"/>
                    </w:rPr>
                    <w:t>20</w:t>
                  </w:r>
                  <w:r>
                    <w:rPr>
                      <w:sz w:val="21"/>
                      <w:szCs w:val="21"/>
                      <w:highlight w:val="none"/>
                    </w:rPr>
                    <w:t>年</w:t>
                  </w:r>
                  <w:r>
                    <w:rPr>
                      <w:rFonts w:hint="eastAsia"/>
                      <w:sz w:val="21"/>
                      <w:szCs w:val="21"/>
                      <w:highlight w:val="none"/>
                      <w:lang w:val="en-US" w:eastAsia="zh-CN"/>
                    </w:rPr>
                    <w:t>5</w:t>
                  </w:r>
                  <w:r>
                    <w:rPr>
                      <w:sz w:val="21"/>
                      <w:szCs w:val="21"/>
                      <w:highlight w:val="none"/>
                    </w:rPr>
                    <w:t>月</w:t>
                  </w:r>
                  <w:r>
                    <w:rPr>
                      <w:rFonts w:hint="eastAsia"/>
                      <w:sz w:val="21"/>
                      <w:szCs w:val="21"/>
                      <w:highlight w:val="none"/>
                      <w:lang w:val="en-US" w:eastAsia="zh-CN"/>
                    </w:rPr>
                    <w:t>8</w:t>
                  </w:r>
                  <w:r>
                    <w:rPr>
                      <w:sz w:val="21"/>
                      <w:szCs w:val="21"/>
                      <w:highlight w:val="none"/>
                    </w:rPr>
                    <w:t xml:space="preserve">日 </w:t>
                  </w:r>
                  <w:r>
                    <w:rPr>
                      <w:rFonts w:hint="eastAsia"/>
                      <w:sz w:val="21"/>
                      <w:szCs w:val="21"/>
                      <w:highlight w:val="none"/>
                    </w:rPr>
                    <w:t>多云</w:t>
                  </w:r>
                  <w:r>
                    <w:rPr>
                      <w:sz w:val="21"/>
                      <w:szCs w:val="21"/>
                      <w:highlight w:val="none"/>
                    </w:rPr>
                    <w:t xml:space="preserve"> 最大风速：</w:t>
                  </w:r>
                  <w:r>
                    <w:rPr>
                      <w:rFonts w:hint="eastAsia"/>
                      <w:sz w:val="21"/>
                      <w:szCs w:val="21"/>
                      <w:highlight w:val="none"/>
                      <w:lang w:val="en-US" w:eastAsia="zh-CN"/>
                    </w:rPr>
                    <w:t>1.8</w:t>
                  </w:r>
                  <w:r>
                    <w:rPr>
                      <w:sz w:val="21"/>
                      <w:szCs w:val="21"/>
                      <w:highlight w:val="none"/>
                    </w:rPr>
                    <w:t>m/s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8" w:type="dxa"/>
                  <w:vMerge w:val="restart"/>
                  <w:tcBorders>
                    <w:top w:val="single" w:color="auto" w:sz="12" w:space="0"/>
                    <w:bottom w:val="single" w:color="auto" w:sz="12" w:space="0"/>
                  </w:tcBorders>
                  <w:vAlign w:val="center"/>
                </w:tcPr>
                <w:p>
                  <w:pPr>
                    <w:snapToGrid w:val="0"/>
                    <w:spacing w:line="240" w:lineRule="auto"/>
                    <w:jc w:val="center"/>
                    <w:rPr>
                      <w:b/>
                      <w:sz w:val="21"/>
                      <w:szCs w:val="21"/>
                      <w:highlight w:val="none"/>
                    </w:rPr>
                  </w:pPr>
                  <w:r>
                    <w:rPr>
                      <w:b/>
                      <w:sz w:val="21"/>
                      <w:szCs w:val="21"/>
                      <w:highlight w:val="none"/>
                    </w:rPr>
                    <w:t>测点编号</w:t>
                  </w:r>
                </w:p>
              </w:tc>
              <w:tc>
                <w:tcPr>
                  <w:tcW w:w="2277" w:type="dxa"/>
                  <w:vMerge w:val="restart"/>
                  <w:tcBorders>
                    <w:top w:val="single" w:color="auto" w:sz="12" w:space="0"/>
                    <w:bottom w:val="single" w:color="auto" w:sz="12" w:space="0"/>
                  </w:tcBorders>
                  <w:vAlign w:val="center"/>
                </w:tcPr>
                <w:p>
                  <w:pPr>
                    <w:snapToGrid w:val="0"/>
                    <w:spacing w:line="240" w:lineRule="auto"/>
                    <w:jc w:val="center"/>
                    <w:rPr>
                      <w:b/>
                      <w:sz w:val="21"/>
                      <w:szCs w:val="21"/>
                      <w:highlight w:val="none"/>
                    </w:rPr>
                  </w:pPr>
                  <w:r>
                    <w:rPr>
                      <w:b/>
                      <w:sz w:val="21"/>
                      <w:szCs w:val="21"/>
                      <w:highlight w:val="none"/>
                    </w:rPr>
                    <w:t>监测位置</w:t>
                  </w:r>
                </w:p>
              </w:tc>
              <w:tc>
                <w:tcPr>
                  <w:tcW w:w="2899" w:type="dxa"/>
                  <w:gridSpan w:val="2"/>
                  <w:tcBorders>
                    <w:top w:val="single" w:color="auto" w:sz="12" w:space="0"/>
                    <w:bottom w:val="single" w:color="auto" w:sz="12" w:space="0"/>
                  </w:tcBorders>
                  <w:vAlign w:val="center"/>
                </w:tcPr>
                <w:p>
                  <w:pPr>
                    <w:snapToGrid w:val="0"/>
                    <w:spacing w:line="240" w:lineRule="auto"/>
                    <w:jc w:val="center"/>
                    <w:rPr>
                      <w:b/>
                      <w:sz w:val="21"/>
                      <w:szCs w:val="21"/>
                      <w:highlight w:val="none"/>
                    </w:rPr>
                  </w:pPr>
                  <w:r>
                    <w:rPr>
                      <w:b/>
                      <w:sz w:val="21"/>
                      <w:szCs w:val="21"/>
                      <w:highlight w:val="none"/>
                    </w:rPr>
                    <w:t>昼间dB(A)</w:t>
                  </w:r>
                </w:p>
              </w:tc>
              <w:tc>
                <w:tcPr>
                  <w:tcW w:w="2899" w:type="dxa"/>
                  <w:gridSpan w:val="2"/>
                  <w:tcBorders>
                    <w:top w:val="single" w:color="auto" w:sz="12" w:space="0"/>
                    <w:bottom w:val="single" w:color="auto" w:sz="12" w:space="0"/>
                  </w:tcBorders>
                  <w:vAlign w:val="center"/>
                </w:tcPr>
                <w:p>
                  <w:pPr>
                    <w:snapToGrid w:val="0"/>
                    <w:spacing w:line="240" w:lineRule="auto"/>
                    <w:jc w:val="center"/>
                    <w:rPr>
                      <w:b/>
                      <w:sz w:val="21"/>
                      <w:szCs w:val="21"/>
                      <w:highlight w:val="none"/>
                    </w:rPr>
                  </w:pPr>
                  <w:r>
                    <w:rPr>
                      <w:b/>
                      <w:sz w:val="21"/>
                      <w:szCs w:val="21"/>
                      <w:highlight w:val="none"/>
                    </w:rPr>
                    <w:t>夜间dB(A)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8" w:type="dxa"/>
                  <w:vMerge w:val="continue"/>
                  <w:tcBorders>
                    <w:top w:val="single" w:color="auto" w:sz="12" w:space="0"/>
                  </w:tcBorders>
                  <w:vAlign w:val="center"/>
                </w:tcPr>
                <w:p>
                  <w:pPr>
                    <w:snapToGrid w:val="0"/>
                    <w:spacing w:line="240" w:lineRule="auto"/>
                    <w:jc w:val="center"/>
                    <w:rPr>
                      <w:b/>
                      <w:sz w:val="21"/>
                      <w:szCs w:val="21"/>
                      <w:highlight w:val="none"/>
                    </w:rPr>
                  </w:pPr>
                </w:p>
              </w:tc>
              <w:tc>
                <w:tcPr>
                  <w:tcW w:w="2277" w:type="dxa"/>
                  <w:vMerge w:val="continue"/>
                  <w:tcBorders>
                    <w:top w:val="single" w:color="auto" w:sz="12" w:space="0"/>
                  </w:tcBorders>
                  <w:vAlign w:val="center"/>
                </w:tcPr>
                <w:p>
                  <w:pPr>
                    <w:snapToGrid w:val="0"/>
                    <w:spacing w:line="240" w:lineRule="auto"/>
                    <w:jc w:val="center"/>
                    <w:rPr>
                      <w:b/>
                      <w:sz w:val="21"/>
                      <w:szCs w:val="21"/>
                      <w:highlight w:val="none"/>
                    </w:rPr>
                  </w:pPr>
                </w:p>
              </w:tc>
              <w:tc>
                <w:tcPr>
                  <w:tcW w:w="1340" w:type="dxa"/>
                  <w:tcBorders>
                    <w:top w:val="single" w:color="auto" w:sz="12" w:space="0"/>
                  </w:tcBorders>
                  <w:vAlign w:val="center"/>
                </w:tcPr>
                <w:p>
                  <w:pPr>
                    <w:snapToGrid w:val="0"/>
                    <w:spacing w:line="240" w:lineRule="auto"/>
                    <w:jc w:val="center"/>
                    <w:rPr>
                      <w:b/>
                      <w:sz w:val="21"/>
                      <w:szCs w:val="21"/>
                      <w:highlight w:val="none"/>
                    </w:rPr>
                  </w:pPr>
                  <w:r>
                    <w:rPr>
                      <w:b/>
                      <w:sz w:val="21"/>
                      <w:szCs w:val="21"/>
                      <w:highlight w:val="none"/>
                    </w:rPr>
                    <w:t>监测结果</w:t>
                  </w:r>
                </w:p>
              </w:tc>
              <w:tc>
                <w:tcPr>
                  <w:tcW w:w="1559" w:type="dxa"/>
                  <w:tcBorders>
                    <w:top w:val="single" w:color="auto" w:sz="12" w:space="0"/>
                  </w:tcBorders>
                  <w:vAlign w:val="center"/>
                </w:tcPr>
                <w:p>
                  <w:pPr>
                    <w:snapToGrid w:val="0"/>
                    <w:spacing w:line="240" w:lineRule="auto"/>
                    <w:jc w:val="center"/>
                    <w:rPr>
                      <w:b/>
                      <w:sz w:val="21"/>
                      <w:szCs w:val="21"/>
                      <w:highlight w:val="none"/>
                    </w:rPr>
                  </w:pPr>
                  <w:r>
                    <w:rPr>
                      <w:b/>
                      <w:sz w:val="21"/>
                      <w:szCs w:val="21"/>
                      <w:highlight w:val="none"/>
                    </w:rPr>
                    <w:t>标准限值</w:t>
                  </w:r>
                </w:p>
              </w:tc>
              <w:tc>
                <w:tcPr>
                  <w:tcW w:w="1459" w:type="dxa"/>
                  <w:tcBorders>
                    <w:top w:val="single" w:color="auto" w:sz="12" w:space="0"/>
                  </w:tcBorders>
                  <w:vAlign w:val="center"/>
                </w:tcPr>
                <w:p>
                  <w:pPr>
                    <w:snapToGrid w:val="0"/>
                    <w:spacing w:line="240" w:lineRule="auto"/>
                    <w:jc w:val="center"/>
                    <w:rPr>
                      <w:b/>
                      <w:sz w:val="21"/>
                      <w:szCs w:val="21"/>
                      <w:highlight w:val="none"/>
                    </w:rPr>
                  </w:pPr>
                  <w:r>
                    <w:rPr>
                      <w:b/>
                      <w:sz w:val="21"/>
                      <w:szCs w:val="21"/>
                      <w:highlight w:val="none"/>
                    </w:rPr>
                    <w:t>监测结果</w:t>
                  </w:r>
                </w:p>
              </w:tc>
              <w:tc>
                <w:tcPr>
                  <w:tcW w:w="1440" w:type="dxa"/>
                  <w:tcBorders>
                    <w:top w:val="single" w:color="auto" w:sz="12" w:space="0"/>
                  </w:tcBorders>
                  <w:vAlign w:val="center"/>
                </w:tcPr>
                <w:p>
                  <w:pPr>
                    <w:snapToGrid w:val="0"/>
                    <w:spacing w:line="240" w:lineRule="auto"/>
                    <w:jc w:val="center"/>
                    <w:rPr>
                      <w:b/>
                      <w:sz w:val="21"/>
                      <w:szCs w:val="21"/>
                      <w:highlight w:val="none"/>
                    </w:rPr>
                  </w:pPr>
                  <w:r>
                    <w:rPr>
                      <w:b/>
                      <w:sz w:val="21"/>
                      <w:szCs w:val="21"/>
                      <w:highlight w:val="none"/>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8" w:type="dxa"/>
                  <w:vAlign w:val="center"/>
                </w:tcPr>
                <w:p>
                  <w:pPr>
                    <w:snapToGrid w:val="0"/>
                    <w:spacing w:line="240" w:lineRule="auto"/>
                    <w:jc w:val="center"/>
                    <w:rPr>
                      <w:sz w:val="21"/>
                      <w:szCs w:val="21"/>
                      <w:highlight w:val="none"/>
                    </w:rPr>
                  </w:pPr>
                  <w:r>
                    <w:rPr>
                      <w:sz w:val="21"/>
                      <w:szCs w:val="21"/>
                      <w:highlight w:val="none"/>
                    </w:rPr>
                    <w:t>N1</w:t>
                  </w:r>
                </w:p>
              </w:tc>
              <w:tc>
                <w:tcPr>
                  <w:tcW w:w="2277" w:type="dxa"/>
                  <w:vAlign w:val="center"/>
                </w:tcPr>
                <w:p>
                  <w:pPr>
                    <w:snapToGrid w:val="0"/>
                    <w:spacing w:line="240" w:lineRule="auto"/>
                    <w:jc w:val="center"/>
                    <w:rPr>
                      <w:sz w:val="21"/>
                      <w:szCs w:val="21"/>
                      <w:highlight w:val="none"/>
                    </w:rPr>
                  </w:pPr>
                  <w:r>
                    <w:rPr>
                      <w:sz w:val="21"/>
                      <w:szCs w:val="21"/>
                      <w:highlight w:val="none"/>
                    </w:rPr>
                    <w:t>东厂界外1m</w:t>
                  </w:r>
                </w:p>
              </w:tc>
              <w:tc>
                <w:tcPr>
                  <w:tcW w:w="1340" w:type="dxa"/>
                  <w:vAlign w:val="center"/>
                </w:tcPr>
                <w:p>
                  <w:pPr>
                    <w:snapToGrid w:val="0"/>
                    <w:spacing w:line="240" w:lineRule="auto"/>
                    <w:jc w:val="center"/>
                    <w:rPr>
                      <w:rFonts w:hint="default" w:eastAsia="宋体"/>
                      <w:sz w:val="21"/>
                      <w:szCs w:val="21"/>
                      <w:highlight w:val="none"/>
                      <w:lang w:val="en-US" w:eastAsia="zh-CN"/>
                    </w:rPr>
                  </w:pPr>
                  <w:r>
                    <w:rPr>
                      <w:rFonts w:hint="eastAsia"/>
                      <w:sz w:val="21"/>
                      <w:szCs w:val="21"/>
                      <w:highlight w:val="none"/>
                      <w:lang w:val="en-US" w:eastAsia="zh-CN"/>
                    </w:rPr>
                    <w:t>54</w:t>
                  </w:r>
                </w:p>
              </w:tc>
              <w:tc>
                <w:tcPr>
                  <w:tcW w:w="1559" w:type="dxa"/>
                  <w:vAlign w:val="center"/>
                </w:tcPr>
                <w:p>
                  <w:pPr>
                    <w:snapToGrid w:val="0"/>
                    <w:spacing w:line="240" w:lineRule="auto"/>
                    <w:jc w:val="center"/>
                    <w:rPr>
                      <w:sz w:val="21"/>
                      <w:szCs w:val="21"/>
                      <w:highlight w:val="none"/>
                    </w:rPr>
                  </w:pPr>
                  <w:r>
                    <w:rPr>
                      <w:sz w:val="21"/>
                      <w:szCs w:val="21"/>
                      <w:highlight w:val="none"/>
                    </w:rPr>
                    <w:t>65</w:t>
                  </w:r>
                </w:p>
              </w:tc>
              <w:tc>
                <w:tcPr>
                  <w:tcW w:w="1459" w:type="dxa"/>
                  <w:vAlign w:val="center"/>
                </w:tcPr>
                <w:p>
                  <w:pPr>
                    <w:snapToGrid w:val="0"/>
                    <w:spacing w:line="240" w:lineRule="auto"/>
                    <w:jc w:val="center"/>
                    <w:rPr>
                      <w:rFonts w:hint="default" w:eastAsia="宋体"/>
                      <w:sz w:val="21"/>
                      <w:szCs w:val="21"/>
                      <w:highlight w:val="none"/>
                      <w:lang w:val="en-US" w:eastAsia="zh-CN"/>
                    </w:rPr>
                  </w:pPr>
                  <w:r>
                    <w:rPr>
                      <w:rFonts w:hint="eastAsia"/>
                      <w:sz w:val="21"/>
                      <w:szCs w:val="21"/>
                      <w:highlight w:val="none"/>
                      <w:lang w:val="en-US" w:eastAsia="zh-CN"/>
                    </w:rPr>
                    <w:t>45</w:t>
                  </w:r>
                </w:p>
              </w:tc>
              <w:tc>
                <w:tcPr>
                  <w:tcW w:w="1440" w:type="dxa"/>
                  <w:vAlign w:val="center"/>
                </w:tcPr>
                <w:p>
                  <w:pPr>
                    <w:snapToGrid w:val="0"/>
                    <w:spacing w:line="240" w:lineRule="auto"/>
                    <w:jc w:val="center"/>
                    <w:rPr>
                      <w:sz w:val="21"/>
                      <w:szCs w:val="21"/>
                      <w:highlight w:val="none"/>
                    </w:rPr>
                  </w:pPr>
                  <w:r>
                    <w:rPr>
                      <w:sz w:val="21"/>
                      <w:szCs w:val="21"/>
                      <w:highlight w:val="none"/>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8" w:type="dxa"/>
                  <w:vAlign w:val="center"/>
                </w:tcPr>
                <w:p>
                  <w:pPr>
                    <w:snapToGrid w:val="0"/>
                    <w:spacing w:line="240" w:lineRule="auto"/>
                    <w:jc w:val="center"/>
                    <w:rPr>
                      <w:sz w:val="21"/>
                      <w:szCs w:val="21"/>
                      <w:highlight w:val="none"/>
                    </w:rPr>
                  </w:pPr>
                  <w:r>
                    <w:rPr>
                      <w:sz w:val="21"/>
                      <w:szCs w:val="21"/>
                      <w:highlight w:val="none"/>
                    </w:rPr>
                    <w:t>N2</w:t>
                  </w:r>
                </w:p>
              </w:tc>
              <w:tc>
                <w:tcPr>
                  <w:tcW w:w="2277" w:type="dxa"/>
                  <w:vAlign w:val="center"/>
                </w:tcPr>
                <w:p>
                  <w:pPr>
                    <w:snapToGrid w:val="0"/>
                    <w:spacing w:line="240" w:lineRule="auto"/>
                    <w:jc w:val="center"/>
                    <w:rPr>
                      <w:sz w:val="21"/>
                      <w:szCs w:val="21"/>
                      <w:highlight w:val="none"/>
                    </w:rPr>
                  </w:pPr>
                  <w:r>
                    <w:rPr>
                      <w:sz w:val="21"/>
                      <w:szCs w:val="21"/>
                      <w:highlight w:val="none"/>
                    </w:rPr>
                    <w:t>南厂界外1m</w:t>
                  </w:r>
                </w:p>
              </w:tc>
              <w:tc>
                <w:tcPr>
                  <w:tcW w:w="1340" w:type="dxa"/>
                  <w:vAlign w:val="center"/>
                </w:tcPr>
                <w:p>
                  <w:pPr>
                    <w:snapToGrid w:val="0"/>
                    <w:spacing w:line="240" w:lineRule="auto"/>
                    <w:jc w:val="center"/>
                    <w:rPr>
                      <w:rFonts w:hint="default" w:eastAsia="宋体"/>
                      <w:sz w:val="21"/>
                      <w:szCs w:val="21"/>
                      <w:highlight w:val="none"/>
                      <w:lang w:val="en-US" w:eastAsia="zh-CN"/>
                    </w:rPr>
                  </w:pPr>
                  <w:r>
                    <w:rPr>
                      <w:rFonts w:hint="eastAsia"/>
                      <w:sz w:val="21"/>
                      <w:szCs w:val="21"/>
                      <w:highlight w:val="none"/>
                      <w:lang w:val="en-US" w:eastAsia="zh-CN"/>
                    </w:rPr>
                    <w:t>58</w:t>
                  </w:r>
                </w:p>
              </w:tc>
              <w:tc>
                <w:tcPr>
                  <w:tcW w:w="1559" w:type="dxa"/>
                  <w:vAlign w:val="center"/>
                </w:tcPr>
                <w:p>
                  <w:pPr>
                    <w:snapToGrid w:val="0"/>
                    <w:spacing w:line="240" w:lineRule="auto"/>
                    <w:jc w:val="center"/>
                    <w:rPr>
                      <w:sz w:val="21"/>
                      <w:szCs w:val="21"/>
                      <w:highlight w:val="none"/>
                    </w:rPr>
                  </w:pPr>
                  <w:r>
                    <w:rPr>
                      <w:sz w:val="21"/>
                      <w:szCs w:val="21"/>
                      <w:highlight w:val="none"/>
                    </w:rPr>
                    <w:t>65</w:t>
                  </w:r>
                </w:p>
              </w:tc>
              <w:tc>
                <w:tcPr>
                  <w:tcW w:w="1459" w:type="dxa"/>
                  <w:vAlign w:val="center"/>
                </w:tcPr>
                <w:p>
                  <w:pPr>
                    <w:snapToGrid w:val="0"/>
                    <w:spacing w:line="240" w:lineRule="auto"/>
                    <w:jc w:val="center"/>
                    <w:rPr>
                      <w:rFonts w:hint="default" w:eastAsia="宋体"/>
                      <w:sz w:val="21"/>
                      <w:szCs w:val="21"/>
                      <w:highlight w:val="none"/>
                      <w:lang w:val="en-US" w:eastAsia="zh-CN"/>
                    </w:rPr>
                  </w:pPr>
                  <w:r>
                    <w:rPr>
                      <w:rFonts w:hint="eastAsia"/>
                      <w:sz w:val="21"/>
                      <w:szCs w:val="21"/>
                      <w:highlight w:val="none"/>
                      <w:lang w:val="en-US" w:eastAsia="zh-CN"/>
                    </w:rPr>
                    <w:t>48</w:t>
                  </w:r>
                </w:p>
              </w:tc>
              <w:tc>
                <w:tcPr>
                  <w:tcW w:w="1440" w:type="dxa"/>
                  <w:vAlign w:val="center"/>
                </w:tcPr>
                <w:p>
                  <w:pPr>
                    <w:snapToGrid w:val="0"/>
                    <w:spacing w:line="240" w:lineRule="auto"/>
                    <w:jc w:val="center"/>
                    <w:rPr>
                      <w:sz w:val="21"/>
                      <w:szCs w:val="21"/>
                      <w:highlight w:val="none"/>
                    </w:rPr>
                  </w:pPr>
                  <w:r>
                    <w:rPr>
                      <w:sz w:val="21"/>
                      <w:szCs w:val="21"/>
                      <w:highlight w:val="none"/>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8" w:type="dxa"/>
                  <w:vAlign w:val="center"/>
                </w:tcPr>
                <w:p>
                  <w:pPr>
                    <w:snapToGrid w:val="0"/>
                    <w:spacing w:line="240" w:lineRule="auto"/>
                    <w:jc w:val="center"/>
                    <w:rPr>
                      <w:sz w:val="21"/>
                      <w:szCs w:val="21"/>
                      <w:highlight w:val="none"/>
                    </w:rPr>
                  </w:pPr>
                  <w:r>
                    <w:rPr>
                      <w:sz w:val="21"/>
                      <w:szCs w:val="21"/>
                      <w:highlight w:val="none"/>
                    </w:rPr>
                    <w:t>N3</w:t>
                  </w:r>
                </w:p>
              </w:tc>
              <w:tc>
                <w:tcPr>
                  <w:tcW w:w="2277" w:type="dxa"/>
                  <w:vAlign w:val="center"/>
                </w:tcPr>
                <w:p>
                  <w:pPr>
                    <w:snapToGrid w:val="0"/>
                    <w:spacing w:line="240" w:lineRule="auto"/>
                    <w:jc w:val="center"/>
                    <w:rPr>
                      <w:sz w:val="21"/>
                      <w:szCs w:val="21"/>
                      <w:highlight w:val="none"/>
                    </w:rPr>
                  </w:pPr>
                  <w:r>
                    <w:rPr>
                      <w:sz w:val="21"/>
                      <w:szCs w:val="21"/>
                      <w:highlight w:val="none"/>
                    </w:rPr>
                    <w:t>西厂界外1m</w:t>
                  </w:r>
                </w:p>
              </w:tc>
              <w:tc>
                <w:tcPr>
                  <w:tcW w:w="1340" w:type="dxa"/>
                  <w:vAlign w:val="center"/>
                </w:tcPr>
                <w:p>
                  <w:pPr>
                    <w:snapToGrid w:val="0"/>
                    <w:spacing w:line="240" w:lineRule="auto"/>
                    <w:jc w:val="center"/>
                    <w:rPr>
                      <w:rFonts w:hint="default" w:eastAsia="宋体"/>
                      <w:sz w:val="21"/>
                      <w:szCs w:val="21"/>
                      <w:highlight w:val="none"/>
                      <w:lang w:val="en-US" w:eastAsia="zh-CN"/>
                    </w:rPr>
                  </w:pPr>
                  <w:r>
                    <w:rPr>
                      <w:rFonts w:hint="eastAsia"/>
                      <w:sz w:val="21"/>
                      <w:szCs w:val="21"/>
                      <w:highlight w:val="none"/>
                      <w:lang w:val="en-US" w:eastAsia="zh-CN"/>
                    </w:rPr>
                    <w:t>56</w:t>
                  </w:r>
                </w:p>
              </w:tc>
              <w:tc>
                <w:tcPr>
                  <w:tcW w:w="1559" w:type="dxa"/>
                  <w:vAlign w:val="center"/>
                </w:tcPr>
                <w:p>
                  <w:pPr>
                    <w:snapToGrid w:val="0"/>
                    <w:spacing w:line="240" w:lineRule="auto"/>
                    <w:jc w:val="center"/>
                    <w:rPr>
                      <w:sz w:val="21"/>
                      <w:szCs w:val="21"/>
                      <w:highlight w:val="none"/>
                    </w:rPr>
                  </w:pPr>
                  <w:r>
                    <w:rPr>
                      <w:sz w:val="21"/>
                      <w:szCs w:val="21"/>
                      <w:highlight w:val="none"/>
                    </w:rPr>
                    <w:t>65</w:t>
                  </w:r>
                </w:p>
              </w:tc>
              <w:tc>
                <w:tcPr>
                  <w:tcW w:w="1459" w:type="dxa"/>
                  <w:vAlign w:val="center"/>
                </w:tcPr>
                <w:p>
                  <w:pPr>
                    <w:snapToGrid w:val="0"/>
                    <w:spacing w:line="240" w:lineRule="auto"/>
                    <w:jc w:val="center"/>
                    <w:rPr>
                      <w:rFonts w:hint="default" w:eastAsia="宋体"/>
                      <w:sz w:val="21"/>
                      <w:szCs w:val="21"/>
                      <w:highlight w:val="none"/>
                      <w:lang w:val="en-US" w:eastAsia="zh-CN"/>
                    </w:rPr>
                  </w:pPr>
                  <w:r>
                    <w:rPr>
                      <w:rFonts w:hint="eastAsia"/>
                      <w:sz w:val="21"/>
                      <w:szCs w:val="21"/>
                      <w:highlight w:val="none"/>
                      <w:lang w:val="en-US" w:eastAsia="zh-CN"/>
                    </w:rPr>
                    <w:t>46</w:t>
                  </w:r>
                </w:p>
              </w:tc>
              <w:tc>
                <w:tcPr>
                  <w:tcW w:w="1440" w:type="dxa"/>
                  <w:vAlign w:val="center"/>
                </w:tcPr>
                <w:p>
                  <w:pPr>
                    <w:snapToGrid w:val="0"/>
                    <w:spacing w:line="240" w:lineRule="auto"/>
                    <w:jc w:val="center"/>
                    <w:rPr>
                      <w:sz w:val="21"/>
                      <w:szCs w:val="21"/>
                      <w:highlight w:val="none"/>
                    </w:rPr>
                  </w:pPr>
                  <w:r>
                    <w:rPr>
                      <w:sz w:val="21"/>
                      <w:szCs w:val="21"/>
                      <w:highlight w:val="none"/>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8" w:type="dxa"/>
                  <w:vAlign w:val="center"/>
                </w:tcPr>
                <w:p>
                  <w:pPr>
                    <w:snapToGrid w:val="0"/>
                    <w:spacing w:line="240" w:lineRule="auto"/>
                    <w:jc w:val="center"/>
                    <w:rPr>
                      <w:sz w:val="21"/>
                      <w:szCs w:val="21"/>
                      <w:highlight w:val="none"/>
                    </w:rPr>
                  </w:pPr>
                  <w:r>
                    <w:rPr>
                      <w:sz w:val="21"/>
                      <w:szCs w:val="21"/>
                      <w:highlight w:val="none"/>
                    </w:rPr>
                    <w:t>N4</w:t>
                  </w:r>
                </w:p>
              </w:tc>
              <w:tc>
                <w:tcPr>
                  <w:tcW w:w="2277" w:type="dxa"/>
                  <w:vAlign w:val="center"/>
                </w:tcPr>
                <w:p>
                  <w:pPr>
                    <w:snapToGrid w:val="0"/>
                    <w:spacing w:line="240" w:lineRule="auto"/>
                    <w:jc w:val="center"/>
                    <w:rPr>
                      <w:sz w:val="21"/>
                      <w:szCs w:val="21"/>
                      <w:highlight w:val="none"/>
                    </w:rPr>
                  </w:pPr>
                  <w:r>
                    <w:rPr>
                      <w:sz w:val="21"/>
                      <w:szCs w:val="21"/>
                      <w:highlight w:val="none"/>
                    </w:rPr>
                    <w:t>北厂界外1m</w:t>
                  </w:r>
                </w:p>
              </w:tc>
              <w:tc>
                <w:tcPr>
                  <w:tcW w:w="1340" w:type="dxa"/>
                  <w:vAlign w:val="center"/>
                </w:tcPr>
                <w:p>
                  <w:pPr>
                    <w:snapToGrid w:val="0"/>
                    <w:spacing w:line="240" w:lineRule="auto"/>
                    <w:jc w:val="center"/>
                    <w:rPr>
                      <w:rFonts w:hint="default" w:eastAsia="宋体"/>
                      <w:sz w:val="21"/>
                      <w:szCs w:val="21"/>
                      <w:highlight w:val="none"/>
                      <w:lang w:val="en-US" w:eastAsia="zh-CN"/>
                    </w:rPr>
                  </w:pPr>
                  <w:r>
                    <w:rPr>
                      <w:rFonts w:hint="eastAsia"/>
                      <w:sz w:val="21"/>
                      <w:szCs w:val="21"/>
                      <w:highlight w:val="none"/>
                      <w:lang w:val="en-US" w:eastAsia="zh-CN"/>
                    </w:rPr>
                    <w:t>57</w:t>
                  </w:r>
                </w:p>
              </w:tc>
              <w:tc>
                <w:tcPr>
                  <w:tcW w:w="1559" w:type="dxa"/>
                  <w:vAlign w:val="center"/>
                </w:tcPr>
                <w:p>
                  <w:pPr>
                    <w:snapToGrid w:val="0"/>
                    <w:spacing w:line="240" w:lineRule="auto"/>
                    <w:jc w:val="center"/>
                    <w:rPr>
                      <w:sz w:val="21"/>
                      <w:szCs w:val="21"/>
                      <w:highlight w:val="none"/>
                    </w:rPr>
                  </w:pPr>
                  <w:r>
                    <w:rPr>
                      <w:sz w:val="21"/>
                      <w:szCs w:val="21"/>
                      <w:highlight w:val="none"/>
                    </w:rPr>
                    <w:t>65</w:t>
                  </w:r>
                </w:p>
              </w:tc>
              <w:tc>
                <w:tcPr>
                  <w:tcW w:w="1459" w:type="dxa"/>
                  <w:vAlign w:val="center"/>
                </w:tcPr>
                <w:p>
                  <w:pPr>
                    <w:snapToGrid w:val="0"/>
                    <w:spacing w:line="240" w:lineRule="auto"/>
                    <w:jc w:val="center"/>
                    <w:rPr>
                      <w:rFonts w:hint="default" w:eastAsia="宋体"/>
                      <w:sz w:val="21"/>
                      <w:szCs w:val="21"/>
                      <w:highlight w:val="none"/>
                      <w:lang w:val="en-US" w:eastAsia="zh-CN"/>
                    </w:rPr>
                  </w:pPr>
                  <w:r>
                    <w:rPr>
                      <w:rFonts w:hint="eastAsia"/>
                      <w:sz w:val="21"/>
                      <w:szCs w:val="21"/>
                      <w:highlight w:val="none"/>
                      <w:lang w:val="en-US" w:eastAsia="zh-CN"/>
                    </w:rPr>
                    <w:t>47</w:t>
                  </w:r>
                </w:p>
              </w:tc>
              <w:tc>
                <w:tcPr>
                  <w:tcW w:w="1440" w:type="dxa"/>
                  <w:vAlign w:val="center"/>
                </w:tcPr>
                <w:p>
                  <w:pPr>
                    <w:snapToGrid w:val="0"/>
                    <w:spacing w:line="240" w:lineRule="auto"/>
                    <w:jc w:val="center"/>
                    <w:rPr>
                      <w:sz w:val="21"/>
                      <w:szCs w:val="21"/>
                      <w:highlight w:val="none"/>
                    </w:rPr>
                  </w:pPr>
                  <w:r>
                    <w:rPr>
                      <w:sz w:val="21"/>
                      <w:szCs w:val="21"/>
                      <w:highlight w:val="none"/>
                    </w:rPr>
                    <w:t>55</w:t>
                  </w:r>
                </w:p>
              </w:tc>
            </w:tr>
          </w:tbl>
          <w:p>
            <w:pPr>
              <w:adjustRightInd w:val="0"/>
              <w:snapToGrid w:val="0"/>
              <w:ind w:firstLine="480" w:firstLineChars="200"/>
              <w:rPr>
                <w:highlight w:val="none"/>
              </w:rPr>
            </w:pPr>
            <w:r>
              <w:rPr>
                <w:highlight w:val="none"/>
              </w:rPr>
              <w:t>根据实测结果，项目四周厂界昼间和夜间声环境质量均达到《声环境质量标准》（GB3096-2008）3类标准限值要求。</w:t>
            </w:r>
          </w:p>
          <w:p>
            <w:pPr>
              <w:adjustRightInd w:val="0"/>
              <w:snapToGrid w:val="0"/>
              <w:spacing w:line="480" w:lineRule="exact"/>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4、土壤环境影响评价等级及质量现状</w:t>
            </w:r>
          </w:p>
          <w:p>
            <w:pPr>
              <w:adjustRightInd w:val="0"/>
              <w:snapToGrid w:val="0"/>
              <w:spacing w:line="360" w:lineRule="auto"/>
              <w:ind w:firstLine="470" w:firstLineChars="196"/>
              <w:rPr>
                <w:rFonts w:hint="default" w:ascii="Times New Roman" w:hAnsi="Times New Roman" w:cs="Times New Roman"/>
                <w:color w:val="auto"/>
                <w:sz w:val="24"/>
                <w:szCs w:val="22"/>
                <w:highlight w:val="none"/>
              </w:rPr>
            </w:pPr>
            <w:r>
              <w:rPr>
                <w:rFonts w:hint="default" w:ascii="Times New Roman" w:hAnsi="Times New Roman" w:cs="Times New Roman"/>
                <w:color w:val="auto"/>
                <w:sz w:val="24"/>
              </w:rPr>
              <w:t>本项目</w:t>
            </w:r>
            <w:r>
              <w:rPr>
                <w:rFonts w:hint="eastAsia" w:ascii="Times New Roman" w:hAnsi="Times New Roman" w:cs="Times New Roman"/>
                <w:color w:val="auto"/>
                <w:sz w:val="24"/>
                <w:lang w:eastAsia="zh-CN"/>
              </w:rPr>
              <w:t>属于其他</w:t>
            </w:r>
            <w:r>
              <w:rPr>
                <w:rFonts w:hint="eastAsia" w:ascii="Times New Roman" w:hAnsi="Times New Roman"/>
                <w:color w:val="auto"/>
                <w:sz w:val="24"/>
                <w:lang w:val="en-US" w:eastAsia="zh-CN"/>
              </w:rPr>
              <w:t>专用设备制</w:t>
            </w:r>
            <w:r>
              <w:rPr>
                <w:rFonts w:hint="eastAsia" w:ascii="Times New Roman" w:hAnsi="Times New Roman"/>
                <w:color w:val="auto"/>
                <w:sz w:val="24"/>
                <w:highlight w:val="none"/>
                <w:lang w:val="en-US" w:eastAsia="zh-CN"/>
              </w:rPr>
              <w:t>造</w:t>
            </w:r>
            <w:r>
              <w:rPr>
                <w:rFonts w:hint="default" w:ascii="Times New Roman" w:hAnsi="Times New Roman" w:cs="Times New Roman"/>
                <w:color w:val="auto"/>
                <w:sz w:val="24"/>
                <w:highlight w:val="none"/>
              </w:rPr>
              <w:t>。</w:t>
            </w:r>
            <w:r>
              <w:rPr>
                <w:rFonts w:hint="default" w:ascii="Times New Roman" w:hAnsi="Times New Roman" w:cs="Times New Roman"/>
                <w:color w:val="auto"/>
                <w:sz w:val="24"/>
                <w:szCs w:val="22"/>
                <w:highlight w:val="none"/>
              </w:rPr>
              <w:t>根据《环境影响评价技术导则 土壤环境》（HJ964-2018）</w:t>
            </w:r>
            <w:r>
              <w:rPr>
                <w:rFonts w:hint="eastAsia" w:cs="Times New Roman"/>
                <w:color w:val="auto"/>
                <w:sz w:val="24"/>
                <w:szCs w:val="22"/>
                <w:highlight w:val="none"/>
                <w:lang w:eastAsia="zh-CN"/>
              </w:rPr>
              <w:t>“</w:t>
            </w:r>
            <w:r>
              <w:rPr>
                <w:rFonts w:hint="default" w:ascii="Times New Roman" w:hAnsi="Times New Roman" w:cs="Times New Roman"/>
                <w:color w:val="auto"/>
                <w:sz w:val="24"/>
                <w:szCs w:val="22"/>
                <w:highlight w:val="none"/>
              </w:rPr>
              <w:t>附录A 土壤环境影响评价项目类别</w:t>
            </w:r>
            <w:r>
              <w:rPr>
                <w:rFonts w:hint="eastAsia" w:cs="Times New Roman"/>
                <w:color w:val="auto"/>
                <w:sz w:val="24"/>
                <w:szCs w:val="22"/>
                <w:highlight w:val="none"/>
                <w:lang w:eastAsia="zh-CN"/>
              </w:rPr>
              <w:t>”</w:t>
            </w:r>
            <w:r>
              <w:rPr>
                <w:rFonts w:hint="default" w:ascii="Times New Roman" w:hAnsi="Times New Roman" w:cs="Times New Roman"/>
                <w:color w:val="auto"/>
                <w:sz w:val="24"/>
                <w:szCs w:val="22"/>
                <w:highlight w:val="none"/>
              </w:rPr>
              <w:t>，本项目</w:t>
            </w:r>
            <w:r>
              <w:rPr>
                <w:rFonts w:hint="eastAsia" w:ascii="Times New Roman" w:hAnsi="Times New Roman" w:cs="Times New Roman"/>
                <w:color w:val="auto"/>
                <w:sz w:val="24"/>
                <w:szCs w:val="22"/>
                <w:highlight w:val="none"/>
                <w:lang w:eastAsia="zh-CN"/>
              </w:rPr>
              <w:t>判定</w:t>
            </w:r>
            <w:r>
              <w:rPr>
                <w:rFonts w:hint="default" w:ascii="Times New Roman" w:hAnsi="Times New Roman" w:cs="Times New Roman"/>
                <w:color w:val="auto"/>
                <w:sz w:val="24"/>
                <w:szCs w:val="22"/>
                <w:highlight w:val="none"/>
              </w:rPr>
              <w:t>为Ⅲ类土壤环境影响评价项目。</w:t>
            </w:r>
          </w:p>
          <w:p>
            <w:pPr>
              <w:pStyle w:val="107"/>
              <w:spacing w:line="360" w:lineRule="auto"/>
              <w:jc w:val="both"/>
              <w:rPr>
                <w:rFonts w:hint="default" w:ascii="Times New Roman" w:hAnsi="Times New Roman" w:cs="Times New Roman"/>
                <w:color w:val="auto"/>
                <w:sz w:val="24"/>
                <w:szCs w:val="22"/>
              </w:rPr>
            </w:pPr>
            <w:r>
              <w:rPr>
                <w:rFonts w:hint="default" w:ascii="Times New Roman" w:hAnsi="Times New Roman" w:cs="Times New Roman"/>
                <w:color w:val="auto"/>
                <w:sz w:val="24"/>
                <w:szCs w:val="22"/>
                <w:highlight w:val="none"/>
              </w:rPr>
              <w:t>本项目属于污染影响型，</w:t>
            </w:r>
            <w:r>
              <w:rPr>
                <w:rFonts w:hint="eastAsia" w:ascii="Times New Roman" w:hAnsi="Times New Roman" w:eastAsia="宋体" w:cs="Times New Roman"/>
                <w:color w:val="auto"/>
                <w:sz w:val="24"/>
                <w:szCs w:val="22"/>
                <w:highlight w:val="none"/>
                <w:lang w:eastAsia="zh-CN"/>
              </w:rPr>
              <w:t>厂区</w:t>
            </w:r>
            <w:r>
              <w:rPr>
                <w:rFonts w:hint="default" w:ascii="Times New Roman" w:hAnsi="Times New Roman" w:cs="Times New Roman"/>
                <w:color w:val="auto"/>
                <w:sz w:val="24"/>
                <w:szCs w:val="22"/>
                <w:highlight w:val="none"/>
              </w:rPr>
              <w:t>总占地面积为</w:t>
            </w:r>
            <w:r>
              <w:rPr>
                <w:rFonts w:hint="eastAsia" w:cs="Times New Roman"/>
                <w:color w:val="auto"/>
                <w:sz w:val="24"/>
                <w:szCs w:val="22"/>
                <w:highlight w:val="none"/>
                <w:lang w:val="en-US" w:eastAsia="zh-CN"/>
              </w:rPr>
              <w:t>1000</w:t>
            </w:r>
            <w:r>
              <w:rPr>
                <w:rFonts w:hint="default" w:ascii="Times New Roman" w:hAnsi="Times New Roman" w:cs="Times New Roman"/>
                <w:color w:val="auto"/>
                <w:sz w:val="24"/>
                <w:szCs w:val="22"/>
                <w:highlight w:val="none"/>
              </w:rPr>
              <w:t>平</w:t>
            </w:r>
            <w:r>
              <w:rPr>
                <w:rFonts w:hint="default" w:ascii="Times New Roman" w:hAnsi="Times New Roman" w:cs="Times New Roman"/>
                <w:color w:val="auto"/>
                <w:sz w:val="24"/>
                <w:szCs w:val="22"/>
              </w:rPr>
              <w:t>方米（≤5hm</w:t>
            </w:r>
            <w:r>
              <w:rPr>
                <w:rFonts w:hint="default" w:ascii="Times New Roman" w:hAnsi="Times New Roman" w:cs="Times New Roman"/>
                <w:color w:val="auto"/>
                <w:sz w:val="24"/>
                <w:szCs w:val="22"/>
                <w:vertAlign w:val="superscript"/>
              </w:rPr>
              <w:t>2</w:t>
            </w:r>
            <w:r>
              <w:rPr>
                <w:rFonts w:hint="default" w:ascii="Times New Roman" w:hAnsi="Times New Roman" w:cs="Times New Roman"/>
                <w:color w:val="auto"/>
                <w:sz w:val="24"/>
                <w:szCs w:val="22"/>
              </w:rPr>
              <w:t>），为</w:t>
            </w:r>
            <w:r>
              <w:rPr>
                <w:rFonts w:hint="eastAsia" w:ascii="Times New Roman" w:hAnsi="Times New Roman" w:eastAsia="宋体" w:cs="Times New Roman"/>
                <w:color w:val="auto"/>
                <w:sz w:val="24"/>
                <w:szCs w:val="22"/>
                <w:lang w:eastAsia="zh-CN"/>
              </w:rPr>
              <w:t>小</w:t>
            </w:r>
            <w:r>
              <w:rPr>
                <w:rFonts w:hint="default" w:ascii="Times New Roman" w:hAnsi="Times New Roman" w:cs="Times New Roman"/>
                <w:color w:val="auto"/>
                <w:sz w:val="24"/>
                <w:szCs w:val="22"/>
              </w:rPr>
              <w:t>型占地规模，项目所在地周边土壤环境为</w:t>
            </w:r>
            <w:r>
              <w:rPr>
                <w:rFonts w:hint="eastAsia" w:ascii="Times New Roman" w:hAnsi="Times New Roman" w:eastAsia="宋体" w:cs="Times New Roman"/>
                <w:color w:val="auto"/>
                <w:sz w:val="24"/>
                <w:szCs w:val="22"/>
                <w:lang w:eastAsia="zh-CN"/>
              </w:rPr>
              <w:t>不</w:t>
            </w:r>
            <w:r>
              <w:rPr>
                <w:rFonts w:hint="default" w:ascii="Times New Roman" w:hAnsi="Times New Roman" w:cs="Times New Roman"/>
                <w:color w:val="auto"/>
                <w:sz w:val="24"/>
                <w:szCs w:val="22"/>
              </w:rPr>
              <w:t>敏感区，故对照污染影响型评价工作等级划分表，结果见表3-</w:t>
            </w:r>
            <w:r>
              <w:rPr>
                <w:rFonts w:hint="eastAsia" w:ascii="Times New Roman" w:hAnsi="Times New Roman" w:cs="Times New Roman"/>
                <w:color w:val="auto"/>
                <w:sz w:val="24"/>
                <w:szCs w:val="22"/>
                <w:lang w:val="en-US" w:eastAsia="zh-CN"/>
              </w:rPr>
              <w:t>4</w:t>
            </w:r>
            <w:r>
              <w:rPr>
                <w:rFonts w:hint="default" w:ascii="Times New Roman" w:hAnsi="Times New Roman" w:cs="Times New Roman"/>
                <w:color w:val="auto"/>
                <w:sz w:val="24"/>
                <w:szCs w:val="22"/>
              </w:rPr>
              <w:t>。</w:t>
            </w:r>
          </w:p>
          <w:p>
            <w:pPr>
              <w:spacing w:line="480" w:lineRule="exact"/>
              <w:jc w:val="center"/>
              <w:rPr>
                <w:rFonts w:hint="default" w:ascii="Times New Roman" w:hAnsi="Times New Roman" w:cs="Times New Roman"/>
                <w:b/>
                <w:color w:val="auto"/>
                <w:sz w:val="24"/>
              </w:rPr>
            </w:pPr>
            <w:r>
              <w:rPr>
                <w:rFonts w:hint="default" w:ascii="Times New Roman" w:hAnsi="Times New Roman" w:cs="Times New Roman"/>
                <w:b/>
                <w:color w:val="auto"/>
                <w:sz w:val="24"/>
              </w:rPr>
              <w:t>表3-</w:t>
            </w:r>
            <w:r>
              <w:rPr>
                <w:rFonts w:hint="eastAsia" w:ascii="Times New Roman" w:hAnsi="Times New Roman" w:cs="Times New Roman"/>
                <w:b/>
                <w:color w:val="auto"/>
                <w:sz w:val="24"/>
                <w:lang w:val="en-US" w:eastAsia="zh-CN"/>
              </w:rPr>
              <w:t>4</w:t>
            </w:r>
            <w:r>
              <w:rPr>
                <w:rFonts w:hint="default" w:ascii="Times New Roman" w:hAnsi="Times New Roman" w:cs="Times New Roman"/>
                <w:b/>
                <w:color w:val="auto"/>
                <w:sz w:val="24"/>
              </w:rPr>
              <w:t xml:space="preserve"> 污染影响型敏感程度分级表</w:t>
            </w:r>
          </w:p>
          <w:tbl>
            <w:tblPr>
              <w:tblStyle w:val="26"/>
              <w:tblW w:w="941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79"/>
              <w:gridCol w:w="763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45" w:type="pct"/>
                  <w:noWrap w:val="0"/>
                  <w:vAlign w:val="center"/>
                </w:tcPr>
                <w:p>
                  <w:pPr>
                    <w:jc w:val="center"/>
                    <w:rPr>
                      <w:rFonts w:hint="default" w:ascii="Times New Roman" w:hAnsi="Times New Roman" w:cs="Times New Roman"/>
                      <w:bCs/>
                      <w:color w:val="auto"/>
                      <w:kern w:val="0"/>
                      <w:szCs w:val="21"/>
                    </w:rPr>
                  </w:pPr>
                  <w:r>
                    <w:rPr>
                      <w:rFonts w:hint="default" w:ascii="Times New Roman" w:hAnsi="Times New Roman" w:cs="Times New Roman"/>
                      <w:bCs/>
                      <w:color w:val="auto"/>
                      <w:kern w:val="0"/>
                      <w:szCs w:val="21"/>
                    </w:rPr>
                    <w:t>敏感程度</w:t>
                  </w:r>
                </w:p>
              </w:tc>
              <w:tc>
                <w:tcPr>
                  <w:tcW w:w="4055" w:type="pct"/>
                  <w:noWrap w:val="0"/>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rPr>
                    <w:t>判别依据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45" w:type="pct"/>
                  <w:noWrap w:val="0"/>
                  <w:vAlign w:val="center"/>
                </w:tcPr>
                <w:p>
                  <w:pPr>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敏感</w:t>
                  </w:r>
                </w:p>
              </w:tc>
              <w:tc>
                <w:tcPr>
                  <w:tcW w:w="4055" w:type="pct"/>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建设项目周边存在耕地、园地、牧草地、饮用水水源或居民区、学校、医院、疗养院、养老院等土壤环境敏感目标的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45" w:type="pct"/>
                  <w:noWrap w:val="0"/>
                  <w:vAlign w:val="center"/>
                </w:tcPr>
                <w:p>
                  <w:pPr>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较敏感</w:t>
                  </w:r>
                </w:p>
              </w:tc>
              <w:tc>
                <w:tcPr>
                  <w:tcW w:w="4055" w:type="pct"/>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建设项目周边存在其他土壤环境敏感目标的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45" w:type="pct"/>
                  <w:noWrap w:val="0"/>
                  <w:vAlign w:val="center"/>
                </w:tcPr>
                <w:p>
                  <w:pPr>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不敏感</w:t>
                  </w:r>
                </w:p>
              </w:tc>
              <w:tc>
                <w:tcPr>
                  <w:tcW w:w="4055" w:type="pct"/>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其他情况</w:t>
                  </w:r>
                </w:p>
              </w:tc>
            </w:tr>
          </w:tbl>
          <w:p>
            <w:pPr>
              <w:adjustRightInd w:val="0"/>
              <w:snapToGrid w:val="0"/>
              <w:spacing w:line="480" w:lineRule="exact"/>
              <w:jc w:val="center"/>
              <w:rPr>
                <w:rFonts w:hint="default" w:ascii="Times New Roman" w:hAnsi="Times New Roman" w:cs="Times New Roman"/>
                <w:color w:val="auto"/>
                <w:sz w:val="24"/>
                <w:szCs w:val="22"/>
              </w:rPr>
            </w:pPr>
            <w:r>
              <w:rPr>
                <w:rFonts w:hint="default" w:ascii="Times New Roman" w:hAnsi="Times New Roman" w:cs="Times New Roman"/>
                <w:color w:val="auto"/>
                <w:sz w:val="24"/>
              </w:rPr>
              <w:pict>
                <v:shape id="_x0000_s2050" o:spid="_x0000_s2050" o:spt="202" type="#_x0000_t202" style="position:absolute;left:0pt;margin-left:55.9pt;margin-top:22.8pt;height:21.2pt;width:58.3pt;z-index:251660288;mso-width-relative:page;mso-height-relative:page;" filled="f" stroked="f" coordsize="21600,21600">
                  <v:path/>
                  <v:fill on="f" focussize="0,0"/>
                  <v:stroke on="f" weight="1.25pt"/>
                  <v:imagedata o:title=""/>
                  <o:lock v:ext="edit" aspectratio="f"/>
                  <v:textbox>
                    <w:txbxContent>
                      <w:p>
                        <w:pPr>
                          <w:jc w:val="center"/>
                          <w:rPr>
                            <w:rFonts w:hint="eastAsia"/>
                          </w:rPr>
                        </w:pPr>
                        <w:r>
                          <w:rPr>
                            <w:rFonts w:hint="eastAsia"/>
                          </w:rPr>
                          <w:t>占地规模</w:t>
                        </w:r>
                      </w:p>
                    </w:txbxContent>
                  </v:textbox>
                </v:shape>
              </w:pict>
            </w:r>
            <w:r>
              <w:rPr>
                <w:rFonts w:hint="default" w:ascii="Times New Roman" w:hAnsi="Times New Roman" w:cs="Times New Roman"/>
                <w:b/>
                <w:bCs/>
                <w:color w:val="auto"/>
                <w:sz w:val="24"/>
              </w:rPr>
              <w:t>表3-</w:t>
            </w:r>
            <w:r>
              <w:rPr>
                <w:rFonts w:hint="eastAsia" w:ascii="Times New Roman" w:hAnsi="Times New Roman" w:cs="Times New Roman"/>
                <w:b/>
                <w:bCs/>
                <w:color w:val="auto"/>
                <w:sz w:val="24"/>
                <w:lang w:val="en-US" w:eastAsia="zh-CN"/>
              </w:rPr>
              <w:t>5</w:t>
            </w:r>
            <w:r>
              <w:rPr>
                <w:rFonts w:hint="default" w:ascii="Times New Roman" w:hAnsi="Times New Roman" w:cs="Times New Roman"/>
                <w:b/>
                <w:bCs/>
                <w:color w:val="auto"/>
                <w:sz w:val="24"/>
              </w:rPr>
              <w:t xml:space="preserve">  污染影响型评价工作等级划分表</w:t>
            </w:r>
          </w:p>
          <w:tbl>
            <w:tblPr>
              <w:tblStyle w:val="26"/>
              <w:tblW w:w="941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852"/>
              <w:gridCol w:w="839"/>
              <w:gridCol w:w="840"/>
              <w:gridCol w:w="840"/>
              <w:gridCol w:w="840"/>
              <w:gridCol w:w="840"/>
              <w:gridCol w:w="840"/>
              <w:gridCol w:w="840"/>
              <w:gridCol w:w="840"/>
              <w:gridCol w:w="84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40" w:type="dxa"/>
                  <w:vMerge w:val="restart"/>
                  <w:noWrap w:val="0"/>
                  <w:vAlign w:val="center"/>
                </w:tcPr>
                <w:p>
                  <w:pPr>
                    <w:pStyle w:val="24"/>
                    <w:spacing w:after="0"/>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pict>
                      <v:line id="_x0000_s2051" o:spid="_x0000_s2051" o:spt="20" style="position:absolute;left:0pt;flip:x y;margin-left:36.05pt;margin-top:-1.05pt;height:40pt;width:69.65pt;z-index:251658240;mso-width-relative:page;mso-height-relative:page;" filled="f" stroked="t" coordsize="21600,21600">
                        <v:path arrowok="t"/>
                        <v:fill on="f" focussize="0,0"/>
                        <v:stroke weight="0.5pt"/>
                        <v:imagedata o:title=""/>
                        <o:lock v:ext="edit" aspectratio="f"/>
                      </v:line>
                    </w:pict>
                  </w:r>
                  <w:r>
                    <w:rPr>
                      <w:rFonts w:hint="default" w:ascii="Times New Roman" w:hAnsi="Times New Roman" w:eastAsia="宋体" w:cs="Times New Roman"/>
                      <w:color w:val="auto"/>
                      <w:sz w:val="21"/>
                      <w:szCs w:val="21"/>
                    </w:rPr>
                    <w:pict>
                      <v:shape id="_x0000_s2052" o:spid="_x0000_s2052" o:spt="202" type="#_x0000_t202" style="position:absolute;left:0pt;margin-left:-10.35pt;margin-top:20.7pt;height:21.2pt;width:59.3pt;z-index:251661312;mso-width-relative:page;mso-height-relative:page;" filled="f" stroked="f" coordsize="21600,21600">
                        <v:path/>
                        <v:fill on="f" focussize="0,0"/>
                        <v:stroke on="f" weight="1.25pt"/>
                        <v:imagedata o:title=""/>
                        <o:lock v:ext="edit" aspectratio="f"/>
                        <v:textbox>
                          <w:txbxContent>
                            <w:p>
                              <w:pPr>
                                <w:jc w:val="center"/>
                                <w:rPr>
                                  <w:rFonts w:hint="eastAsia"/>
                                </w:rPr>
                              </w:pPr>
                              <w:r>
                                <w:rPr>
                                  <w:rFonts w:hint="eastAsia"/>
                                </w:rPr>
                                <w:t>敏感程度</w:t>
                              </w:r>
                            </w:p>
                          </w:txbxContent>
                        </v:textbox>
                      </v:shape>
                    </w:pict>
                  </w:r>
                  <w:r>
                    <w:rPr>
                      <w:rFonts w:hint="default" w:ascii="Times New Roman" w:hAnsi="Times New Roman" w:eastAsia="宋体" w:cs="Times New Roman"/>
                      <w:color w:val="auto"/>
                      <w:sz w:val="21"/>
                      <w:szCs w:val="21"/>
                    </w:rPr>
                    <w:pict>
                      <v:shape id="_x0000_s2053" o:spid="_x0000_s2053" o:spt="202" type="#_x0000_t202" style="position:absolute;left:0pt;margin-left:-13.8pt;margin-top:2.55pt;height:21.2pt;width:78.9pt;z-index:251662336;mso-width-relative:page;mso-height-relative:page;" filled="f" stroked="f" coordsize="21600,21600">
                        <v:path/>
                        <v:fill on="f" focussize="0,0"/>
                        <v:stroke on="f" weight="1.25pt"/>
                        <v:imagedata o:title=""/>
                        <o:lock v:ext="edit" aspectratio="f"/>
                        <v:textbox>
                          <w:txbxContent>
                            <w:p>
                              <w:pPr>
                                <w:jc w:val="center"/>
                                <w:rPr>
                                  <w:rFonts w:hint="eastAsia"/>
                                </w:rPr>
                              </w:pPr>
                              <w:r>
                                <w:rPr>
                                  <w:rFonts w:hint="eastAsia"/>
                                </w:rPr>
                                <w:t>评级工作等级</w:t>
                              </w:r>
                            </w:p>
                          </w:txbxContent>
                        </v:textbox>
                      </v:shape>
                    </w:pict>
                  </w:r>
                  <w:r>
                    <w:rPr>
                      <w:rFonts w:hint="default" w:ascii="Times New Roman" w:hAnsi="Times New Roman" w:eastAsia="宋体" w:cs="Times New Roman"/>
                      <w:color w:val="auto"/>
                      <w:sz w:val="21"/>
                      <w:szCs w:val="21"/>
                    </w:rPr>
                    <w:pict>
                      <v:line id="_x0000_s2054" o:spid="_x0000_s2054" o:spt="20" style="position:absolute;left:0pt;flip:x y;margin-left:-4.55pt;margin-top:18.1pt;height:20.65pt;width:110.05pt;z-index:251659264;mso-width-relative:page;mso-height-relative:page;" filled="f" stroked="t" coordsize="21600,21600">
                        <v:path arrowok="t"/>
                        <v:fill on="f" focussize="0,0"/>
                        <v:stroke weight="0.5pt"/>
                        <v:imagedata o:title=""/>
                        <o:lock v:ext="edit" aspectratio="f"/>
                      </v:line>
                    </w:pict>
                  </w:r>
                </w:p>
              </w:tc>
              <w:tc>
                <w:tcPr>
                  <w:tcW w:w="340" w:type="dxa"/>
                  <w:gridSpan w:val="3"/>
                  <w:noWrap w:val="0"/>
                  <w:vAlign w:val="center"/>
                </w:tcPr>
                <w:p>
                  <w:pPr>
                    <w:pStyle w:val="24"/>
                    <w:spacing w:after="0"/>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Ⅰ类</w:t>
                  </w:r>
                </w:p>
              </w:tc>
              <w:tc>
                <w:tcPr>
                  <w:tcW w:w="340" w:type="dxa"/>
                  <w:gridSpan w:val="3"/>
                  <w:noWrap w:val="0"/>
                  <w:vAlign w:val="center"/>
                </w:tcPr>
                <w:p>
                  <w:pPr>
                    <w:pStyle w:val="24"/>
                    <w:spacing w:after="0"/>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Ⅱ类</w:t>
                  </w:r>
                </w:p>
              </w:tc>
              <w:tc>
                <w:tcPr>
                  <w:tcW w:w="340" w:type="dxa"/>
                  <w:gridSpan w:val="3"/>
                  <w:noWrap w:val="0"/>
                  <w:vAlign w:val="center"/>
                </w:tcPr>
                <w:p>
                  <w:pPr>
                    <w:pStyle w:val="24"/>
                    <w:spacing w:after="0"/>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Ⅲ类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40" w:type="dxa"/>
                  <w:vMerge w:val="continue"/>
                  <w:noWrap w:val="0"/>
                  <w:vAlign w:val="center"/>
                </w:tcPr>
                <w:p>
                  <w:pPr>
                    <w:pStyle w:val="24"/>
                    <w:spacing w:after="0"/>
                    <w:ind w:firstLine="0" w:firstLineChars="0"/>
                    <w:jc w:val="center"/>
                    <w:rPr>
                      <w:rFonts w:hint="default" w:ascii="Times New Roman" w:hAnsi="Times New Roman" w:eastAsia="宋体" w:cs="Times New Roman"/>
                      <w:color w:val="auto"/>
                      <w:sz w:val="21"/>
                      <w:szCs w:val="21"/>
                    </w:rPr>
                  </w:pPr>
                </w:p>
              </w:tc>
              <w:tc>
                <w:tcPr>
                  <w:tcW w:w="340" w:type="dxa"/>
                  <w:noWrap w:val="0"/>
                  <w:vAlign w:val="center"/>
                </w:tcPr>
                <w:p>
                  <w:pPr>
                    <w:pStyle w:val="24"/>
                    <w:spacing w:after="0"/>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大</w:t>
                  </w:r>
                </w:p>
              </w:tc>
              <w:tc>
                <w:tcPr>
                  <w:tcW w:w="340" w:type="dxa"/>
                  <w:noWrap w:val="0"/>
                  <w:vAlign w:val="center"/>
                </w:tcPr>
                <w:p>
                  <w:pPr>
                    <w:pStyle w:val="24"/>
                    <w:spacing w:after="0"/>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中</w:t>
                  </w:r>
                </w:p>
              </w:tc>
              <w:tc>
                <w:tcPr>
                  <w:tcW w:w="340" w:type="dxa"/>
                  <w:noWrap w:val="0"/>
                  <w:vAlign w:val="center"/>
                </w:tcPr>
                <w:p>
                  <w:pPr>
                    <w:pStyle w:val="24"/>
                    <w:spacing w:after="0"/>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小</w:t>
                  </w:r>
                </w:p>
              </w:tc>
              <w:tc>
                <w:tcPr>
                  <w:tcW w:w="340" w:type="dxa"/>
                  <w:noWrap w:val="0"/>
                  <w:vAlign w:val="center"/>
                </w:tcPr>
                <w:p>
                  <w:pPr>
                    <w:pStyle w:val="24"/>
                    <w:spacing w:after="0"/>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大</w:t>
                  </w:r>
                </w:p>
              </w:tc>
              <w:tc>
                <w:tcPr>
                  <w:tcW w:w="340" w:type="dxa"/>
                  <w:noWrap w:val="0"/>
                  <w:vAlign w:val="center"/>
                </w:tcPr>
                <w:p>
                  <w:pPr>
                    <w:pStyle w:val="24"/>
                    <w:spacing w:after="0"/>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中</w:t>
                  </w:r>
                </w:p>
              </w:tc>
              <w:tc>
                <w:tcPr>
                  <w:tcW w:w="340" w:type="dxa"/>
                  <w:noWrap w:val="0"/>
                  <w:vAlign w:val="center"/>
                </w:tcPr>
                <w:p>
                  <w:pPr>
                    <w:pStyle w:val="24"/>
                    <w:spacing w:after="0"/>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小</w:t>
                  </w:r>
                </w:p>
              </w:tc>
              <w:tc>
                <w:tcPr>
                  <w:tcW w:w="340" w:type="dxa"/>
                  <w:noWrap w:val="0"/>
                  <w:vAlign w:val="center"/>
                </w:tcPr>
                <w:p>
                  <w:pPr>
                    <w:pStyle w:val="24"/>
                    <w:spacing w:after="0"/>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大</w:t>
                  </w:r>
                </w:p>
              </w:tc>
              <w:tc>
                <w:tcPr>
                  <w:tcW w:w="340" w:type="dxa"/>
                  <w:noWrap w:val="0"/>
                  <w:vAlign w:val="center"/>
                </w:tcPr>
                <w:p>
                  <w:pPr>
                    <w:pStyle w:val="24"/>
                    <w:spacing w:after="0"/>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中</w:t>
                  </w:r>
                </w:p>
              </w:tc>
              <w:tc>
                <w:tcPr>
                  <w:tcW w:w="340" w:type="dxa"/>
                  <w:noWrap w:val="0"/>
                  <w:vAlign w:val="center"/>
                </w:tcPr>
                <w:p>
                  <w:pPr>
                    <w:pStyle w:val="24"/>
                    <w:spacing w:after="0"/>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40" w:type="dxa"/>
                  <w:noWrap w:val="0"/>
                  <w:vAlign w:val="center"/>
                </w:tcPr>
                <w:p>
                  <w:pPr>
                    <w:pStyle w:val="24"/>
                    <w:spacing w:after="0"/>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敏感</w:t>
                  </w:r>
                </w:p>
              </w:tc>
              <w:tc>
                <w:tcPr>
                  <w:tcW w:w="340" w:type="dxa"/>
                  <w:noWrap w:val="0"/>
                  <w:vAlign w:val="center"/>
                </w:tcPr>
                <w:p>
                  <w:pPr>
                    <w:pStyle w:val="24"/>
                    <w:spacing w:after="0"/>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一级</w:t>
                  </w:r>
                </w:p>
              </w:tc>
              <w:tc>
                <w:tcPr>
                  <w:tcW w:w="340"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一级</w:t>
                  </w:r>
                </w:p>
              </w:tc>
              <w:tc>
                <w:tcPr>
                  <w:tcW w:w="340" w:type="dxa"/>
                  <w:noWrap w:val="0"/>
                  <w:vAlign w:val="center"/>
                </w:tcPr>
                <w:p>
                  <w:pPr>
                    <w:pStyle w:val="24"/>
                    <w:spacing w:after="0"/>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一级</w:t>
                  </w:r>
                </w:p>
              </w:tc>
              <w:tc>
                <w:tcPr>
                  <w:tcW w:w="340"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二级</w:t>
                  </w:r>
                </w:p>
              </w:tc>
              <w:tc>
                <w:tcPr>
                  <w:tcW w:w="340"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二级</w:t>
                  </w:r>
                </w:p>
              </w:tc>
              <w:tc>
                <w:tcPr>
                  <w:tcW w:w="340" w:type="dxa"/>
                  <w:noWrap w:val="0"/>
                  <w:vAlign w:val="center"/>
                </w:tcPr>
                <w:p>
                  <w:pPr>
                    <w:pStyle w:val="24"/>
                    <w:spacing w:after="0"/>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二级</w:t>
                  </w:r>
                </w:p>
              </w:tc>
              <w:tc>
                <w:tcPr>
                  <w:tcW w:w="340"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三级</w:t>
                  </w:r>
                </w:p>
              </w:tc>
              <w:tc>
                <w:tcPr>
                  <w:tcW w:w="340"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三级</w:t>
                  </w:r>
                </w:p>
              </w:tc>
              <w:tc>
                <w:tcPr>
                  <w:tcW w:w="340" w:type="dxa"/>
                  <w:noWrap w:val="0"/>
                  <w:vAlign w:val="center"/>
                </w:tcPr>
                <w:p>
                  <w:pPr>
                    <w:pStyle w:val="24"/>
                    <w:spacing w:after="0"/>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三级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40" w:type="dxa"/>
                  <w:noWrap w:val="0"/>
                  <w:vAlign w:val="center"/>
                </w:tcPr>
                <w:p>
                  <w:pPr>
                    <w:pStyle w:val="24"/>
                    <w:spacing w:after="0"/>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较敏感</w:t>
                  </w:r>
                </w:p>
              </w:tc>
              <w:tc>
                <w:tcPr>
                  <w:tcW w:w="340"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一级</w:t>
                  </w:r>
                </w:p>
              </w:tc>
              <w:tc>
                <w:tcPr>
                  <w:tcW w:w="340"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一级</w:t>
                  </w:r>
                </w:p>
              </w:tc>
              <w:tc>
                <w:tcPr>
                  <w:tcW w:w="340"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二级</w:t>
                  </w:r>
                </w:p>
              </w:tc>
              <w:tc>
                <w:tcPr>
                  <w:tcW w:w="340"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二级</w:t>
                  </w:r>
                </w:p>
              </w:tc>
              <w:tc>
                <w:tcPr>
                  <w:tcW w:w="340"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二级</w:t>
                  </w:r>
                </w:p>
              </w:tc>
              <w:tc>
                <w:tcPr>
                  <w:tcW w:w="340"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三级</w:t>
                  </w:r>
                </w:p>
              </w:tc>
              <w:tc>
                <w:tcPr>
                  <w:tcW w:w="340"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三级</w:t>
                  </w:r>
                </w:p>
              </w:tc>
              <w:tc>
                <w:tcPr>
                  <w:tcW w:w="340"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三级</w:t>
                  </w:r>
                </w:p>
              </w:tc>
              <w:tc>
                <w:tcPr>
                  <w:tcW w:w="340" w:type="dxa"/>
                  <w:noWrap w:val="0"/>
                  <w:vAlign w:val="center"/>
                </w:tcPr>
                <w:p>
                  <w:pPr>
                    <w:pStyle w:val="24"/>
                    <w:spacing w:after="0"/>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bCs/>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40" w:type="dxa"/>
                  <w:shd w:val="clear" w:color="auto" w:fill="auto"/>
                  <w:noWrap w:val="0"/>
                  <w:vAlign w:val="center"/>
                </w:tcPr>
                <w:p>
                  <w:pPr>
                    <w:pStyle w:val="24"/>
                    <w:spacing w:after="0"/>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不敏感</w:t>
                  </w:r>
                </w:p>
              </w:tc>
              <w:tc>
                <w:tcPr>
                  <w:tcW w:w="340" w:type="dxa"/>
                  <w:shd w:val="clear" w:color="auto" w:fill="auto"/>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一级</w:t>
                  </w:r>
                </w:p>
              </w:tc>
              <w:tc>
                <w:tcPr>
                  <w:tcW w:w="340" w:type="dxa"/>
                  <w:shd w:val="clear" w:color="auto" w:fill="auto"/>
                  <w:noWrap w:val="0"/>
                  <w:vAlign w:val="center"/>
                </w:tcPr>
                <w:p>
                  <w:pPr>
                    <w:pStyle w:val="24"/>
                    <w:spacing w:after="0"/>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二级</w:t>
                  </w:r>
                </w:p>
              </w:tc>
              <w:tc>
                <w:tcPr>
                  <w:tcW w:w="340" w:type="dxa"/>
                  <w:shd w:val="clear" w:color="auto" w:fill="auto"/>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二级</w:t>
                  </w:r>
                </w:p>
              </w:tc>
              <w:tc>
                <w:tcPr>
                  <w:tcW w:w="340" w:type="dxa"/>
                  <w:shd w:val="clear" w:color="auto" w:fill="auto"/>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二级</w:t>
                  </w:r>
                </w:p>
              </w:tc>
              <w:tc>
                <w:tcPr>
                  <w:tcW w:w="340" w:type="dxa"/>
                  <w:shd w:val="clear" w:color="auto" w:fill="auto"/>
                  <w:noWrap w:val="0"/>
                  <w:vAlign w:val="center"/>
                </w:tcPr>
                <w:p>
                  <w:pPr>
                    <w:pStyle w:val="24"/>
                    <w:spacing w:after="0"/>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三级</w:t>
                  </w:r>
                </w:p>
              </w:tc>
              <w:tc>
                <w:tcPr>
                  <w:tcW w:w="340" w:type="dxa"/>
                  <w:shd w:val="clear" w:color="auto" w:fill="auto"/>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三级</w:t>
                  </w:r>
                </w:p>
              </w:tc>
              <w:tc>
                <w:tcPr>
                  <w:tcW w:w="340" w:type="dxa"/>
                  <w:shd w:val="clear" w:color="auto" w:fill="auto"/>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三级</w:t>
                  </w:r>
                </w:p>
              </w:tc>
              <w:tc>
                <w:tcPr>
                  <w:tcW w:w="340" w:type="dxa"/>
                  <w:shd w:val="clear" w:color="auto" w:fill="FFFFFF"/>
                  <w:noWrap w:val="0"/>
                  <w:vAlign w:val="center"/>
                </w:tcPr>
                <w:p>
                  <w:pPr>
                    <w:pStyle w:val="24"/>
                    <w:spacing w:after="0"/>
                    <w:ind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w:t>
                  </w:r>
                </w:p>
              </w:tc>
              <w:tc>
                <w:tcPr>
                  <w:tcW w:w="340" w:type="dxa"/>
                  <w:shd w:val="clear" w:color="auto" w:fill="F79646"/>
                  <w:noWrap w:val="0"/>
                  <w:vAlign w:val="center"/>
                </w:tcPr>
                <w:p>
                  <w:pPr>
                    <w:pStyle w:val="24"/>
                    <w:spacing w:after="0"/>
                    <w:ind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40" w:type="dxa"/>
                  <w:gridSpan w:val="10"/>
                  <w:noWrap w:val="0"/>
                  <w:vAlign w:val="center"/>
                </w:tcPr>
                <w:p>
                  <w:pPr>
                    <w:pStyle w:val="24"/>
                    <w:spacing w:after="0"/>
                    <w:ind w:firstLine="0" w:firstLineChars="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注：</w:t>
                  </w:r>
                  <w:r>
                    <w:rPr>
                      <w:rFonts w:hint="eastAsia" w:cs="Times New Roman"/>
                      <w:color w:val="auto"/>
                      <w:sz w:val="21"/>
                      <w:szCs w:val="21"/>
                      <w:lang w:eastAsia="zh-CN"/>
                    </w:rPr>
                    <w:t>“</w:t>
                  </w:r>
                  <w:r>
                    <w:rPr>
                      <w:rFonts w:hint="default" w:ascii="Times New Roman" w:hAnsi="Times New Roman" w:eastAsia="宋体" w:cs="Times New Roman"/>
                      <w:color w:val="auto"/>
                      <w:sz w:val="21"/>
                      <w:szCs w:val="21"/>
                    </w:rPr>
                    <w:t>-</w:t>
                  </w:r>
                  <w:r>
                    <w:rPr>
                      <w:rFonts w:hint="eastAsia" w:cs="Times New Roman"/>
                      <w:color w:val="auto"/>
                      <w:sz w:val="21"/>
                      <w:szCs w:val="21"/>
                      <w:lang w:eastAsia="zh-CN"/>
                    </w:rPr>
                    <w:t>”</w:t>
                  </w:r>
                  <w:r>
                    <w:rPr>
                      <w:rFonts w:hint="default" w:ascii="Times New Roman" w:hAnsi="Times New Roman" w:eastAsia="宋体" w:cs="Times New Roman"/>
                      <w:color w:val="auto"/>
                      <w:sz w:val="21"/>
                      <w:szCs w:val="21"/>
                    </w:rPr>
                    <w:t>表示可不开展土壤环境影响评价工作</w:t>
                  </w:r>
                </w:p>
              </w:tc>
            </w:tr>
          </w:tbl>
          <w:p>
            <w:pPr>
              <w:adjustRightInd w:val="0"/>
              <w:snapToGrid w:val="0"/>
              <w:spacing w:line="480" w:lineRule="exact"/>
              <w:ind w:firstLine="480" w:firstLineChars="200"/>
            </w:pPr>
            <w:r>
              <w:rPr>
                <w:rFonts w:hint="default" w:ascii="Times New Roman" w:hAnsi="Times New Roman" w:cs="Times New Roman"/>
                <w:color w:val="auto"/>
                <w:sz w:val="24"/>
                <w:szCs w:val="22"/>
              </w:rPr>
              <w:t>故本项目土壤环境影响评价</w:t>
            </w:r>
            <w:r>
              <w:rPr>
                <w:rFonts w:hint="eastAsia" w:ascii="Times New Roman" w:hAnsi="Times New Roman" w:eastAsia="宋体" w:cs="Times New Roman"/>
                <w:color w:val="auto"/>
                <w:sz w:val="24"/>
                <w:szCs w:val="22"/>
                <w:lang w:eastAsia="zh-CN"/>
              </w:rPr>
              <w:t>可不开展</w:t>
            </w:r>
            <w:r>
              <w:rPr>
                <w:rFonts w:hint="default" w:ascii="Times New Roman" w:hAnsi="Times New Roman" w:cs="Times New Roman"/>
                <w:color w:val="auto"/>
                <w:sz w:val="24"/>
              </w:rPr>
              <w:t>。</w:t>
            </w:r>
          </w:p>
          <w:p>
            <w:pPr>
              <w:pStyle w:val="107"/>
              <w:jc w:val="both"/>
              <w:rPr>
                <w:rFonts w:hint="default" w:ascii="Times New Roman" w:hAnsi="Times New Roman" w:cs="Times New Roman"/>
                <w:color w:val="auto"/>
                <w:sz w:val="24"/>
                <w:szCs w:val="22"/>
              </w:rPr>
            </w:pPr>
          </w:p>
          <w:p>
            <w:pPr>
              <w:jc w:val="left"/>
            </w:pPr>
            <w:r>
              <w:rPr>
                <w:b/>
              </w:rPr>
              <w:t xml:space="preserve">主要环境保护目标（列出名单及保护级别）： </w:t>
            </w:r>
          </w:p>
          <w:p>
            <w:pPr>
              <w:ind w:firstLine="369" w:firstLineChars="175"/>
              <w:jc w:val="center"/>
              <w:rPr>
                <w:b/>
                <w:bCs/>
                <w:sz w:val="21"/>
                <w:szCs w:val="21"/>
              </w:rPr>
            </w:pPr>
            <w:r>
              <w:rPr>
                <w:b/>
                <w:bCs/>
                <w:sz w:val="21"/>
                <w:szCs w:val="21"/>
              </w:rPr>
              <w:t>表3-</w:t>
            </w:r>
            <w:r>
              <w:rPr>
                <w:rFonts w:hint="eastAsia"/>
                <w:b/>
                <w:bCs/>
                <w:sz w:val="21"/>
                <w:szCs w:val="21"/>
                <w:lang w:val="en-US" w:eastAsia="zh-CN"/>
              </w:rPr>
              <w:t>6</w:t>
            </w:r>
            <w:r>
              <w:rPr>
                <w:b/>
                <w:bCs/>
                <w:sz w:val="21"/>
                <w:szCs w:val="21"/>
              </w:rPr>
              <w:t>主要环境空气保护目标</w:t>
            </w:r>
          </w:p>
          <w:tbl>
            <w:tblPr>
              <w:tblStyle w:val="26"/>
              <w:tblW w:w="4994"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57" w:type="dxa"/>
                <w:bottom w:w="0" w:type="dxa"/>
                <w:right w:w="57" w:type="dxa"/>
              </w:tblCellMar>
            </w:tblPr>
            <w:tblGrid>
              <w:gridCol w:w="513"/>
              <w:gridCol w:w="2724"/>
              <w:gridCol w:w="936"/>
              <w:gridCol w:w="940"/>
              <w:gridCol w:w="1125"/>
              <w:gridCol w:w="1307"/>
              <w:gridCol w:w="942"/>
              <w:gridCol w:w="92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273" w:type="pct"/>
                  <w:vMerge w:val="restart"/>
                  <w:vAlign w:val="center"/>
                </w:tcPr>
                <w:p>
                  <w:pPr>
                    <w:spacing w:line="240" w:lineRule="auto"/>
                    <w:jc w:val="center"/>
                    <w:rPr>
                      <w:b/>
                      <w:sz w:val="21"/>
                      <w:szCs w:val="21"/>
                    </w:rPr>
                  </w:pPr>
                  <w:r>
                    <w:rPr>
                      <w:b/>
                      <w:sz w:val="21"/>
                      <w:szCs w:val="21"/>
                    </w:rPr>
                    <w:t>序号</w:t>
                  </w:r>
                </w:p>
              </w:tc>
              <w:tc>
                <w:tcPr>
                  <w:tcW w:w="1446" w:type="pct"/>
                  <w:vMerge w:val="restart"/>
                  <w:vAlign w:val="center"/>
                </w:tcPr>
                <w:p>
                  <w:pPr>
                    <w:spacing w:line="240" w:lineRule="auto"/>
                    <w:jc w:val="center"/>
                    <w:rPr>
                      <w:b/>
                      <w:sz w:val="21"/>
                      <w:szCs w:val="21"/>
                    </w:rPr>
                  </w:pPr>
                  <w:r>
                    <w:rPr>
                      <w:b/>
                      <w:sz w:val="21"/>
                      <w:szCs w:val="21"/>
                    </w:rPr>
                    <w:t>名称</w:t>
                  </w:r>
                </w:p>
              </w:tc>
              <w:tc>
                <w:tcPr>
                  <w:tcW w:w="996" w:type="pct"/>
                  <w:gridSpan w:val="2"/>
                  <w:vAlign w:val="center"/>
                </w:tcPr>
                <w:p>
                  <w:pPr>
                    <w:spacing w:line="240" w:lineRule="auto"/>
                    <w:jc w:val="center"/>
                    <w:rPr>
                      <w:b/>
                      <w:sz w:val="21"/>
                      <w:szCs w:val="21"/>
                    </w:rPr>
                  </w:pPr>
                  <w:r>
                    <w:rPr>
                      <w:b/>
                      <w:sz w:val="21"/>
                      <w:szCs w:val="21"/>
                    </w:rPr>
                    <w:t>坐标/m</w:t>
                  </w:r>
                </w:p>
              </w:tc>
              <w:tc>
                <w:tcPr>
                  <w:tcW w:w="597" w:type="pct"/>
                  <w:vMerge w:val="restart"/>
                  <w:vAlign w:val="center"/>
                </w:tcPr>
                <w:p>
                  <w:pPr>
                    <w:spacing w:line="240" w:lineRule="auto"/>
                    <w:jc w:val="center"/>
                    <w:rPr>
                      <w:b/>
                      <w:sz w:val="21"/>
                      <w:szCs w:val="21"/>
                    </w:rPr>
                  </w:pPr>
                  <w:r>
                    <w:rPr>
                      <w:b/>
                      <w:sz w:val="21"/>
                      <w:szCs w:val="21"/>
                    </w:rPr>
                    <w:t>保护对象</w:t>
                  </w:r>
                </w:p>
              </w:tc>
              <w:tc>
                <w:tcPr>
                  <w:tcW w:w="694" w:type="pct"/>
                  <w:vMerge w:val="restart"/>
                  <w:vAlign w:val="center"/>
                </w:tcPr>
                <w:p>
                  <w:pPr>
                    <w:spacing w:line="240" w:lineRule="auto"/>
                    <w:jc w:val="center"/>
                    <w:rPr>
                      <w:b/>
                      <w:sz w:val="21"/>
                      <w:szCs w:val="21"/>
                    </w:rPr>
                  </w:pPr>
                  <w:r>
                    <w:rPr>
                      <w:b/>
                      <w:sz w:val="21"/>
                      <w:szCs w:val="21"/>
                    </w:rPr>
                    <w:t>保护内容</w:t>
                  </w:r>
                </w:p>
              </w:tc>
              <w:tc>
                <w:tcPr>
                  <w:tcW w:w="500" w:type="pct"/>
                  <w:vMerge w:val="restart"/>
                  <w:vAlign w:val="center"/>
                </w:tcPr>
                <w:p>
                  <w:pPr>
                    <w:spacing w:line="240" w:lineRule="auto"/>
                    <w:jc w:val="center"/>
                    <w:rPr>
                      <w:b/>
                      <w:sz w:val="21"/>
                      <w:szCs w:val="21"/>
                    </w:rPr>
                  </w:pPr>
                  <w:r>
                    <w:rPr>
                      <w:b/>
                      <w:sz w:val="21"/>
                      <w:szCs w:val="21"/>
                    </w:rPr>
                    <w:t>环境功能区</w:t>
                  </w:r>
                </w:p>
              </w:tc>
              <w:tc>
                <w:tcPr>
                  <w:tcW w:w="491" w:type="pct"/>
                  <w:vMerge w:val="restart"/>
                  <w:vAlign w:val="center"/>
                </w:tcPr>
                <w:p>
                  <w:pPr>
                    <w:spacing w:line="240" w:lineRule="auto"/>
                    <w:jc w:val="center"/>
                    <w:rPr>
                      <w:b/>
                      <w:sz w:val="21"/>
                      <w:szCs w:val="21"/>
                    </w:rPr>
                  </w:pPr>
                  <w:r>
                    <w:rPr>
                      <w:b/>
                      <w:sz w:val="21"/>
                      <w:szCs w:val="21"/>
                    </w:rPr>
                    <w:t>相对距离/m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46" w:hRule="atLeast"/>
              </w:trPr>
              <w:tc>
                <w:tcPr>
                  <w:tcW w:w="273" w:type="pct"/>
                  <w:vMerge w:val="continue"/>
                  <w:vAlign w:val="center"/>
                </w:tcPr>
                <w:p>
                  <w:pPr>
                    <w:spacing w:line="240" w:lineRule="auto"/>
                    <w:jc w:val="center"/>
                    <w:rPr>
                      <w:sz w:val="21"/>
                      <w:szCs w:val="21"/>
                    </w:rPr>
                  </w:pPr>
                </w:p>
              </w:tc>
              <w:tc>
                <w:tcPr>
                  <w:tcW w:w="1446" w:type="pct"/>
                  <w:vMerge w:val="continue"/>
                  <w:vAlign w:val="center"/>
                </w:tcPr>
                <w:p>
                  <w:pPr>
                    <w:spacing w:line="240" w:lineRule="auto"/>
                    <w:jc w:val="center"/>
                    <w:rPr>
                      <w:sz w:val="21"/>
                      <w:szCs w:val="21"/>
                    </w:rPr>
                  </w:pPr>
                </w:p>
              </w:tc>
              <w:tc>
                <w:tcPr>
                  <w:tcW w:w="497" w:type="pct"/>
                  <w:vAlign w:val="center"/>
                </w:tcPr>
                <w:p>
                  <w:pPr>
                    <w:spacing w:line="240" w:lineRule="auto"/>
                    <w:jc w:val="center"/>
                    <w:rPr>
                      <w:b/>
                      <w:sz w:val="21"/>
                      <w:szCs w:val="21"/>
                    </w:rPr>
                  </w:pPr>
                  <w:r>
                    <w:rPr>
                      <w:b/>
                      <w:sz w:val="21"/>
                      <w:szCs w:val="21"/>
                    </w:rPr>
                    <w:t>X</w:t>
                  </w:r>
                </w:p>
              </w:tc>
              <w:tc>
                <w:tcPr>
                  <w:tcW w:w="499" w:type="pct"/>
                  <w:vAlign w:val="center"/>
                </w:tcPr>
                <w:p>
                  <w:pPr>
                    <w:spacing w:line="240" w:lineRule="auto"/>
                    <w:jc w:val="center"/>
                    <w:rPr>
                      <w:b/>
                      <w:sz w:val="21"/>
                      <w:szCs w:val="21"/>
                    </w:rPr>
                  </w:pPr>
                  <w:r>
                    <w:rPr>
                      <w:b/>
                      <w:sz w:val="21"/>
                      <w:szCs w:val="21"/>
                    </w:rPr>
                    <w:t>Y</w:t>
                  </w:r>
                </w:p>
              </w:tc>
              <w:tc>
                <w:tcPr>
                  <w:tcW w:w="597" w:type="pct"/>
                  <w:vMerge w:val="continue"/>
                  <w:vAlign w:val="center"/>
                </w:tcPr>
                <w:p>
                  <w:pPr>
                    <w:spacing w:line="240" w:lineRule="auto"/>
                    <w:jc w:val="center"/>
                    <w:rPr>
                      <w:sz w:val="21"/>
                      <w:szCs w:val="21"/>
                    </w:rPr>
                  </w:pPr>
                </w:p>
              </w:tc>
              <w:tc>
                <w:tcPr>
                  <w:tcW w:w="694" w:type="pct"/>
                  <w:vMerge w:val="continue"/>
                  <w:vAlign w:val="center"/>
                </w:tcPr>
                <w:p>
                  <w:pPr>
                    <w:spacing w:line="240" w:lineRule="auto"/>
                    <w:jc w:val="center"/>
                    <w:rPr>
                      <w:sz w:val="21"/>
                      <w:szCs w:val="21"/>
                    </w:rPr>
                  </w:pPr>
                </w:p>
              </w:tc>
              <w:tc>
                <w:tcPr>
                  <w:tcW w:w="500" w:type="pct"/>
                  <w:vMerge w:val="continue"/>
                  <w:vAlign w:val="center"/>
                </w:tcPr>
                <w:p>
                  <w:pPr>
                    <w:spacing w:line="240" w:lineRule="auto"/>
                    <w:jc w:val="center"/>
                    <w:rPr>
                      <w:sz w:val="21"/>
                      <w:szCs w:val="21"/>
                    </w:rPr>
                  </w:pPr>
                </w:p>
              </w:tc>
              <w:tc>
                <w:tcPr>
                  <w:tcW w:w="491" w:type="pct"/>
                  <w:vMerge w:val="continue"/>
                  <w:vAlign w:val="center"/>
                </w:tcPr>
                <w:p>
                  <w:pPr>
                    <w:spacing w:line="240" w:lineRule="auto"/>
                    <w:jc w:val="center"/>
                    <w:rPr>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273" w:type="pct"/>
                  <w:vAlign w:val="center"/>
                </w:tcPr>
                <w:p>
                  <w:pPr>
                    <w:spacing w:line="240" w:lineRule="auto"/>
                    <w:jc w:val="center"/>
                    <w:rPr>
                      <w:sz w:val="21"/>
                      <w:szCs w:val="21"/>
                    </w:rPr>
                  </w:pPr>
                  <w:r>
                    <w:rPr>
                      <w:sz w:val="21"/>
                      <w:szCs w:val="21"/>
                    </w:rPr>
                    <w:t>1</w:t>
                  </w:r>
                </w:p>
              </w:tc>
              <w:tc>
                <w:tcPr>
                  <w:tcW w:w="1446" w:type="pct"/>
                  <w:vAlign w:val="center"/>
                </w:tcPr>
                <w:p>
                  <w:pPr>
                    <w:pStyle w:val="51"/>
                    <w:adjustRightInd w:val="0"/>
                    <w:snapToGrid w:val="0"/>
                    <w:spacing w:line="240" w:lineRule="auto"/>
                    <w:ind w:left="-1" w:leftChars="-2" w:hanging="4" w:hangingChars="2"/>
                    <w:rPr>
                      <w:rFonts w:hint="default" w:ascii="Times New Roman" w:hAnsi="Times New Roman" w:eastAsia="宋体"/>
                      <w:kern w:val="2"/>
                      <w:sz w:val="21"/>
                      <w:szCs w:val="21"/>
                      <w:lang w:val="en-US" w:eastAsia="zh-CN"/>
                    </w:rPr>
                  </w:pPr>
                  <w:r>
                    <w:rPr>
                      <w:rFonts w:hint="eastAsia" w:ascii="Times New Roman" w:hAnsi="Times New Roman" w:eastAsia="宋体"/>
                      <w:kern w:val="2"/>
                      <w:sz w:val="21"/>
                      <w:szCs w:val="21"/>
                      <w:lang w:val="en-US" w:eastAsia="zh-CN"/>
                    </w:rPr>
                    <w:t>阳山花苑</w:t>
                  </w:r>
                </w:p>
              </w:tc>
              <w:tc>
                <w:tcPr>
                  <w:tcW w:w="497" w:type="pct"/>
                  <w:vAlign w:val="center"/>
                </w:tcPr>
                <w:p>
                  <w:pPr>
                    <w:spacing w:line="240" w:lineRule="auto"/>
                    <w:jc w:val="center"/>
                    <w:rPr>
                      <w:rFonts w:hint="default" w:eastAsia="宋体"/>
                      <w:sz w:val="21"/>
                      <w:szCs w:val="21"/>
                      <w:lang w:val="en-US" w:eastAsia="zh-CN"/>
                    </w:rPr>
                  </w:pPr>
                  <w:r>
                    <w:rPr>
                      <w:rFonts w:hint="eastAsia"/>
                      <w:sz w:val="21"/>
                      <w:szCs w:val="21"/>
                      <w:lang w:val="en-US" w:eastAsia="zh-CN"/>
                    </w:rPr>
                    <w:t>0</w:t>
                  </w:r>
                </w:p>
              </w:tc>
              <w:tc>
                <w:tcPr>
                  <w:tcW w:w="499" w:type="pct"/>
                  <w:vAlign w:val="center"/>
                </w:tcPr>
                <w:p>
                  <w:pPr>
                    <w:spacing w:line="240" w:lineRule="auto"/>
                    <w:jc w:val="center"/>
                    <w:rPr>
                      <w:rFonts w:hint="default" w:eastAsia="宋体"/>
                      <w:sz w:val="21"/>
                      <w:szCs w:val="21"/>
                      <w:lang w:val="en-US" w:eastAsia="zh-CN"/>
                    </w:rPr>
                  </w:pPr>
                  <w:r>
                    <w:rPr>
                      <w:rFonts w:hint="eastAsia"/>
                      <w:sz w:val="21"/>
                      <w:szCs w:val="21"/>
                      <w:lang w:val="en-US" w:eastAsia="zh-CN"/>
                    </w:rPr>
                    <w:t>730</w:t>
                  </w:r>
                </w:p>
              </w:tc>
              <w:tc>
                <w:tcPr>
                  <w:tcW w:w="597" w:type="pct"/>
                  <w:vAlign w:val="center"/>
                </w:tcPr>
                <w:p>
                  <w:pPr>
                    <w:spacing w:line="240" w:lineRule="auto"/>
                    <w:jc w:val="center"/>
                    <w:rPr>
                      <w:rFonts w:hint="eastAsia" w:eastAsia="宋体"/>
                      <w:sz w:val="21"/>
                      <w:szCs w:val="21"/>
                      <w:lang w:val="en-US" w:eastAsia="zh-CN"/>
                    </w:rPr>
                  </w:pPr>
                  <w:r>
                    <w:rPr>
                      <w:rFonts w:hint="eastAsia"/>
                      <w:sz w:val="21"/>
                      <w:szCs w:val="21"/>
                      <w:lang w:val="en-US" w:eastAsia="zh-CN"/>
                    </w:rPr>
                    <w:t>居住区</w:t>
                  </w:r>
                </w:p>
              </w:tc>
              <w:tc>
                <w:tcPr>
                  <w:tcW w:w="694" w:type="pct"/>
                  <w:vAlign w:val="center"/>
                </w:tcPr>
                <w:p>
                  <w:pPr>
                    <w:spacing w:line="240" w:lineRule="auto"/>
                    <w:jc w:val="center"/>
                    <w:rPr>
                      <w:rFonts w:hint="default" w:eastAsia="宋体"/>
                      <w:sz w:val="21"/>
                      <w:szCs w:val="21"/>
                      <w:lang w:val="en-US" w:eastAsia="zh-CN"/>
                    </w:rPr>
                  </w:pPr>
                  <w:r>
                    <w:rPr>
                      <w:rFonts w:hint="eastAsia"/>
                      <w:sz w:val="21"/>
                      <w:szCs w:val="21"/>
                      <w:lang w:val="en-US" w:eastAsia="zh-CN"/>
                    </w:rPr>
                    <w:t>12931户</w:t>
                  </w:r>
                </w:p>
              </w:tc>
              <w:tc>
                <w:tcPr>
                  <w:tcW w:w="500" w:type="pct"/>
                  <w:vAlign w:val="center"/>
                </w:tcPr>
                <w:p>
                  <w:pPr>
                    <w:spacing w:line="240" w:lineRule="auto"/>
                    <w:jc w:val="center"/>
                    <w:rPr>
                      <w:rFonts w:hint="default" w:eastAsia="宋体"/>
                      <w:sz w:val="21"/>
                      <w:szCs w:val="21"/>
                      <w:lang w:val="en-US" w:eastAsia="zh-CN"/>
                    </w:rPr>
                  </w:pPr>
                  <w:r>
                    <w:rPr>
                      <w:rFonts w:hint="eastAsia"/>
                      <w:sz w:val="21"/>
                      <w:szCs w:val="21"/>
                      <w:lang w:val="en-US" w:eastAsia="zh-CN"/>
                    </w:rPr>
                    <w:t>二类区</w:t>
                  </w:r>
                </w:p>
              </w:tc>
              <w:tc>
                <w:tcPr>
                  <w:tcW w:w="491" w:type="pct"/>
                  <w:vAlign w:val="center"/>
                </w:tcPr>
                <w:p>
                  <w:pPr>
                    <w:spacing w:line="240" w:lineRule="auto"/>
                    <w:jc w:val="center"/>
                    <w:rPr>
                      <w:rFonts w:hint="default" w:eastAsia="宋体"/>
                      <w:sz w:val="21"/>
                      <w:szCs w:val="21"/>
                      <w:lang w:val="en-US" w:eastAsia="zh-CN"/>
                    </w:rPr>
                  </w:pPr>
                  <w:r>
                    <w:rPr>
                      <w:rFonts w:hint="eastAsia"/>
                      <w:sz w:val="21"/>
                      <w:szCs w:val="21"/>
                      <w:lang w:val="en-US" w:eastAsia="zh-CN"/>
                    </w:rPr>
                    <w:t>730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273" w:type="pct"/>
                  <w:vAlign w:val="center"/>
                </w:tcPr>
                <w:p>
                  <w:pPr>
                    <w:spacing w:line="240" w:lineRule="auto"/>
                    <w:jc w:val="center"/>
                    <w:rPr>
                      <w:sz w:val="21"/>
                      <w:szCs w:val="21"/>
                    </w:rPr>
                  </w:pPr>
                  <w:r>
                    <w:rPr>
                      <w:sz w:val="21"/>
                      <w:szCs w:val="21"/>
                    </w:rPr>
                    <w:t>2</w:t>
                  </w:r>
                </w:p>
              </w:tc>
              <w:tc>
                <w:tcPr>
                  <w:tcW w:w="1446" w:type="pct"/>
                  <w:vAlign w:val="center"/>
                </w:tcPr>
                <w:p>
                  <w:pPr>
                    <w:pStyle w:val="51"/>
                    <w:adjustRightInd w:val="0"/>
                    <w:snapToGrid w:val="0"/>
                    <w:spacing w:line="240" w:lineRule="auto"/>
                    <w:ind w:left="-1" w:leftChars="-2" w:hanging="4" w:hangingChars="2"/>
                    <w:rPr>
                      <w:rFonts w:hint="default" w:ascii="Times New Roman" w:hAnsi="Times New Roman" w:eastAsia="宋体"/>
                      <w:kern w:val="2"/>
                      <w:sz w:val="21"/>
                      <w:szCs w:val="21"/>
                      <w:lang w:val="en-US" w:eastAsia="zh-CN"/>
                    </w:rPr>
                  </w:pPr>
                  <w:r>
                    <w:rPr>
                      <w:rFonts w:hint="eastAsia" w:ascii="Times New Roman" w:hAnsi="Times New Roman" w:eastAsia="宋体"/>
                      <w:kern w:val="2"/>
                      <w:sz w:val="21"/>
                      <w:szCs w:val="21"/>
                      <w:lang w:val="en-US" w:eastAsia="zh-CN"/>
                    </w:rPr>
                    <w:t>苏州市阳山实验小学</w:t>
                  </w:r>
                </w:p>
              </w:tc>
              <w:tc>
                <w:tcPr>
                  <w:tcW w:w="497" w:type="pct"/>
                  <w:vAlign w:val="center"/>
                </w:tcPr>
                <w:p>
                  <w:pPr>
                    <w:spacing w:line="240" w:lineRule="auto"/>
                    <w:jc w:val="center"/>
                    <w:rPr>
                      <w:rFonts w:hint="default" w:eastAsia="宋体"/>
                      <w:sz w:val="21"/>
                      <w:szCs w:val="21"/>
                      <w:lang w:val="en-US" w:eastAsia="zh-CN"/>
                    </w:rPr>
                  </w:pPr>
                  <w:r>
                    <w:rPr>
                      <w:rFonts w:hint="eastAsia"/>
                      <w:sz w:val="21"/>
                      <w:szCs w:val="21"/>
                      <w:lang w:val="en-US" w:eastAsia="zh-CN"/>
                    </w:rPr>
                    <w:t>250</w:t>
                  </w:r>
                </w:p>
              </w:tc>
              <w:tc>
                <w:tcPr>
                  <w:tcW w:w="499" w:type="pct"/>
                  <w:vAlign w:val="center"/>
                </w:tcPr>
                <w:p>
                  <w:pPr>
                    <w:spacing w:line="240" w:lineRule="auto"/>
                    <w:jc w:val="center"/>
                    <w:rPr>
                      <w:rFonts w:hint="default" w:eastAsia="宋体"/>
                      <w:sz w:val="21"/>
                      <w:szCs w:val="21"/>
                      <w:lang w:val="en-US" w:eastAsia="zh-CN"/>
                    </w:rPr>
                  </w:pPr>
                  <w:r>
                    <w:rPr>
                      <w:rFonts w:hint="eastAsia"/>
                      <w:sz w:val="21"/>
                      <w:szCs w:val="21"/>
                      <w:lang w:val="en-US" w:eastAsia="zh-CN"/>
                    </w:rPr>
                    <w:t>200</w:t>
                  </w:r>
                </w:p>
              </w:tc>
              <w:tc>
                <w:tcPr>
                  <w:tcW w:w="597" w:type="pct"/>
                  <w:vAlign w:val="center"/>
                </w:tcPr>
                <w:p>
                  <w:pPr>
                    <w:spacing w:line="240" w:lineRule="auto"/>
                    <w:jc w:val="center"/>
                    <w:rPr>
                      <w:rFonts w:hint="eastAsia" w:eastAsia="宋体"/>
                      <w:sz w:val="21"/>
                      <w:szCs w:val="21"/>
                      <w:lang w:val="en-US" w:eastAsia="zh-CN"/>
                    </w:rPr>
                  </w:pPr>
                  <w:r>
                    <w:rPr>
                      <w:rFonts w:hint="eastAsia"/>
                      <w:sz w:val="21"/>
                      <w:szCs w:val="21"/>
                      <w:lang w:val="en-US" w:eastAsia="zh-CN"/>
                    </w:rPr>
                    <w:t>学校</w:t>
                  </w:r>
                </w:p>
              </w:tc>
              <w:tc>
                <w:tcPr>
                  <w:tcW w:w="694" w:type="pct"/>
                  <w:vAlign w:val="center"/>
                </w:tcPr>
                <w:p>
                  <w:pPr>
                    <w:spacing w:line="240" w:lineRule="auto"/>
                    <w:jc w:val="center"/>
                    <w:rPr>
                      <w:rFonts w:hint="default" w:eastAsia="宋体"/>
                      <w:sz w:val="21"/>
                      <w:szCs w:val="21"/>
                      <w:lang w:val="en-US" w:eastAsia="zh-CN"/>
                    </w:rPr>
                  </w:pPr>
                  <w:r>
                    <w:rPr>
                      <w:rFonts w:hint="eastAsia"/>
                      <w:sz w:val="21"/>
                      <w:szCs w:val="21"/>
                      <w:lang w:val="en-US" w:eastAsia="zh-CN"/>
                    </w:rPr>
                    <w:t>约2000人</w:t>
                  </w:r>
                </w:p>
              </w:tc>
              <w:tc>
                <w:tcPr>
                  <w:tcW w:w="500" w:type="pct"/>
                  <w:vAlign w:val="center"/>
                </w:tcPr>
                <w:p>
                  <w:pPr>
                    <w:spacing w:line="240" w:lineRule="auto"/>
                    <w:jc w:val="center"/>
                    <w:rPr>
                      <w:rFonts w:hint="default" w:eastAsia="宋体"/>
                      <w:sz w:val="21"/>
                      <w:szCs w:val="21"/>
                      <w:lang w:val="en-US" w:eastAsia="zh-CN"/>
                    </w:rPr>
                  </w:pPr>
                  <w:r>
                    <w:rPr>
                      <w:rFonts w:hint="eastAsia"/>
                      <w:sz w:val="21"/>
                      <w:szCs w:val="21"/>
                      <w:lang w:val="en-US" w:eastAsia="zh-CN"/>
                    </w:rPr>
                    <w:t>二类区</w:t>
                  </w:r>
                </w:p>
              </w:tc>
              <w:tc>
                <w:tcPr>
                  <w:tcW w:w="491" w:type="pct"/>
                  <w:vAlign w:val="center"/>
                </w:tcPr>
                <w:p>
                  <w:pPr>
                    <w:spacing w:line="240" w:lineRule="auto"/>
                    <w:jc w:val="center"/>
                    <w:rPr>
                      <w:rFonts w:hint="default" w:eastAsia="宋体"/>
                      <w:sz w:val="21"/>
                      <w:szCs w:val="21"/>
                      <w:lang w:val="en-US" w:eastAsia="zh-CN"/>
                    </w:rPr>
                  </w:pPr>
                  <w:r>
                    <w:rPr>
                      <w:rFonts w:hint="eastAsia"/>
                      <w:sz w:val="21"/>
                      <w:szCs w:val="21"/>
                      <w:lang w:val="en-US" w:eastAsia="zh-CN"/>
                    </w:rPr>
                    <w:t>320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273" w:type="pct"/>
                  <w:vAlign w:val="center"/>
                </w:tcPr>
                <w:p>
                  <w:pPr>
                    <w:spacing w:line="240" w:lineRule="auto"/>
                    <w:jc w:val="center"/>
                    <w:rPr>
                      <w:sz w:val="21"/>
                      <w:szCs w:val="21"/>
                    </w:rPr>
                  </w:pPr>
                  <w:r>
                    <w:rPr>
                      <w:sz w:val="21"/>
                      <w:szCs w:val="21"/>
                    </w:rPr>
                    <w:t>3</w:t>
                  </w:r>
                </w:p>
              </w:tc>
              <w:tc>
                <w:tcPr>
                  <w:tcW w:w="1446" w:type="pct"/>
                  <w:vAlign w:val="center"/>
                </w:tcPr>
                <w:p>
                  <w:pPr>
                    <w:pStyle w:val="51"/>
                    <w:adjustRightInd w:val="0"/>
                    <w:snapToGrid w:val="0"/>
                    <w:spacing w:line="240" w:lineRule="auto"/>
                    <w:ind w:left="-1" w:leftChars="-2" w:hanging="4" w:hangingChars="2"/>
                    <w:rPr>
                      <w:rFonts w:hint="default" w:ascii="Times New Roman" w:hAnsi="Times New Roman" w:eastAsia="宋体"/>
                      <w:kern w:val="2"/>
                      <w:sz w:val="21"/>
                      <w:szCs w:val="21"/>
                      <w:lang w:val="en-US" w:eastAsia="zh-CN"/>
                    </w:rPr>
                  </w:pPr>
                  <w:r>
                    <w:rPr>
                      <w:rFonts w:hint="eastAsia" w:ascii="Times New Roman" w:hAnsi="Times New Roman" w:eastAsia="宋体"/>
                      <w:kern w:val="2"/>
                      <w:sz w:val="21"/>
                      <w:szCs w:val="21"/>
                      <w:lang w:val="en-US" w:eastAsia="zh-CN"/>
                    </w:rPr>
                    <w:t>旭辉悦庭</w:t>
                  </w:r>
                </w:p>
              </w:tc>
              <w:tc>
                <w:tcPr>
                  <w:tcW w:w="497" w:type="pct"/>
                  <w:vAlign w:val="center"/>
                </w:tcPr>
                <w:p>
                  <w:pPr>
                    <w:spacing w:line="240" w:lineRule="auto"/>
                    <w:jc w:val="center"/>
                    <w:rPr>
                      <w:rFonts w:hint="default" w:eastAsia="宋体"/>
                      <w:sz w:val="21"/>
                      <w:szCs w:val="21"/>
                      <w:lang w:val="en-US" w:eastAsia="zh-CN"/>
                    </w:rPr>
                  </w:pPr>
                  <w:r>
                    <w:rPr>
                      <w:rFonts w:hint="eastAsia"/>
                      <w:sz w:val="21"/>
                      <w:szCs w:val="21"/>
                      <w:lang w:val="en-US" w:eastAsia="zh-CN"/>
                    </w:rPr>
                    <w:t>940</w:t>
                  </w:r>
                </w:p>
              </w:tc>
              <w:tc>
                <w:tcPr>
                  <w:tcW w:w="499" w:type="pct"/>
                  <w:vAlign w:val="center"/>
                </w:tcPr>
                <w:p>
                  <w:pPr>
                    <w:spacing w:line="240" w:lineRule="auto"/>
                    <w:jc w:val="center"/>
                    <w:rPr>
                      <w:rFonts w:hint="default" w:eastAsia="宋体"/>
                      <w:sz w:val="21"/>
                      <w:szCs w:val="21"/>
                      <w:lang w:val="en-US" w:eastAsia="zh-CN"/>
                    </w:rPr>
                  </w:pPr>
                  <w:r>
                    <w:rPr>
                      <w:rFonts w:hint="eastAsia"/>
                      <w:sz w:val="21"/>
                      <w:szCs w:val="21"/>
                      <w:lang w:val="en-US" w:eastAsia="zh-CN"/>
                    </w:rPr>
                    <w:t>1100</w:t>
                  </w:r>
                </w:p>
              </w:tc>
              <w:tc>
                <w:tcPr>
                  <w:tcW w:w="597" w:type="pct"/>
                  <w:vAlign w:val="center"/>
                </w:tcPr>
                <w:p>
                  <w:pPr>
                    <w:spacing w:line="240" w:lineRule="auto"/>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居住区</w:t>
                  </w:r>
                </w:p>
              </w:tc>
              <w:tc>
                <w:tcPr>
                  <w:tcW w:w="694" w:type="pct"/>
                  <w:vAlign w:val="center"/>
                </w:tcPr>
                <w:p>
                  <w:pPr>
                    <w:spacing w:line="240" w:lineRule="auto"/>
                    <w:jc w:val="center"/>
                    <w:rPr>
                      <w:rFonts w:hint="default" w:eastAsia="宋体"/>
                      <w:sz w:val="21"/>
                      <w:szCs w:val="21"/>
                      <w:lang w:val="en-US" w:eastAsia="zh-CN"/>
                    </w:rPr>
                  </w:pPr>
                  <w:r>
                    <w:rPr>
                      <w:rFonts w:hint="eastAsia"/>
                      <w:sz w:val="21"/>
                      <w:szCs w:val="21"/>
                      <w:lang w:val="en-US" w:eastAsia="zh-CN"/>
                    </w:rPr>
                    <w:t>996户</w:t>
                  </w:r>
                </w:p>
              </w:tc>
              <w:tc>
                <w:tcPr>
                  <w:tcW w:w="50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二类区</w:t>
                  </w:r>
                </w:p>
              </w:tc>
              <w:tc>
                <w:tcPr>
                  <w:tcW w:w="491"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1446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273" w:type="pct"/>
                  <w:vAlign w:val="center"/>
                </w:tcPr>
                <w:p>
                  <w:pPr>
                    <w:spacing w:line="240" w:lineRule="auto"/>
                    <w:jc w:val="center"/>
                    <w:rPr>
                      <w:sz w:val="21"/>
                      <w:szCs w:val="21"/>
                    </w:rPr>
                  </w:pPr>
                  <w:r>
                    <w:rPr>
                      <w:sz w:val="21"/>
                      <w:szCs w:val="21"/>
                    </w:rPr>
                    <w:t>4</w:t>
                  </w:r>
                </w:p>
              </w:tc>
              <w:tc>
                <w:tcPr>
                  <w:tcW w:w="1446" w:type="pct"/>
                  <w:vAlign w:val="center"/>
                </w:tcPr>
                <w:p>
                  <w:pPr>
                    <w:pStyle w:val="51"/>
                    <w:adjustRightInd w:val="0"/>
                    <w:snapToGrid w:val="0"/>
                    <w:spacing w:line="240" w:lineRule="auto"/>
                    <w:ind w:left="-1" w:leftChars="-2" w:hanging="4" w:hangingChars="2"/>
                    <w:rPr>
                      <w:rFonts w:hint="default" w:ascii="Times New Roman" w:hAnsi="Times New Roman" w:eastAsia="宋体"/>
                      <w:kern w:val="2"/>
                      <w:sz w:val="21"/>
                      <w:szCs w:val="21"/>
                      <w:lang w:val="en-US" w:eastAsia="zh-CN"/>
                    </w:rPr>
                  </w:pPr>
                  <w:r>
                    <w:rPr>
                      <w:rFonts w:hint="eastAsia" w:ascii="Times New Roman" w:hAnsi="Times New Roman" w:eastAsia="宋体"/>
                      <w:kern w:val="2"/>
                      <w:sz w:val="21"/>
                      <w:szCs w:val="21"/>
                      <w:lang w:val="en-US" w:eastAsia="zh-CN"/>
                    </w:rPr>
                    <w:t>文昌花园</w:t>
                  </w:r>
                </w:p>
              </w:tc>
              <w:tc>
                <w:tcPr>
                  <w:tcW w:w="497" w:type="pct"/>
                  <w:vAlign w:val="center"/>
                </w:tcPr>
                <w:p>
                  <w:pPr>
                    <w:spacing w:line="240" w:lineRule="auto"/>
                    <w:jc w:val="center"/>
                    <w:rPr>
                      <w:rFonts w:hint="default" w:eastAsia="宋体"/>
                      <w:sz w:val="21"/>
                      <w:szCs w:val="21"/>
                      <w:lang w:val="en-US" w:eastAsia="zh-CN"/>
                    </w:rPr>
                  </w:pPr>
                  <w:r>
                    <w:rPr>
                      <w:rFonts w:hint="eastAsia"/>
                      <w:sz w:val="21"/>
                      <w:szCs w:val="21"/>
                      <w:lang w:val="en-US" w:eastAsia="zh-CN"/>
                    </w:rPr>
                    <w:t>1300</w:t>
                  </w:r>
                </w:p>
              </w:tc>
              <w:tc>
                <w:tcPr>
                  <w:tcW w:w="499" w:type="pct"/>
                  <w:vAlign w:val="center"/>
                </w:tcPr>
                <w:p>
                  <w:pPr>
                    <w:spacing w:line="240" w:lineRule="auto"/>
                    <w:jc w:val="center"/>
                    <w:rPr>
                      <w:rFonts w:hint="default" w:eastAsia="宋体"/>
                      <w:sz w:val="21"/>
                      <w:szCs w:val="21"/>
                      <w:lang w:val="en-US" w:eastAsia="zh-CN"/>
                    </w:rPr>
                  </w:pPr>
                  <w:r>
                    <w:rPr>
                      <w:rFonts w:hint="eastAsia"/>
                      <w:sz w:val="21"/>
                      <w:szCs w:val="21"/>
                      <w:lang w:val="en-US" w:eastAsia="zh-CN"/>
                    </w:rPr>
                    <w:t>850</w:t>
                  </w:r>
                </w:p>
              </w:tc>
              <w:tc>
                <w:tcPr>
                  <w:tcW w:w="597" w:type="pct"/>
                  <w:vAlign w:val="center"/>
                </w:tcPr>
                <w:p>
                  <w:pPr>
                    <w:spacing w:line="240" w:lineRule="auto"/>
                    <w:jc w:val="center"/>
                    <w:rPr>
                      <w:rFonts w:ascii="Times New Roman" w:hAnsi="Times New Roman" w:eastAsia="宋体" w:cs="Times New Roman"/>
                      <w:kern w:val="2"/>
                      <w:sz w:val="21"/>
                      <w:szCs w:val="21"/>
                      <w:lang w:val="en-US" w:eastAsia="zh-CN" w:bidi="ar-SA"/>
                    </w:rPr>
                  </w:pPr>
                  <w:r>
                    <w:rPr>
                      <w:rFonts w:hint="eastAsia"/>
                      <w:sz w:val="21"/>
                      <w:szCs w:val="21"/>
                      <w:lang w:val="en-US" w:eastAsia="zh-CN"/>
                    </w:rPr>
                    <w:t>居住区</w:t>
                  </w:r>
                </w:p>
              </w:tc>
              <w:tc>
                <w:tcPr>
                  <w:tcW w:w="694" w:type="pct"/>
                  <w:vAlign w:val="center"/>
                </w:tcPr>
                <w:p>
                  <w:pPr>
                    <w:spacing w:line="240" w:lineRule="auto"/>
                    <w:jc w:val="center"/>
                    <w:rPr>
                      <w:rFonts w:hint="default" w:eastAsia="宋体"/>
                      <w:sz w:val="21"/>
                      <w:szCs w:val="21"/>
                      <w:lang w:val="en-US" w:eastAsia="zh-CN"/>
                    </w:rPr>
                  </w:pPr>
                  <w:r>
                    <w:rPr>
                      <w:rFonts w:hint="eastAsia"/>
                      <w:sz w:val="21"/>
                      <w:szCs w:val="21"/>
                      <w:lang w:val="en-US" w:eastAsia="zh-CN"/>
                    </w:rPr>
                    <w:t>1166户</w:t>
                  </w:r>
                </w:p>
              </w:tc>
              <w:tc>
                <w:tcPr>
                  <w:tcW w:w="50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二类区</w:t>
                  </w:r>
                </w:p>
              </w:tc>
              <w:tc>
                <w:tcPr>
                  <w:tcW w:w="491"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1553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273" w:type="pct"/>
                  <w:vAlign w:val="center"/>
                </w:tcPr>
                <w:p>
                  <w:pPr>
                    <w:spacing w:line="240" w:lineRule="auto"/>
                    <w:jc w:val="center"/>
                    <w:rPr>
                      <w:sz w:val="21"/>
                      <w:szCs w:val="21"/>
                    </w:rPr>
                  </w:pPr>
                  <w:r>
                    <w:rPr>
                      <w:sz w:val="21"/>
                      <w:szCs w:val="21"/>
                    </w:rPr>
                    <w:t>5</w:t>
                  </w:r>
                </w:p>
              </w:tc>
              <w:tc>
                <w:tcPr>
                  <w:tcW w:w="1446" w:type="pct"/>
                  <w:vAlign w:val="center"/>
                </w:tcPr>
                <w:p>
                  <w:pPr>
                    <w:pStyle w:val="51"/>
                    <w:adjustRightInd w:val="0"/>
                    <w:snapToGrid w:val="0"/>
                    <w:spacing w:line="240" w:lineRule="auto"/>
                    <w:ind w:left="-1" w:leftChars="-2" w:hanging="4" w:hangingChars="2"/>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水岸逸景花园</w:t>
                  </w:r>
                </w:p>
              </w:tc>
              <w:tc>
                <w:tcPr>
                  <w:tcW w:w="497" w:type="pct"/>
                  <w:vAlign w:val="center"/>
                </w:tcPr>
                <w:p>
                  <w:pPr>
                    <w:spacing w:line="240" w:lineRule="auto"/>
                    <w:jc w:val="center"/>
                    <w:rPr>
                      <w:rFonts w:hint="default" w:eastAsia="宋体"/>
                      <w:sz w:val="21"/>
                      <w:szCs w:val="21"/>
                      <w:lang w:val="en-US" w:eastAsia="zh-CN"/>
                    </w:rPr>
                  </w:pPr>
                  <w:r>
                    <w:rPr>
                      <w:rFonts w:hint="eastAsia"/>
                      <w:sz w:val="21"/>
                      <w:szCs w:val="21"/>
                      <w:lang w:val="en-US" w:eastAsia="zh-CN"/>
                    </w:rPr>
                    <w:t>1700</w:t>
                  </w:r>
                </w:p>
              </w:tc>
              <w:tc>
                <w:tcPr>
                  <w:tcW w:w="499" w:type="pct"/>
                  <w:vAlign w:val="center"/>
                </w:tcPr>
                <w:p>
                  <w:pPr>
                    <w:spacing w:line="240" w:lineRule="auto"/>
                    <w:jc w:val="center"/>
                    <w:rPr>
                      <w:rFonts w:hint="default" w:eastAsia="宋体"/>
                      <w:sz w:val="21"/>
                      <w:szCs w:val="21"/>
                      <w:lang w:val="en-US" w:eastAsia="zh-CN"/>
                    </w:rPr>
                  </w:pPr>
                  <w:r>
                    <w:rPr>
                      <w:rFonts w:hint="eastAsia"/>
                      <w:sz w:val="21"/>
                      <w:szCs w:val="21"/>
                      <w:lang w:val="en-US" w:eastAsia="zh-CN"/>
                    </w:rPr>
                    <w:t>387</w:t>
                  </w:r>
                </w:p>
              </w:tc>
              <w:tc>
                <w:tcPr>
                  <w:tcW w:w="597" w:type="pct"/>
                  <w:vAlign w:val="center"/>
                </w:tcPr>
                <w:p>
                  <w:pPr>
                    <w:spacing w:line="240" w:lineRule="auto"/>
                    <w:jc w:val="center"/>
                    <w:rPr>
                      <w:sz w:val="21"/>
                      <w:szCs w:val="21"/>
                    </w:rPr>
                  </w:pPr>
                  <w:r>
                    <w:rPr>
                      <w:rFonts w:hint="eastAsia"/>
                      <w:sz w:val="21"/>
                      <w:szCs w:val="21"/>
                      <w:lang w:val="en-US" w:eastAsia="zh-CN"/>
                    </w:rPr>
                    <w:t>居住区</w:t>
                  </w:r>
                </w:p>
              </w:tc>
              <w:tc>
                <w:tcPr>
                  <w:tcW w:w="694" w:type="pct"/>
                  <w:vAlign w:val="center"/>
                </w:tcPr>
                <w:p>
                  <w:pPr>
                    <w:spacing w:line="240" w:lineRule="auto"/>
                    <w:jc w:val="center"/>
                    <w:rPr>
                      <w:rFonts w:hint="default" w:eastAsia="宋体"/>
                      <w:sz w:val="21"/>
                      <w:szCs w:val="21"/>
                      <w:lang w:val="en-US" w:eastAsia="zh-CN"/>
                    </w:rPr>
                  </w:pPr>
                  <w:r>
                    <w:rPr>
                      <w:rFonts w:hint="eastAsia"/>
                      <w:sz w:val="21"/>
                      <w:szCs w:val="21"/>
                      <w:lang w:val="en-US" w:eastAsia="zh-CN"/>
                    </w:rPr>
                    <w:t>558户</w:t>
                  </w:r>
                </w:p>
              </w:tc>
              <w:tc>
                <w:tcPr>
                  <w:tcW w:w="50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二类区</w:t>
                  </w:r>
                </w:p>
              </w:tc>
              <w:tc>
                <w:tcPr>
                  <w:tcW w:w="491"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1743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273" w:type="pct"/>
                  <w:vAlign w:val="center"/>
                </w:tcPr>
                <w:p>
                  <w:pPr>
                    <w:spacing w:line="240" w:lineRule="auto"/>
                    <w:jc w:val="center"/>
                    <w:rPr>
                      <w:sz w:val="21"/>
                      <w:szCs w:val="21"/>
                    </w:rPr>
                  </w:pPr>
                  <w:r>
                    <w:rPr>
                      <w:sz w:val="21"/>
                      <w:szCs w:val="21"/>
                    </w:rPr>
                    <w:t>6</w:t>
                  </w:r>
                </w:p>
              </w:tc>
              <w:tc>
                <w:tcPr>
                  <w:tcW w:w="1446" w:type="pct"/>
                  <w:vAlign w:val="center"/>
                </w:tcPr>
                <w:p>
                  <w:pPr>
                    <w:pStyle w:val="51"/>
                    <w:adjustRightInd w:val="0"/>
                    <w:snapToGrid w:val="0"/>
                    <w:spacing w:line="240" w:lineRule="auto"/>
                    <w:ind w:left="-1" w:leftChars="-2" w:hanging="4" w:hangingChars="2"/>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美林青年公寓</w:t>
                  </w:r>
                </w:p>
              </w:tc>
              <w:tc>
                <w:tcPr>
                  <w:tcW w:w="497"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1400</w:t>
                  </w:r>
                </w:p>
              </w:tc>
              <w:tc>
                <w:tcPr>
                  <w:tcW w:w="499"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0</w:t>
                  </w:r>
                </w:p>
              </w:tc>
              <w:tc>
                <w:tcPr>
                  <w:tcW w:w="597" w:type="pct"/>
                  <w:vAlign w:val="center"/>
                </w:tcPr>
                <w:p>
                  <w:pPr>
                    <w:spacing w:line="240" w:lineRule="auto"/>
                    <w:jc w:val="center"/>
                    <w:rPr>
                      <w:sz w:val="21"/>
                      <w:szCs w:val="21"/>
                    </w:rPr>
                  </w:pPr>
                  <w:r>
                    <w:rPr>
                      <w:rFonts w:hint="eastAsia"/>
                      <w:sz w:val="21"/>
                      <w:szCs w:val="21"/>
                      <w:lang w:val="en-US" w:eastAsia="zh-CN"/>
                    </w:rPr>
                    <w:t>居住区</w:t>
                  </w:r>
                </w:p>
              </w:tc>
              <w:tc>
                <w:tcPr>
                  <w:tcW w:w="694" w:type="pct"/>
                  <w:vAlign w:val="center"/>
                </w:tcPr>
                <w:p>
                  <w:pPr>
                    <w:spacing w:line="240" w:lineRule="auto"/>
                    <w:jc w:val="center"/>
                    <w:rPr>
                      <w:rFonts w:hint="default" w:eastAsia="宋体"/>
                      <w:sz w:val="21"/>
                      <w:szCs w:val="21"/>
                      <w:lang w:val="en-US" w:eastAsia="zh-CN"/>
                    </w:rPr>
                  </w:pPr>
                  <w:r>
                    <w:rPr>
                      <w:rFonts w:hint="eastAsia"/>
                      <w:sz w:val="21"/>
                      <w:szCs w:val="21"/>
                      <w:lang w:val="en-US" w:eastAsia="zh-CN"/>
                    </w:rPr>
                    <w:t>774户</w:t>
                  </w:r>
                </w:p>
              </w:tc>
              <w:tc>
                <w:tcPr>
                  <w:tcW w:w="50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二类区</w:t>
                  </w:r>
                </w:p>
              </w:tc>
              <w:tc>
                <w:tcPr>
                  <w:tcW w:w="491"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1400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273" w:type="pct"/>
                  <w:vAlign w:val="center"/>
                </w:tcPr>
                <w:p>
                  <w:pPr>
                    <w:spacing w:line="240" w:lineRule="auto"/>
                    <w:jc w:val="center"/>
                    <w:rPr>
                      <w:rFonts w:hint="eastAsia" w:eastAsia="宋体"/>
                      <w:sz w:val="21"/>
                      <w:szCs w:val="21"/>
                      <w:lang w:val="en-US" w:eastAsia="zh-CN"/>
                    </w:rPr>
                  </w:pPr>
                  <w:r>
                    <w:rPr>
                      <w:rFonts w:hint="eastAsia"/>
                      <w:sz w:val="21"/>
                      <w:szCs w:val="21"/>
                      <w:lang w:val="en-US" w:eastAsia="zh-CN"/>
                    </w:rPr>
                    <w:t>7</w:t>
                  </w:r>
                </w:p>
              </w:tc>
              <w:tc>
                <w:tcPr>
                  <w:tcW w:w="1446" w:type="pct"/>
                  <w:vAlign w:val="center"/>
                </w:tcPr>
                <w:p>
                  <w:pPr>
                    <w:pStyle w:val="51"/>
                    <w:adjustRightInd w:val="0"/>
                    <w:snapToGrid w:val="0"/>
                    <w:spacing w:line="240" w:lineRule="auto"/>
                    <w:ind w:left="-1" w:leftChars="-2" w:hanging="4" w:hangingChars="2"/>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鸿福花苑</w:t>
                  </w:r>
                </w:p>
              </w:tc>
              <w:tc>
                <w:tcPr>
                  <w:tcW w:w="497"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1700</w:t>
                  </w:r>
                </w:p>
              </w:tc>
              <w:tc>
                <w:tcPr>
                  <w:tcW w:w="499"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0</w:t>
                  </w:r>
                </w:p>
              </w:tc>
              <w:tc>
                <w:tcPr>
                  <w:tcW w:w="597" w:type="pct"/>
                  <w:vAlign w:val="center"/>
                </w:tcPr>
                <w:p>
                  <w:pPr>
                    <w:spacing w:line="240" w:lineRule="auto"/>
                    <w:jc w:val="center"/>
                    <w:rPr>
                      <w:sz w:val="21"/>
                      <w:szCs w:val="21"/>
                    </w:rPr>
                  </w:pPr>
                  <w:r>
                    <w:rPr>
                      <w:rFonts w:hint="eastAsia"/>
                      <w:sz w:val="21"/>
                      <w:szCs w:val="21"/>
                      <w:lang w:val="en-US" w:eastAsia="zh-CN"/>
                    </w:rPr>
                    <w:t>居住区</w:t>
                  </w:r>
                </w:p>
              </w:tc>
              <w:tc>
                <w:tcPr>
                  <w:tcW w:w="694" w:type="pct"/>
                  <w:vAlign w:val="center"/>
                </w:tcPr>
                <w:p>
                  <w:pPr>
                    <w:spacing w:line="240" w:lineRule="auto"/>
                    <w:jc w:val="center"/>
                    <w:rPr>
                      <w:rFonts w:hint="default" w:eastAsia="宋体"/>
                      <w:sz w:val="21"/>
                      <w:szCs w:val="21"/>
                      <w:lang w:val="en-US" w:eastAsia="zh-CN"/>
                    </w:rPr>
                  </w:pPr>
                  <w:r>
                    <w:rPr>
                      <w:rFonts w:hint="eastAsia"/>
                      <w:sz w:val="21"/>
                      <w:szCs w:val="21"/>
                      <w:lang w:val="en-US" w:eastAsia="zh-CN"/>
                    </w:rPr>
                    <w:t>124户</w:t>
                  </w:r>
                </w:p>
              </w:tc>
              <w:tc>
                <w:tcPr>
                  <w:tcW w:w="50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二类区</w:t>
                  </w:r>
                </w:p>
              </w:tc>
              <w:tc>
                <w:tcPr>
                  <w:tcW w:w="491"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1700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273" w:type="pct"/>
                  <w:vAlign w:val="center"/>
                </w:tcPr>
                <w:p>
                  <w:pPr>
                    <w:spacing w:line="240" w:lineRule="auto"/>
                    <w:jc w:val="center"/>
                    <w:rPr>
                      <w:rFonts w:hint="eastAsia" w:eastAsia="宋体"/>
                      <w:sz w:val="21"/>
                      <w:szCs w:val="21"/>
                      <w:lang w:val="en-US" w:eastAsia="zh-CN"/>
                    </w:rPr>
                  </w:pPr>
                  <w:r>
                    <w:rPr>
                      <w:rFonts w:hint="eastAsia"/>
                      <w:sz w:val="21"/>
                      <w:szCs w:val="21"/>
                      <w:lang w:val="en-US" w:eastAsia="zh-CN"/>
                    </w:rPr>
                    <w:t>8</w:t>
                  </w:r>
                </w:p>
              </w:tc>
              <w:tc>
                <w:tcPr>
                  <w:tcW w:w="1446" w:type="pct"/>
                  <w:vAlign w:val="center"/>
                </w:tcPr>
                <w:p>
                  <w:pPr>
                    <w:pStyle w:val="51"/>
                    <w:adjustRightInd w:val="0"/>
                    <w:snapToGrid w:val="0"/>
                    <w:spacing w:line="240" w:lineRule="auto"/>
                    <w:ind w:left="-1" w:leftChars="-2" w:hanging="4" w:hangingChars="2"/>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名墅花园</w:t>
                  </w:r>
                </w:p>
              </w:tc>
              <w:tc>
                <w:tcPr>
                  <w:tcW w:w="497" w:type="pct"/>
                  <w:vAlign w:val="center"/>
                </w:tcPr>
                <w:p>
                  <w:pPr>
                    <w:spacing w:line="240" w:lineRule="auto"/>
                    <w:jc w:val="center"/>
                    <w:rPr>
                      <w:rFonts w:hint="default" w:eastAsia="宋体"/>
                      <w:sz w:val="21"/>
                      <w:szCs w:val="21"/>
                      <w:lang w:val="en-US" w:eastAsia="zh-CN"/>
                    </w:rPr>
                  </w:pPr>
                  <w:r>
                    <w:rPr>
                      <w:rFonts w:hint="eastAsia"/>
                      <w:sz w:val="21"/>
                      <w:szCs w:val="21"/>
                      <w:lang w:val="en-US" w:eastAsia="zh-CN"/>
                    </w:rPr>
                    <w:t>1400</w:t>
                  </w:r>
                </w:p>
              </w:tc>
              <w:tc>
                <w:tcPr>
                  <w:tcW w:w="499" w:type="pct"/>
                  <w:vAlign w:val="center"/>
                </w:tcPr>
                <w:p>
                  <w:pPr>
                    <w:spacing w:line="240" w:lineRule="auto"/>
                    <w:jc w:val="center"/>
                    <w:rPr>
                      <w:rFonts w:hint="default" w:eastAsia="宋体"/>
                      <w:sz w:val="21"/>
                      <w:szCs w:val="21"/>
                      <w:lang w:val="en-US" w:eastAsia="zh-CN"/>
                    </w:rPr>
                  </w:pPr>
                  <w:r>
                    <w:rPr>
                      <w:rFonts w:hint="eastAsia"/>
                      <w:sz w:val="21"/>
                      <w:szCs w:val="21"/>
                      <w:lang w:val="en-US" w:eastAsia="zh-CN"/>
                    </w:rPr>
                    <w:t>-250</w:t>
                  </w:r>
                </w:p>
              </w:tc>
              <w:tc>
                <w:tcPr>
                  <w:tcW w:w="597" w:type="pct"/>
                  <w:vAlign w:val="center"/>
                </w:tcPr>
                <w:p>
                  <w:pPr>
                    <w:spacing w:line="240" w:lineRule="auto"/>
                    <w:jc w:val="center"/>
                    <w:rPr>
                      <w:sz w:val="21"/>
                      <w:szCs w:val="21"/>
                    </w:rPr>
                  </w:pPr>
                  <w:r>
                    <w:rPr>
                      <w:rFonts w:hint="eastAsia"/>
                      <w:sz w:val="21"/>
                      <w:szCs w:val="21"/>
                      <w:lang w:val="en-US" w:eastAsia="zh-CN"/>
                    </w:rPr>
                    <w:t>居住区</w:t>
                  </w:r>
                </w:p>
              </w:tc>
              <w:tc>
                <w:tcPr>
                  <w:tcW w:w="694" w:type="pct"/>
                  <w:vAlign w:val="center"/>
                </w:tcPr>
                <w:p>
                  <w:pPr>
                    <w:spacing w:line="240" w:lineRule="auto"/>
                    <w:jc w:val="center"/>
                    <w:rPr>
                      <w:rFonts w:hint="default" w:eastAsia="宋体"/>
                      <w:sz w:val="21"/>
                      <w:szCs w:val="21"/>
                      <w:lang w:val="en-US" w:eastAsia="zh-CN"/>
                    </w:rPr>
                  </w:pPr>
                  <w:r>
                    <w:rPr>
                      <w:rFonts w:hint="eastAsia"/>
                      <w:sz w:val="21"/>
                      <w:szCs w:val="21"/>
                      <w:lang w:val="en-US" w:eastAsia="zh-CN"/>
                    </w:rPr>
                    <w:t>423户</w:t>
                  </w:r>
                </w:p>
              </w:tc>
              <w:tc>
                <w:tcPr>
                  <w:tcW w:w="50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二类区</w:t>
                  </w:r>
                </w:p>
              </w:tc>
              <w:tc>
                <w:tcPr>
                  <w:tcW w:w="491" w:type="pct"/>
                  <w:vAlign w:val="center"/>
                </w:tcPr>
                <w:p>
                  <w:pPr>
                    <w:spacing w:line="240" w:lineRule="auto"/>
                    <w:jc w:val="center"/>
                    <w:rPr>
                      <w:rFonts w:hint="default" w:eastAsia="宋体"/>
                      <w:sz w:val="21"/>
                      <w:szCs w:val="21"/>
                      <w:lang w:val="en-US" w:eastAsia="zh-CN"/>
                    </w:rPr>
                  </w:pPr>
                  <w:r>
                    <w:rPr>
                      <w:rFonts w:hint="eastAsia"/>
                      <w:sz w:val="21"/>
                      <w:szCs w:val="21"/>
                      <w:lang w:val="en-US" w:eastAsia="zh-CN"/>
                    </w:rPr>
                    <w:t>1422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273" w:type="pct"/>
                  <w:vAlign w:val="center"/>
                </w:tcPr>
                <w:p>
                  <w:pPr>
                    <w:spacing w:line="240" w:lineRule="auto"/>
                    <w:jc w:val="center"/>
                    <w:rPr>
                      <w:rFonts w:hint="eastAsia" w:eastAsia="宋体"/>
                      <w:sz w:val="21"/>
                      <w:szCs w:val="21"/>
                      <w:lang w:val="en-US" w:eastAsia="zh-CN"/>
                    </w:rPr>
                  </w:pPr>
                  <w:r>
                    <w:rPr>
                      <w:rFonts w:hint="eastAsia"/>
                      <w:sz w:val="21"/>
                      <w:szCs w:val="21"/>
                      <w:lang w:val="en-US" w:eastAsia="zh-CN"/>
                    </w:rPr>
                    <w:t>9</w:t>
                  </w:r>
                </w:p>
              </w:tc>
              <w:tc>
                <w:tcPr>
                  <w:tcW w:w="1446" w:type="pct"/>
                  <w:vAlign w:val="center"/>
                </w:tcPr>
                <w:p>
                  <w:pPr>
                    <w:pStyle w:val="51"/>
                    <w:adjustRightInd w:val="0"/>
                    <w:snapToGrid w:val="0"/>
                    <w:spacing w:line="240" w:lineRule="auto"/>
                    <w:ind w:left="-1" w:leftChars="-2" w:hanging="4" w:hangingChars="2"/>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新港名墅</w:t>
                  </w:r>
                </w:p>
              </w:tc>
              <w:tc>
                <w:tcPr>
                  <w:tcW w:w="497" w:type="pct"/>
                  <w:vAlign w:val="center"/>
                </w:tcPr>
                <w:p>
                  <w:pPr>
                    <w:spacing w:line="240" w:lineRule="auto"/>
                    <w:jc w:val="center"/>
                    <w:rPr>
                      <w:rFonts w:hint="default" w:eastAsia="宋体"/>
                      <w:sz w:val="21"/>
                      <w:szCs w:val="21"/>
                      <w:lang w:val="en-US" w:eastAsia="zh-CN"/>
                    </w:rPr>
                  </w:pPr>
                  <w:r>
                    <w:rPr>
                      <w:rFonts w:hint="eastAsia"/>
                      <w:sz w:val="21"/>
                      <w:szCs w:val="21"/>
                      <w:lang w:val="en-US" w:eastAsia="zh-CN"/>
                    </w:rPr>
                    <w:t>1600</w:t>
                  </w:r>
                </w:p>
              </w:tc>
              <w:tc>
                <w:tcPr>
                  <w:tcW w:w="499" w:type="pct"/>
                  <w:vAlign w:val="center"/>
                </w:tcPr>
                <w:p>
                  <w:pPr>
                    <w:spacing w:line="240" w:lineRule="auto"/>
                    <w:jc w:val="center"/>
                    <w:rPr>
                      <w:rFonts w:hint="default" w:eastAsia="宋体"/>
                      <w:sz w:val="21"/>
                      <w:szCs w:val="21"/>
                      <w:lang w:val="en-US" w:eastAsia="zh-CN"/>
                    </w:rPr>
                  </w:pPr>
                  <w:r>
                    <w:rPr>
                      <w:rFonts w:hint="eastAsia"/>
                      <w:sz w:val="21"/>
                      <w:szCs w:val="21"/>
                      <w:lang w:val="en-US" w:eastAsia="zh-CN"/>
                    </w:rPr>
                    <w:t>-500</w:t>
                  </w:r>
                </w:p>
              </w:tc>
              <w:tc>
                <w:tcPr>
                  <w:tcW w:w="597" w:type="pct"/>
                  <w:vAlign w:val="center"/>
                </w:tcPr>
                <w:p>
                  <w:pPr>
                    <w:spacing w:line="240" w:lineRule="auto"/>
                    <w:jc w:val="center"/>
                    <w:rPr>
                      <w:sz w:val="21"/>
                      <w:szCs w:val="21"/>
                    </w:rPr>
                  </w:pPr>
                  <w:r>
                    <w:rPr>
                      <w:rFonts w:hint="eastAsia"/>
                      <w:sz w:val="21"/>
                      <w:szCs w:val="21"/>
                      <w:lang w:val="en-US" w:eastAsia="zh-CN"/>
                    </w:rPr>
                    <w:t>居住区</w:t>
                  </w:r>
                </w:p>
              </w:tc>
              <w:tc>
                <w:tcPr>
                  <w:tcW w:w="694" w:type="pct"/>
                  <w:vAlign w:val="center"/>
                </w:tcPr>
                <w:p>
                  <w:pPr>
                    <w:spacing w:line="240" w:lineRule="auto"/>
                    <w:jc w:val="center"/>
                    <w:rPr>
                      <w:rFonts w:hint="default" w:eastAsia="宋体"/>
                      <w:sz w:val="21"/>
                      <w:szCs w:val="21"/>
                      <w:lang w:val="en-US" w:eastAsia="zh-CN"/>
                    </w:rPr>
                  </w:pPr>
                  <w:r>
                    <w:rPr>
                      <w:rFonts w:hint="eastAsia"/>
                      <w:sz w:val="21"/>
                      <w:szCs w:val="21"/>
                      <w:lang w:val="en-US" w:eastAsia="zh-CN"/>
                    </w:rPr>
                    <w:t>1258户</w:t>
                  </w:r>
                </w:p>
              </w:tc>
              <w:tc>
                <w:tcPr>
                  <w:tcW w:w="50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二类区</w:t>
                  </w:r>
                </w:p>
              </w:tc>
              <w:tc>
                <w:tcPr>
                  <w:tcW w:w="491" w:type="pct"/>
                  <w:vAlign w:val="center"/>
                </w:tcPr>
                <w:p>
                  <w:pPr>
                    <w:spacing w:line="240" w:lineRule="auto"/>
                    <w:jc w:val="center"/>
                    <w:rPr>
                      <w:rFonts w:hint="default" w:eastAsia="宋体"/>
                      <w:sz w:val="21"/>
                      <w:szCs w:val="21"/>
                      <w:lang w:val="en-US" w:eastAsia="zh-CN"/>
                    </w:rPr>
                  </w:pPr>
                  <w:r>
                    <w:rPr>
                      <w:rFonts w:hint="eastAsia"/>
                      <w:sz w:val="21"/>
                      <w:szCs w:val="21"/>
                      <w:lang w:val="en-US" w:eastAsia="zh-CN"/>
                    </w:rPr>
                    <w:t>1676</w:t>
                  </w:r>
                </w:p>
              </w:tc>
            </w:tr>
          </w:tbl>
          <w:p>
            <w:pPr>
              <w:ind w:firstLine="211" w:firstLineChars="100"/>
              <w:rPr>
                <w:b/>
              </w:rPr>
            </w:pPr>
            <w:r>
              <w:rPr>
                <w:b/>
                <w:sz w:val="21"/>
                <w:szCs w:val="21"/>
              </w:rPr>
              <w:t>*注：项目周围2000m</w:t>
            </w:r>
            <w:r>
              <w:rPr>
                <w:rFonts w:hint="eastAsia"/>
                <w:b/>
                <w:sz w:val="21"/>
                <w:szCs w:val="21"/>
              </w:rPr>
              <w:t>范围内，项目位置</w:t>
            </w:r>
            <w:r>
              <w:rPr>
                <w:rFonts w:hint="eastAsia"/>
                <w:b/>
                <w:sz w:val="21"/>
                <w:szCs w:val="21"/>
                <w:lang w:val="en-US" w:eastAsia="zh-CN"/>
              </w:rPr>
              <w:t>为</w:t>
            </w:r>
            <w:r>
              <w:rPr>
                <w:rFonts w:hint="eastAsia"/>
                <w:b/>
                <w:sz w:val="21"/>
                <w:szCs w:val="21"/>
              </w:rPr>
              <w:t>坐标</w:t>
            </w:r>
            <w:r>
              <w:rPr>
                <w:rFonts w:hint="eastAsia"/>
                <w:b/>
                <w:sz w:val="21"/>
                <w:szCs w:val="21"/>
                <w:lang w:val="en-US" w:eastAsia="zh-CN"/>
              </w:rPr>
              <w:t>原点</w:t>
            </w:r>
            <w:r>
              <w:rPr>
                <w:rFonts w:hint="eastAsia"/>
                <w:b/>
                <w:sz w:val="21"/>
                <w:szCs w:val="21"/>
              </w:rPr>
              <w:t>（</w:t>
            </w:r>
            <w:r>
              <w:rPr>
                <w:rFonts w:hint="eastAsia"/>
                <w:b/>
                <w:sz w:val="21"/>
                <w:szCs w:val="21"/>
                <w:lang w:val="en-US" w:eastAsia="zh-CN"/>
              </w:rPr>
              <w:t>0</w:t>
            </w:r>
            <w:r>
              <w:rPr>
                <w:rFonts w:hint="eastAsia"/>
                <w:b/>
                <w:sz w:val="21"/>
                <w:szCs w:val="21"/>
              </w:rPr>
              <w:t>，</w:t>
            </w:r>
            <w:r>
              <w:rPr>
                <w:rFonts w:hint="eastAsia"/>
                <w:b/>
                <w:sz w:val="21"/>
                <w:szCs w:val="21"/>
                <w:lang w:val="en-US" w:eastAsia="zh-CN"/>
              </w:rPr>
              <w:t>0</w:t>
            </w:r>
            <w:r>
              <w:rPr>
                <w:rFonts w:hint="eastAsia"/>
                <w:b/>
                <w:sz w:val="21"/>
                <w:szCs w:val="21"/>
              </w:rPr>
              <w:t>）</w:t>
            </w:r>
            <w:r>
              <w:rPr>
                <w:b/>
                <w:sz w:val="21"/>
                <w:szCs w:val="21"/>
              </w:rPr>
              <w:t>。</w:t>
            </w:r>
          </w:p>
          <w:p>
            <w:pPr>
              <w:ind w:firstLine="435"/>
              <w:jc w:val="center"/>
              <w:rPr>
                <w:b/>
                <w:sz w:val="21"/>
                <w:szCs w:val="21"/>
              </w:rPr>
            </w:pPr>
            <w:r>
              <w:rPr>
                <w:b/>
                <w:sz w:val="21"/>
                <w:szCs w:val="21"/>
              </w:rPr>
              <w:t>表3-</w:t>
            </w:r>
            <w:r>
              <w:rPr>
                <w:rFonts w:hint="eastAsia"/>
                <w:b/>
                <w:sz w:val="21"/>
                <w:szCs w:val="21"/>
                <w:lang w:val="en-US" w:eastAsia="zh-CN"/>
              </w:rPr>
              <w:t>7</w:t>
            </w:r>
            <w:r>
              <w:rPr>
                <w:b/>
                <w:sz w:val="21"/>
                <w:szCs w:val="21"/>
              </w:rPr>
              <w:t>本项目其他环境保护目标表</w:t>
            </w:r>
          </w:p>
          <w:tbl>
            <w:tblPr>
              <w:tblStyle w:val="26"/>
              <w:tblW w:w="9423"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25"/>
              <w:gridCol w:w="1930"/>
              <w:gridCol w:w="775"/>
              <w:gridCol w:w="899"/>
              <w:gridCol w:w="1325"/>
              <w:gridCol w:w="356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5" w:type="dxa"/>
                  <w:vAlign w:val="center"/>
                </w:tcPr>
                <w:p>
                  <w:pPr>
                    <w:spacing w:line="240" w:lineRule="auto"/>
                    <w:jc w:val="center"/>
                    <w:rPr>
                      <w:b/>
                      <w:sz w:val="21"/>
                      <w:szCs w:val="21"/>
                    </w:rPr>
                  </w:pPr>
                  <w:r>
                    <w:rPr>
                      <w:b/>
                      <w:sz w:val="21"/>
                      <w:szCs w:val="21"/>
                    </w:rPr>
                    <w:t>环境</w:t>
                  </w:r>
                </w:p>
                <w:p>
                  <w:pPr>
                    <w:spacing w:line="240" w:lineRule="auto"/>
                    <w:jc w:val="center"/>
                    <w:rPr>
                      <w:b/>
                      <w:sz w:val="21"/>
                      <w:szCs w:val="21"/>
                    </w:rPr>
                  </w:pPr>
                  <w:r>
                    <w:rPr>
                      <w:b/>
                      <w:sz w:val="21"/>
                      <w:szCs w:val="21"/>
                    </w:rPr>
                    <w:t>要素</w:t>
                  </w:r>
                </w:p>
              </w:tc>
              <w:tc>
                <w:tcPr>
                  <w:tcW w:w="1930" w:type="dxa"/>
                  <w:vAlign w:val="center"/>
                </w:tcPr>
                <w:p>
                  <w:pPr>
                    <w:spacing w:line="240" w:lineRule="auto"/>
                    <w:jc w:val="center"/>
                    <w:rPr>
                      <w:b/>
                      <w:sz w:val="21"/>
                      <w:szCs w:val="21"/>
                    </w:rPr>
                  </w:pPr>
                  <w:r>
                    <w:rPr>
                      <w:b/>
                      <w:sz w:val="21"/>
                      <w:szCs w:val="21"/>
                    </w:rPr>
                    <w:t>环境保护对象名称</w:t>
                  </w:r>
                </w:p>
              </w:tc>
              <w:tc>
                <w:tcPr>
                  <w:tcW w:w="775" w:type="dxa"/>
                  <w:vAlign w:val="center"/>
                </w:tcPr>
                <w:p>
                  <w:pPr>
                    <w:spacing w:line="240" w:lineRule="auto"/>
                    <w:jc w:val="center"/>
                    <w:rPr>
                      <w:b/>
                      <w:sz w:val="21"/>
                      <w:szCs w:val="21"/>
                    </w:rPr>
                  </w:pPr>
                  <w:r>
                    <w:rPr>
                      <w:b/>
                      <w:sz w:val="21"/>
                      <w:szCs w:val="21"/>
                    </w:rPr>
                    <w:t>方位</w:t>
                  </w:r>
                </w:p>
              </w:tc>
              <w:tc>
                <w:tcPr>
                  <w:tcW w:w="899" w:type="dxa"/>
                  <w:vAlign w:val="center"/>
                </w:tcPr>
                <w:p>
                  <w:pPr>
                    <w:spacing w:line="240" w:lineRule="auto"/>
                    <w:jc w:val="center"/>
                    <w:rPr>
                      <w:b/>
                      <w:sz w:val="21"/>
                      <w:szCs w:val="21"/>
                    </w:rPr>
                  </w:pPr>
                  <w:r>
                    <w:rPr>
                      <w:b/>
                      <w:sz w:val="21"/>
                      <w:szCs w:val="21"/>
                    </w:rPr>
                    <w:t>距离</w:t>
                  </w:r>
                </w:p>
                <w:p>
                  <w:pPr>
                    <w:spacing w:line="240" w:lineRule="auto"/>
                    <w:jc w:val="center"/>
                    <w:rPr>
                      <w:b/>
                      <w:sz w:val="21"/>
                      <w:szCs w:val="21"/>
                    </w:rPr>
                  </w:pPr>
                  <w:r>
                    <w:rPr>
                      <w:b/>
                      <w:sz w:val="21"/>
                      <w:szCs w:val="21"/>
                    </w:rPr>
                    <w:t>（m）</w:t>
                  </w:r>
                </w:p>
              </w:tc>
              <w:tc>
                <w:tcPr>
                  <w:tcW w:w="1325" w:type="dxa"/>
                  <w:vAlign w:val="center"/>
                </w:tcPr>
                <w:p>
                  <w:pPr>
                    <w:spacing w:line="240" w:lineRule="auto"/>
                    <w:jc w:val="center"/>
                    <w:rPr>
                      <w:b/>
                      <w:sz w:val="21"/>
                      <w:szCs w:val="21"/>
                    </w:rPr>
                  </w:pPr>
                  <w:r>
                    <w:rPr>
                      <w:b/>
                      <w:sz w:val="21"/>
                      <w:szCs w:val="21"/>
                    </w:rPr>
                    <w:t>规模</w:t>
                  </w:r>
                </w:p>
              </w:tc>
              <w:tc>
                <w:tcPr>
                  <w:tcW w:w="3569" w:type="dxa"/>
                  <w:vAlign w:val="center"/>
                </w:tcPr>
                <w:p>
                  <w:pPr>
                    <w:tabs>
                      <w:tab w:val="left" w:pos="1400"/>
                    </w:tabs>
                    <w:spacing w:line="240" w:lineRule="auto"/>
                    <w:jc w:val="center"/>
                    <w:rPr>
                      <w:b/>
                      <w:sz w:val="21"/>
                      <w:szCs w:val="21"/>
                    </w:rPr>
                  </w:pPr>
                  <w:r>
                    <w:rPr>
                      <w:b/>
                      <w:sz w:val="21"/>
                      <w:szCs w:val="21"/>
                    </w:rPr>
                    <w:t>环境功能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5" w:type="dxa"/>
                  <w:vMerge w:val="restart"/>
                  <w:vAlign w:val="center"/>
                </w:tcPr>
                <w:p>
                  <w:pPr>
                    <w:spacing w:line="240" w:lineRule="auto"/>
                    <w:jc w:val="center"/>
                    <w:rPr>
                      <w:rFonts w:hint="eastAsia" w:eastAsia="宋体"/>
                      <w:sz w:val="21"/>
                      <w:szCs w:val="21"/>
                      <w:lang w:val="en-US" w:eastAsia="zh-CN"/>
                    </w:rPr>
                  </w:pPr>
                  <w:r>
                    <w:rPr>
                      <w:rFonts w:hint="eastAsia"/>
                      <w:sz w:val="21"/>
                      <w:szCs w:val="21"/>
                      <w:lang w:val="en-US" w:eastAsia="zh-CN"/>
                    </w:rPr>
                    <w:t>水环境</w:t>
                  </w:r>
                </w:p>
              </w:tc>
              <w:tc>
                <w:tcPr>
                  <w:tcW w:w="1930" w:type="dxa"/>
                  <w:vAlign w:val="center"/>
                </w:tcPr>
                <w:p>
                  <w:pPr>
                    <w:spacing w:line="240" w:lineRule="auto"/>
                    <w:ind w:left="-1" w:leftChars="-2" w:hanging="4" w:hangingChars="2"/>
                    <w:jc w:val="center"/>
                    <w:rPr>
                      <w:sz w:val="21"/>
                      <w:szCs w:val="21"/>
                    </w:rPr>
                  </w:pPr>
                  <w:r>
                    <w:rPr>
                      <w:sz w:val="21"/>
                      <w:szCs w:val="21"/>
                    </w:rPr>
                    <w:t>太湖</w:t>
                  </w:r>
                </w:p>
              </w:tc>
              <w:tc>
                <w:tcPr>
                  <w:tcW w:w="775" w:type="dxa"/>
                  <w:vAlign w:val="center"/>
                </w:tcPr>
                <w:p>
                  <w:pPr>
                    <w:spacing w:line="240" w:lineRule="auto"/>
                    <w:jc w:val="center"/>
                    <w:rPr>
                      <w:sz w:val="21"/>
                      <w:szCs w:val="21"/>
                    </w:rPr>
                  </w:pPr>
                  <w:r>
                    <w:rPr>
                      <w:sz w:val="21"/>
                      <w:szCs w:val="21"/>
                    </w:rPr>
                    <w:t>W</w:t>
                  </w:r>
                </w:p>
              </w:tc>
              <w:tc>
                <w:tcPr>
                  <w:tcW w:w="899" w:type="dxa"/>
                  <w:vAlign w:val="center"/>
                </w:tcPr>
                <w:p>
                  <w:pPr>
                    <w:spacing w:line="240" w:lineRule="auto"/>
                    <w:jc w:val="center"/>
                    <w:rPr>
                      <w:sz w:val="21"/>
                      <w:szCs w:val="21"/>
                    </w:rPr>
                  </w:pPr>
                  <w:r>
                    <w:rPr>
                      <w:rFonts w:hint="eastAsia"/>
                      <w:sz w:val="21"/>
                      <w:szCs w:val="21"/>
                      <w:lang w:val="en-US" w:eastAsia="zh-CN"/>
                    </w:rPr>
                    <w:t>138</w:t>
                  </w:r>
                  <w:r>
                    <w:rPr>
                      <w:sz w:val="21"/>
                      <w:szCs w:val="21"/>
                    </w:rPr>
                    <w:t>00</w:t>
                  </w:r>
                </w:p>
              </w:tc>
              <w:tc>
                <w:tcPr>
                  <w:tcW w:w="1325" w:type="dxa"/>
                  <w:vAlign w:val="center"/>
                </w:tcPr>
                <w:p>
                  <w:pPr>
                    <w:spacing w:line="240" w:lineRule="auto"/>
                    <w:ind w:left="16" w:leftChars="-38" w:right="-91" w:rightChars="-38" w:hanging="107" w:hangingChars="51"/>
                    <w:jc w:val="center"/>
                    <w:rPr>
                      <w:sz w:val="21"/>
                      <w:szCs w:val="21"/>
                    </w:rPr>
                  </w:pPr>
                  <w:r>
                    <w:rPr>
                      <w:sz w:val="21"/>
                      <w:szCs w:val="21"/>
                    </w:rPr>
                    <w:t>大湖</w:t>
                  </w:r>
                </w:p>
              </w:tc>
              <w:tc>
                <w:tcPr>
                  <w:tcW w:w="3569" w:type="dxa"/>
                  <w:vAlign w:val="center"/>
                </w:tcPr>
                <w:p>
                  <w:pPr>
                    <w:spacing w:line="240" w:lineRule="auto"/>
                    <w:ind w:left="16" w:leftChars="-38" w:right="-91" w:rightChars="-38" w:hanging="107" w:hangingChars="51"/>
                    <w:jc w:val="center"/>
                    <w:rPr>
                      <w:rFonts w:hint="eastAsia"/>
                      <w:sz w:val="21"/>
                      <w:szCs w:val="21"/>
                    </w:rPr>
                  </w:pPr>
                  <w:r>
                    <w:rPr>
                      <w:rFonts w:hint="eastAsia"/>
                      <w:sz w:val="21"/>
                      <w:szCs w:val="21"/>
                    </w:rPr>
                    <w:t>《地表水环境质量标准》</w:t>
                  </w:r>
                </w:p>
                <w:p>
                  <w:pPr>
                    <w:spacing w:line="240" w:lineRule="auto"/>
                    <w:ind w:left="16" w:leftChars="-38" w:right="-91" w:rightChars="-38" w:hanging="107" w:hangingChars="51"/>
                    <w:jc w:val="center"/>
                    <w:rPr>
                      <w:sz w:val="21"/>
                      <w:szCs w:val="21"/>
                    </w:rPr>
                  </w:pPr>
                  <w:r>
                    <w:rPr>
                      <w:rFonts w:hint="eastAsia"/>
                      <w:sz w:val="21"/>
                      <w:szCs w:val="21"/>
                    </w:rPr>
                    <w:t>（GB3838－2002）Ⅳ类标准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5" w:type="dxa"/>
                  <w:vMerge w:val="continue"/>
                  <w:vAlign w:val="center"/>
                </w:tcPr>
                <w:p>
                  <w:pPr>
                    <w:spacing w:line="240" w:lineRule="auto"/>
                    <w:jc w:val="center"/>
                    <w:rPr>
                      <w:sz w:val="21"/>
                      <w:szCs w:val="21"/>
                    </w:rPr>
                  </w:pPr>
                </w:p>
              </w:tc>
              <w:tc>
                <w:tcPr>
                  <w:tcW w:w="1930" w:type="dxa"/>
                  <w:vAlign w:val="center"/>
                </w:tcPr>
                <w:p>
                  <w:pPr>
                    <w:spacing w:line="240" w:lineRule="auto"/>
                    <w:ind w:left="-1" w:leftChars="-2" w:hanging="4" w:hangingChars="2"/>
                    <w:jc w:val="center"/>
                    <w:rPr>
                      <w:rFonts w:hint="eastAsia" w:eastAsia="宋体"/>
                      <w:sz w:val="21"/>
                      <w:szCs w:val="21"/>
                      <w:lang w:val="en-US" w:eastAsia="zh-CN"/>
                    </w:rPr>
                  </w:pPr>
                  <w:r>
                    <w:rPr>
                      <w:rFonts w:hint="eastAsia"/>
                      <w:sz w:val="21"/>
                      <w:szCs w:val="21"/>
                      <w:lang w:val="en-US" w:eastAsia="zh-CN"/>
                    </w:rPr>
                    <w:t>京杭运河</w:t>
                  </w:r>
                </w:p>
              </w:tc>
              <w:tc>
                <w:tcPr>
                  <w:tcW w:w="775" w:type="dxa"/>
                  <w:vAlign w:val="center"/>
                </w:tcPr>
                <w:p>
                  <w:pPr>
                    <w:spacing w:line="240" w:lineRule="auto"/>
                    <w:jc w:val="center"/>
                    <w:rPr>
                      <w:sz w:val="21"/>
                      <w:szCs w:val="21"/>
                    </w:rPr>
                  </w:pPr>
                  <w:r>
                    <w:rPr>
                      <w:sz w:val="21"/>
                      <w:szCs w:val="21"/>
                    </w:rPr>
                    <w:t>E</w:t>
                  </w:r>
                </w:p>
              </w:tc>
              <w:tc>
                <w:tcPr>
                  <w:tcW w:w="899" w:type="dxa"/>
                  <w:vAlign w:val="center"/>
                </w:tcPr>
                <w:p>
                  <w:pPr>
                    <w:spacing w:line="240" w:lineRule="auto"/>
                    <w:jc w:val="center"/>
                    <w:rPr>
                      <w:sz w:val="21"/>
                      <w:szCs w:val="21"/>
                    </w:rPr>
                  </w:pPr>
                  <w:r>
                    <w:rPr>
                      <w:sz w:val="21"/>
                      <w:szCs w:val="21"/>
                    </w:rPr>
                    <w:t>1</w:t>
                  </w:r>
                  <w:r>
                    <w:rPr>
                      <w:rFonts w:hint="eastAsia"/>
                      <w:sz w:val="21"/>
                      <w:szCs w:val="21"/>
                      <w:lang w:val="en-US" w:eastAsia="zh-CN"/>
                    </w:rPr>
                    <w:t>2</w:t>
                  </w:r>
                  <w:r>
                    <w:rPr>
                      <w:sz w:val="21"/>
                      <w:szCs w:val="21"/>
                    </w:rPr>
                    <w:t>00</w:t>
                  </w:r>
                </w:p>
              </w:tc>
              <w:tc>
                <w:tcPr>
                  <w:tcW w:w="1325" w:type="dxa"/>
                  <w:vAlign w:val="center"/>
                </w:tcPr>
                <w:p>
                  <w:pPr>
                    <w:spacing w:line="240" w:lineRule="auto"/>
                    <w:ind w:left="16" w:leftChars="-38" w:right="-91" w:rightChars="-38" w:hanging="107" w:hangingChars="51"/>
                    <w:jc w:val="center"/>
                    <w:rPr>
                      <w:sz w:val="21"/>
                      <w:szCs w:val="21"/>
                    </w:rPr>
                  </w:pPr>
                  <w:r>
                    <w:rPr>
                      <w:sz w:val="21"/>
                      <w:szCs w:val="21"/>
                    </w:rPr>
                    <w:t>中河</w:t>
                  </w:r>
                </w:p>
              </w:tc>
              <w:tc>
                <w:tcPr>
                  <w:tcW w:w="3569" w:type="dxa"/>
                  <w:vAlign w:val="center"/>
                </w:tcPr>
                <w:p>
                  <w:pPr>
                    <w:spacing w:line="240" w:lineRule="auto"/>
                    <w:ind w:left="16" w:leftChars="-38" w:right="-91" w:rightChars="-38" w:hanging="107" w:hangingChars="51"/>
                    <w:jc w:val="center"/>
                    <w:rPr>
                      <w:rFonts w:hint="eastAsia"/>
                      <w:sz w:val="21"/>
                      <w:szCs w:val="21"/>
                    </w:rPr>
                  </w:pPr>
                  <w:r>
                    <w:rPr>
                      <w:rFonts w:hint="eastAsia"/>
                      <w:sz w:val="21"/>
                      <w:szCs w:val="21"/>
                    </w:rPr>
                    <w:t>《地表水环境质量标准》</w:t>
                  </w:r>
                </w:p>
                <w:p>
                  <w:pPr>
                    <w:spacing w:line="240" w:lineRule="auto"/>
                    <w:ind w:left="16" w:leftChars="-38" w:right="-91" w:rightChars="-38" w:hanging="107" w:hangingChars="51"/>
                    <w:jc w:val="center"/>
                    <w:rPr>
                      <w:sz w:val="21"/>
                      <w:szCs w:val="21"/>
                    </w:rPr>
                  </w:pPr>
                  <w:r>
                    <w:rPr>
                      <w:rFonts w:hint="eastAsia"/>
                      <w:sz w:val="21"/>
                      <w:szCs w:val="21"/>
                    </w:rPr>
                    <w:t>（GB3838－2002）Ⅱ类标准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5" w:type="dxa"/>
                  <w:vAlign w:val="center"/>
                </w:tcPr>
                <w:p>
                  <w:pPr>
                    <w:spacing w:line="240" w:lineRule="auto"/>
                    <w:jc w:val="center"/>
                    <w:rPr>
                      <w:sz w:val="21"/>
                      <w:szCs w:val="21"/>
                    </w:rPr>
                  </w:pPr>
                  <w:r>
                    <w:rPr>
                      <w:sz w:val="21"/>
                      <w:szCs w:val="21"/>
                    </w:rPr>
                    <w:t>声环境</w:t>
                  </w:r>
                </w:p>
              </w:tc>
              <w:tc>
                <w:tcPr>
                  <w:tcW w:w="1930" w:type="dxa"/>
                  <w:vAlign w:val="center"/>
                </w:tcPr>
                <w:p>
                  <w:pPr>
                    <w:pStyle w:val="51"/>
                    <w:adjustRightInd w:val="0"/>
                    <w:snapToGrid w:val="0"/>
                    <w:spacing w:line="240" w:lineRule="auto"/>
                    <w:ind w:left="-1" w:leftChars="-2" w:hanging="4" w:hangingChars="2"/>
                    <w:rPr>
                      <w:rFonts w:ascii="Times New Roman" w:hAnsi="Times New Roman" w:eastAsia="宋体"/>
                      <w:kern w:val="2"/>
                      <w:sz w:val="21"/>
                      <w:szCs w:val="21"/>
                    </w:rPr>
                  </w:pPr>
                  <w:r>
                    <w:rPr>
                      <w:rFonts w:ascii="Times New Roman" w:hAnsi="Times New Roman" w:eastAsia="宋体"/>
                      <w:sz w:val="21"/>
                      <w:szCs w:val="21"/>
                    </w:rPr>
                    <w:t>厂界</w:t>
                  </w:r>
                </w:p>
              </w:tc>
              <w:tc>
                <w:tcPr>
                  <w:tcW w:w="775" w:type="dxa"/>
                  <w:vAlign w:val="center"/>
                </w:tcPr>
                <w:p>
                  <w:pPr>
                    <w:spacing w:line="240" w:lineRule="auto"/>
                    <w:jc w:val="center"/>
                    <w:rPr>
                      <w:sz w:val="21"/>
                      <w:szCs w:val="21"/>
                    </w:rPr>
                  </w:pPr>
                  <w:r>
                    <w:rPr>
                      <w:sz w:val="21"/>
                      <w:szCs w:val="21"/>
                    </w:rPr>
                    <w:t>四周</w:t>
                  </w:r>
                </w:p>
              </w:tc>
              <w:tc>
                <w:tcPr>
                  <w:tcW w:w="899" w:type="dxa"/>
                  <w:vAlign w:val="center"/>
                </w:tcPr>
                <w:p>
                  <w:pPr>
                    <w:spacing w:line="240" w:lineRule="auto"/>
                    <w:jc w:val="center"/>
                    <w:rPr>
                      <w:sz w:val="21"/>
                      <w:szCs w:val="21"/>
                    </w:rPr>
                  </w:pPr>
                  <w:r>
                    <w:rPr>
                      <w:sz w:val="21"/>
                      <w:szCs w:val="21"/>
                    </w:rPr>
                    <w:t>1</w:t>
                  </w:r>
                </w:p>
              </w:tc>
              <w:tc>
                <w:tcPr>
                  <w:tcW w:w="1325" w:type="dxa"/>
                  <w:vAlign w:val="center"/>
                </w:tcPr>
                <w:p>
                  <w:pPr>
                    <w:spacing w:line="240" w:lineRule="auto"/>
                    <w:ind w:left="16" w:leftChars="-38" w:right="-91" w:rightChars="-38" w:hanging="107" w:hangingChars="51"/>
                    <w:jc w:val="center"/>
                    <w:rPr>
                      <w:sz w:val="21"/>
                      <w:szCs w:val="21"/>
                    </w:rPr>
                  </w:pPr>
                  <w:r>
                    <w:rPr>
                      <w:sz w:val="21"/>
                      <w:szCs w:val="21"/>
                    </w:rPr>
                    <w:t>/</w:t>
                  </w:r>
                </w:p>
              </w:tc>
              <w:tc>
                <w:tcPr>
                  <w:tcW w:w="3569" w:type="dxa"/>
                  <w:vAlign w:val="center"/>
                </w:tcPr>
                <w:p>
                  <w:pPr>
                    <w:spacing w:line="240" w:lineRule="auto"/>
                    <w:ind w:left="16" w:leftChars="-38" w:right="-91" w:rightChars="-38" w:hanging="107" w:hangingChars="51"/>
                    <w:jc w:val="center"/>
                    <w:rPr>
                      <w:sz w:val="21"/>
                      <w:szCs w:val="21"/>
                    </w:rPr>
                  </w:pPr>
                  <w:r>
                    <w:rPr>
                      <w:sz w:val="21"/>
                      <w:szCs w:val="21"/>
                    </w:rPr>
                    <w:t>《声环境质量标准》（GB3096-2008）3类标准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5" w:type="dxa"/>
                  <w:vAlign w:val="center"/>
                </w:tcPr>
                <w:p>
                  <w:pPr>
                    <w:spacing w:line="240" w:lineRule="auto"/>
                    <w:jc w:val="center"/>
                    <w:rPr>
                      <w:sz w:val="21"/>
                      <w:szCs w:val="21"/>
                    </w:rPr>
                  </w:pPr>
                  <w:r>
                    <w:rPr>
                      <w:sz w:val="21"/>
                      <w:szCs w:val="21"/>
                    </w:rPr>
                    <w:t>生态环境</w:t>
                  </w:r>
                </w:p>
              </w:tc>
              <w:tc>
                <w:tcPr>
                  <w:tcW w:w="1930" w:type="dxa"/>
                  <w:vAlign w:val="center"/>
                </w:tcPr>
                <w:p>
                  <w:pPr>
                    <w:pStyle w:val="51"/>
                    <w:adjustRightInd w:val="0"/>
                    <w:snapToGrid w:val="0"/>
                    <w:spacing w:line="240" w:lineRule="auto"/>
                    <w:ind w:left="-1" w:leftChars="-2" w:hanging="4" w:hangingChars="2"/>
                    <w:rPr>
                      <w:rFonts w:ascii="Times New Roman" w:hAnsi="Times New Roman" w:eastAsia="宋体"/>
                      <w:sz w:val="21"/>
                      <w:szCs w:val="21"/>
                    </w:rPr>
                  </w:pPr>
                  <w:r>
                    <w:rPr>
                      <w:rFonts w:ascii="Times New Roman" w:hAnsi="Times New Roman" w:eastAsia="宋体"/>
                      <w:kern w:val="2"/>
                      <w:sz w:val="21"/>
                      <w:szCs w:val="21"/>
                    </w:rPr>
                    <w:t>江苏大阳山国家森林公园</w:t>
                  </w:r>
                </w:p>
              </w:tc>
              <w:tc>
                <w:tcPr>
                  <w:tcW w:w="775" w:type="dxa"/>
                  <w:vAlign w:val="center"/>
                </w:tcPr>
                <w:p>
                  <w:pPr>
                    <w:spacing w:line="240" w:lineRule="auto"/>
                    <w:jc w:val="center"/>
                    <w:rPr>
                      <w:rFonts w:hint="eastAsia" w:eastAsia="宋体"/>
                      <w:sz w:val="21"/>
                      <w:szCs w:val="21"/>
                      <w:lang w:eastAsia="zh-CN"/>
                    </w:rPr>
                  </w:pPr>
                  <w:r>
                    <w:rPr>
                      <w:rFonts w:hint="eastAsia"/>
                      <w:sz w:val="21"/>
                      <w:szCs w:val="21"/>
                      <w:lang w:val="en-US" w:eastAsia="zh-CN"/>
                    </w:rPr>
                    <w:t>W</w:t>
                  </w:r>
                </w:p>
              </w:tc>
              <w:tc>
                <w:tcPr>
                  <w:tcW w:w="899" w:type="dxa"/>
                  <w:vAlign w:val="center"/>
                </w:tcPr>
                <w:p>
                  <w:pPr>
                    <w:spacing w:line="240" w:lineRule="auto"/>
                    <w:jc w:val="center"/>
                    <w:rPr>
                      <w:sz w:val="21"/>
                      <w:szCs w:val="21"/>
                    </w:rPr>
                  </w:pPr>
                  <w:r>
                    <w:rPr>
                      <w:rFonts w:hint="eastAsia"/>
                      <w:sz w:val="21"/>
                      <w:szCs w:val="21"/>
                      <w:lang w:val="en-US" w:eastAsia="zh-CN"/>
                    </w:rPr>
                    <w:t>8</w:t>
                  </w:r>
                  <w:r>
                    <w:rPr>
                      <w:sz w:val="21"/>
                      <w:szCs w:val="21"/>
                    </w:rPr>
                    <w:t>00</w:t>
                  </w:r>
                </w:p>
              </w:tc>
              <w:tc>
                <w:tcPr>
                  <w:tcW w:w="1325" w:type="dxa"/>
                  <w:vAlign w:val="center"/>
                </w:tcPr>
                <w:p>
                  <w:pPr>
                    <w:adjustRightInd w:val="0"/>
                    <w:snapToGrid w:val="0"/>
                    <w:spacing w:line="240" w:lineRule="auto"/>
                    <w:jc w:val="center"/>
                    <w:rPr>
                      <w:sz w:val="21"/>
                      <w:szCs w:val="21"/>
                    </w:rPr>
                  </w:pPr>
                  <w:r>
                    <w:rPr>
                      <w:sz w:val="21"/>
                      <w:szCs w:val="21"/>
                    </w:rPr>
                    <w:t>二级管控区10.3km</w:t>
                  </w:r>
                  <w:r>
                    <w:rPr>
                      <w:sz w:val="21"/>
                      <w:szCs w:val="21"/>
                      <w:vertAlign w:val="superscript"/>
                    </w:rPr>
                    <w:t>2</w:t>
                  </w:r>
                </w:p>
              </w:tc>
              <w:tc>
                <w:tcPr>
                  <w:tcW w:w="3569" w:type="dxa"/>
                  <w:vAlign w:val="center"/>
                </w:tcPr>
                <w:p>
                  <w:pPr>
                    <w:adjustRightInd w:val="0"/>
                    <w:snapToGrid w:val="0"/>
                    <w:spacing w:line="240" w:lineRule="auto"/>
                    <w:jc w:val="center"/>
                    <w:rPr>
                      <w:sz w:val="21"/>
                      <w:szCs w:val="21"/>
                    </w:rPr>
                  </w:pPr>
                  <w:r>
                    <w:rPr>
                      <w:sz w:val="21"/>
                      <w:szCs w:val="21"/>
                    </w:rPr>
                    <w:t>《江苏省生态红线区域保护规划》、《江苏省国家级生态保护红线规划》自然与人文景观保护</w:t>
                  </w:r>
                </w:p>
              </w:tc>
            </w:tr>
          </w:tbl>
          <w:p/>
        </w:tc>
      </w:tr>
    </w:tbl>
    <w:p>
      <w:pPr>
        <w:pStyle w:val="2"/>
      </w:pPr>
    </w:p>
    <w:p>
      <w:r>
        <w:br w:type="page"/>
      </w:r>
    </w:p>
    <w:p>
      <w:pPr>
        <w:pStyle w:val="3"/>
        <w:bidi w:val="0"/>
        <w:ind w:firstLine="420" w:firstLineChars="0"/>
        <w:rPr>
          <w:rFonts w:hint="default"/>
          <w:sz w:val="28"/>
          <w:szCs w:val="28"/>
        </w:rPr>
      </w:pPr>
      <w:bookmarkStart w:id="7" w:name="_Toc23074"/>
      <w:r>
        <w:rPr>
          <w:rFonts w:hint="eastAsia"/>
          <w:sz w:val="28"/>
          <w:szCs w:val="28"/>
          <w:lang w:val="en-US" w:eastAsia="zh-CN"/>
        </w:rPr>
        <w:t>四、</w:t>
      </w:r>
      <w:r>
        <w:rPr>
          <w:rFonts w:hint="default"/>
          <w:sz w:val="28"/>
          <w:szCs w:val="28"/>
        </w:rPr>
        <w:t>评价适用标准及总量控制指标</w:t>
      </w:r>
      <w:bookmarkEnd w:id="7"/>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gridCol w:w="9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jc w:val="center"/>
            </w:pPr>
            <w:r>
              <w:rPr>
                <w:b/>
                <w:bCs/>
              </w:rPr>
              <w:t>环境质量标准</w:t>
            </w:r>
          </w:p>
        </w:tc>
        <w:tc>
          <w:tcPr>
            <w:tcW w:w="9164" w:type="dxa"/>
            <w:noWrap w:val="0"/>
            <w:vAlign w:val="center"/>
          </w:tcPr>
          <w:p>
            <w:pPr>
              <w:spacing w:line="460" w:lineRule="exact"/>
              <w:ind w:firstLine="480" w:firstLineChars="200"/>
            </w:pPr>
            <w:r>
              <w:t>1、大气环境质量标准</w:t>
            </w:r>
          </w:p>
          <w:p>
            <w:pPr>
              <w:spacing w:line="460" w:lineRule="exact"/>
              <w:ind w:firstLine="480" w:firstLineChars="200"/>
            </w:pPr>
            <w:r>
              <w:t>本项目SO</w:t>
            </w:r>
            <w:r>
              <w:rPr>
                <w:vertAlign w:val="subscript"/>
              </w:rPr>
              <w:t>2</w:t>
            </w:r>
            <w:r>
              <w:t>、NO</w:t>
            </w:r>
            <w:r>
              <w:rPr>
                <w:vertAlign w:val="subscript"/>
              </w:rPr>
              <w:t>2</w:t>
            </w:r>
            <w:r>
              <w:t>、PM</w:t>
            </w:r>
            <w:r>
              <w:rPr>
                <w:vertAlign w:val="subscript"/>
              </w:rPr>
              <w:t>10</w:t>
            </w:r>
            <w:r>
              <w:t>、PM</w:t>
            </w:r>
            <w:r>
              <w:rPr>
                <w:vertAlign w:val="subscript"/>
              </w:rPr>
              <w:t>2.5</w:t>
            </w:r>
            <w:r>
              <w:t>、CO、O</w:t>
            </w:r>
            <w:r>
              <w:rPr>
                <w:vertAlign w:val="subscript"/>
              </w:rPr>
              <w:t>3</w:t>
            </w:r>
            <w:r>
              <w:t>等空气质量标准执行《环境空气质量标准》（GB3095-2012）二级标准，其他具体见下表。</w:t>
            </w:r>
          </w:p>
          <w:p>
            <w:pPr>
              <w:spacing w:line="440" w:lineRule="exact"/>
              <w:jc w:val="center"/>
              <w:rPr>
                <w:b/>
                <w:bCs/>
                <w:sz w:val="21"/>
                <w:szCs w:val="21"/>
              </w:rPr>
            </w:pPr>
            <w:r>
              <w:rPr>
                <w:b/>
                <w:bCs/>
                <w:sz w:val="21"/>
                <w:szCs w:val="21"/>
              </w:rPr>
              <w:t>表4-1 环境空气质量标准限值表</w:t>
            </w:r>
          </w:p>
          <w:tbl>
            <w:tblPr>
              <w:tblStyle w:val="2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912"/>
              <w:gridCol w:w="1167"/>
              <w:gridCol w:w="833"/>
              <w:gridCol w:w="376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noWrap w:val="0"/>
                  <w:vAlign w:val="center"/>
                </w:tcPr>
                <w:p>
                  <w:pPr>
                    <w:spacing w:line="240" w:lineRule="auto"/>
                    <w:jc w:val="center"/>
                    <w:rPr>
                      <w:sz w:val="21"/>
                      <w:szCs w:val="21"/>
                    </w:rPr>
                  </w:pPr>
                  <w:r>
                    <w:rPr>
                      <w:sz w:val="21"/>
                      <w:szCs w:val="21"/>
                    </w:rPr>
                    <w:t>污染物</w:t>
                  </w:r>
                </w:p>
              </w:tc>
              <w:tc>
                <w:tcPr>
                  <w:tcW w:w="1912" w:type="dxa"/>
                  <w:noWrap w:val="0"/>
                  <w:vAlign w:val="center"/>
                </w:tcPr>
                <w:p>
                  <w:pPr>
                    <w:spacing w:line="240" w:lineRule="auto"/>
                    <w:jc w:val="center"/>
                    <w:rPr>
                      <w:sz w:val="21"/>
                      <w:szCs w:val="21"/>
                    </w:rPr>
                  </w:pPr>
                  <w:r>
                    <w:rPr>
                      <w:sz w:val="21"/>
                      <w:szCs w:val="21"/>
                    </w:rPr>
                    <w:t>取值时间</w:t>
                  </w:r>
                </w:p>
              </w:tc>
              <w:tc>
                <w:tcPr>
                  <w:tcW w:w="1167" w:type="dxa"/>
                  <w:noWrap w:val="0"/>
                  <w:vAlign w:val="center"/>
                </w:tcPr>
                <w:p>
                  <w:pPr>
                    <w:spacing w:line="240" w:lineRule="auto"/>
                    <w:jc w:val="center"/>
                    <w:rPr>
                      <w:sz w:val="21"/>
                      <w:szCs w:val="21"/>
                    </w:rPr>
                  </w:pPr>
                  <w:r>
                    <w:rPr>
                      <w:sz w:val="21"/>
                      <w:szCs w:val="21"/>
                    </w:rPr>
                    <w:t>标准限值</w:t>
                  </w:r>
                </w:p>
              </w:tc>
              <w:tc>
                <w:tcPr>
                  <w:tcW w:w="833" w:type="dxa"/>
                  <w:noWrap w:val="0"/>
                  <w:vAlign w:val="center"/>
                </w:tcPr>
                <w:p>
                  <w:pPr>
                    <w:spacing w:line="240" w:lineRule="auto"/>
                    <w:jc w:val="center"/>
                    <w:rPr>
                      <w:sz w:val="21"/>
                      <w:szCs w:val="21"/>
                    </w:rPr>
                  </w:pPr>
                  <w:r>
                    <w:rPr>
                      <w:sz w:val="21"/>
                      <w:szCs w:val="21"/>
                    </w:rPr>
                    <w:t>单位</w:t>
                  </w:r>
                </w:p>
              </w:tc>
              <w:tc>
                <w:tcPr>
                  <w:tcW w:w="3763" w:type="dxa"/>
                  <w:noWrap w:val="0"/>
                  <w:vAlign w:val="center"/>
                </w:tcPr>
                <w:p>
                  <w:pPr>
                    <w:spacing w:line="240" w:lineRule="auto"/>
                    <w:jc w:val="center"/>
                    <w:rPr>
                      <w:sz w:val="21"/>
                      <w:szCs w:val="21"/>
                    </w:rPr>
                  </w:pPr>
                  <w:r>
                    <w:rPr>
                      <w:sz w:val="21"/>
                      <w:szCs w:val="21"/>
                    </w:rPr>
                    <w:t>标准来源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vMerge w:val="restart"/>
                  <w:noWrap w:val="0"/>
                  <w:vAlign w:val="center"/>
                </w:tcPr>
                <w:p>
                  <w:pPr>
                    <w:spacing w:line="240" w:lineRule="auto"/>
                    <w:jc w:val="center"/>
                    <w:rPr>
                      <w:sz w:val="21"/>
                      <w:szCs w:val="21"/>
                    </w:rPr>
                  </w:pPr>
                  <w:r>
                    <w:rPr>
                      <w:sz w:val="21"/>
                      <w:szCs w:val="21"/>
                    </w:rPr>
                    <w:t>SO</w:t>
                  </w:r>
                  <w:r>
                    <w:rPr>
                      <w:sz w:val="21"/>
                      <w:szCs w:val="21"/>
                      <w:vertAlign w:val="subscript"/>
                    </w:rPr>
                    <w:t>2</w:t>
                  </w:r>
                </w:p>
              </w:tc>
              <w:tc>
                <w:tcPr>
                  <w:tcW w:w="1912" w:type="dxa"/>
                  <w:noWrap w:val="0"/>
                  <w:vAlign w:val="center"/>
                </w:tcPr>
                <w:p>
                  <w:pPr>
                    <w:spacing w:line="240" w:lineRule="auto"/>
                    <w:jc w:val="center"/>
                    <w:rPr>
                      <w:sz w:val="21"/>
                      <w:szCs w:val="21"/>
                    </w:rPr>
                  </w:pPr>
                  <w:r>
                    <w:rPr>
                      <w:sz w:val="21"/>
                      <w:szCs w:val="21"/>
                    </w:rPr>
                    <w:t>年平均</w:t>
                  </w:r>
                </w:p>
              </w:tc>
              <w:tc>
                <w:tcPr>
                  <w:tcW w:w="1167" w:type="dxa"/>
                  <w:noWrap w:val="0"/>
                  <w:vAlign w:val="center"/>
                </w:tcPr>
                <w:p>
                  <w:pPr>
                    <w:spacing w:line="240" w:lineRule="auto"/>
                    <w:jc w:val="center"/>
                    <w:rPr>
                      <w:sz w:val="21"/>
                      <w:szCs w:val="21"/>
                    </w:rPr>
                  </w:pPr>
                  <w:r>
                    <w:rPr>
                      <w:sz w:val="21"/>
                      <w:szCs w:val="21"/>
                    </w:rPr>
                    <w:t>60</w:t>
                  </w:r>
                </w:p>
              </w:tc>
              <w:tc>
                <w:tcPr>
                  <w:tcW w:w="833" w:type="dxa"/>
                  <w:vMerge w:val="restart"/>
                  <w:noWrap w:val="0"/>
                  <w:vAlign w:val="center"/>
                </w:tcPr>
                <w:p>
                  <w:pPr>
                    <w:spacing w:line="240" w:lineRule="auto"/>
                    <w:jc w:val="center"/>
                    <w:rPr>
                      <w:sz w:val="21"/>
                      <w:szCs w:val="21"/>
                    </w:rPr>
                  </w:pPr>
                  <w:r>
                    <w:rPr>
                      <w:sz w:val="21"/>
                      <w:szCs w:val="21"/>
                    </w:rPr>
                    <w:t>μg/m</w:t>
                  </w:r>
                  <w:r>
                    <w:rPr>
                      <w:sz w:val="21"/>
                      <w:szCs w:val="21"/>
                      <w:vertAlign w:val="superscript"/>
                    </w:rPr>
                    <w:t>3</w:t>
                  </w:r>
                </w:p>
              </w:tc>
              <w:tc>
                <w:tcPr>
                  <w:tcW w:w="3763" w:type="dxa"/>
                  <w:vMerge w:val="restart"/>
                  <w:noWrap w:val="0"/>
                  <w:vAlign w:val="center"/>
                </w:tcPr>
                <w:p>
                  <w:pPr>
                    <w:spacing w:line="240" w:lineRule="auto"/>
                    <w:jc w:val="center"/>
                    <w:rPr>
                      <w:sz w:val="21"/>
                      <w:szCs w:val="21"/>
                    </w:rPr>
                  </w:pPr>
                  <w:r>
                    <w:rPr>
                      <w:sz w:val="21"/>
                      <w:szCs w:val="21"/>
                    </w:rPr>
                    <w:t>《环境空气质量标准》</w:t>
                  </w:r>
                </w:p>
                <w:p>
                  <w:pPr>
                    <w:spacing w:line="240" w:lineRule="auto"/>
                    <w:jc w:val="center"/>
                    <w:rPr>
                      <w:sz w:val="21"/>
                      <w:szCs w:val="21"/>
                    </w:rPr>
                  </w:pPr>
                  <w:r>
                    <w:rPr>
                      <w:sz w:val="21"/>
                      <w:szCs w:val="21"/>
                    </w:rPr>
                    <w:t>（GB3095-2012）二级标准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vMerge w:val="continue"/>
                  <w:noWrap w:val="0"/>
                  <w:vAlign w:val="center"/>
                </w:tcPr>
                <w:p>
                  <w:pPr>
                    <w:spacing w:line="240" w:lineRule="auto"/>
                    <w:jc w:val="center"/>
                    <w:rPr>
                      <w:sz w:val="21"/>
                      <w:szCs w:val="21"/>
                    </w:rPr>
                  </w:pPr>
                </w:p>
              </w:tc>
              <w:tc>
                <w:tcPr>
                  <w:tcW w:w="1912" w:type="dxa"/>
                  <w:noWrap w:val="0"/>
                  <w:vAlign w:val="center"/>
                </w:tcPr>
                <w:p>
                  <w:pPr>
                    <w:spacing w:line="240" w:lineRule="auto"/>
                    <w:jc w:val="center"/>
                    <w:rPr>
                      <w:sz w:val="21"/>
                      <w:szCs w:val="21"/>
                    </w:rPr>
                  </w:pPr>
                  <w:r>
                    <w:rPr>
                      <w:sz w:val="21"/>
                      <w:szCs w:val="21"/>
                    </w:rPr>
                    <w:t>24小时平均</w:t>
                  </w:r>
                </w:p>
              </w:tc>
              <w:tc>
                <w:tcPr>
                  <w:tcW w:w="1167" w:type="dxa"/>
                  <w:noWrap w:val="0"/>
                  <w:vAlign w:val="center"/>
                </w:tcPr>
                <w:p>
                  <w:pPr>
                    <w:spacing w:line="240" w:lineRule="auto"/>
                    <w:jc w:val="center"/>
                    <w:rPr>
                      <w:sz w:val="21"/>
                      <w:szCs w:val="21"/>
                    </w:rPr>
                  </w:pPr>
                  <w:r>
                    <w:rPr>
                      <w:sz w:val="21"/>
                      <w:szCs w:val="21"/>
                    </w:rPr>
                    <w:t>150</w:t>
                  </w:r>
                </w:p>
              </w:tc>
              <w:tc>
                <w:tcPr>
                  <w:tcW w:w="833" w:type="dxa"/>
                  <w:vMerge w:val="continue"/>
                  <w:noWrap w:val="0"/>
                  <w:vAlign w:val="center"/>
                </w:tcPr>
                <w:p>
                  <w:pPr>
                    <w:spacing w:line="240" w:lineRule="auto"/>
                    <w:jc w:val="center"/>
                    <w:rPr>
                      <w:sz w:val="21"/>
                      <w:szCs w:val="21"/>
                    </w:rPr>
                  </w:pPr>
                </w:p>
              </w:tc>
              <w:tc>
                <w:tcPr>
                  <w:tcW w:w="3763" w:type="dxa"/>
                  <w:vMerge w:val="continue"/>
                  <w:noWrap w:val="0"/>
                  <w:vAlign w:val="center"/>
                </w:tcPr>
                <w:p>
                  <w:pPr>
                    <w:spacing w:line="240" w:lineRule="auto"/>
                    <w:jc w:val="center"/>
                    <w:rPr>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vMerge w:val="continue"/>
                  <w:noWrap w:val="0"/>
                  <w:vAlign w:val="center"/>
                </w:tcPr>
                <w:p>
                  <w:pPr>
                    <w:spacing w:line="240" w:lineRule="auto"/>
                    <w:jc w:val="center"/>
                    <w:rPr>
                      <w:sz w:val="21"/>
                      <w:szCs w:val="21"/>
                    </w:rPr>
                  </w:pPr>
                </w:p>
              </w:tc>
              <w:tc>
                <w:tcPr>
                  <w:tcW w:w="1912" w:type="dxa"/>
                  <w:noWrap w:val="0"/>
                  <w:vAlign w:val="center"/>
                </w:tcPr>
                <w:p>
                  <w:pPr>
                    <w:spacing w:line="240" w:lineRule="auto"/>
                    <w:jc w:val="center"/>
                    <w:rPr>
                      <w:sz w:val="21"/>
                      <w:szCs w:val="21"/>
                    </w:rPr>
                  </w:pPr>
                  <w:r>
                    <w:rPr>
                      <w:sz w:val="21"/>
                      <w:szCs w:val="21"/>
                    </w:rPr>
                    <w:t>1小时平均</w:t>
                  </w:r>
                </w:p>
              </w:tc>
              <w:tc>
                <w:tcPr>
                  <w:tcW w:w="1167" w:type="dxa"/>
                  <w:noWrap w:val="0"/>
                  <w:vAlign w:val="center"/>
                </w:tcPr>
                <w:p>
                  <w:pPr>
                    <w:spacing w:line="240" w:lineRule="auto"/>
                    <w:jc w:val="center"/>
                    <w:rPr>
                      <w:sz w:val="21"/>
                      <w:szCs w:val="21"/>
                    </w:rPr>
                  </w:pPr>
                  <w:r>
                    <w:rPr>
                      <w:sz w:val="21"/>
                      <w:szCs w:val="21"/>
                    </w:rPr>
                    <w:t>500</w:t>
                  </w:r>
                </w:p>
              </w:tc>
              <w:tc>
                <w:tcPr>
                  <w:tcW w:w="833" w:type="dxa"/>
                  <w:vMerge w:val="continue"/>
                  <w:noWrap w:val="0"/>
                  <w:vAlign w:val="center"/>
                </w:tcPr>
                <w:p>
                  <w:pPr>
                    <w:spacing w:line="240" w:lineRule="auto"/>
                    <w:jc w:val="center"/>
                    <w:rPr>
                      <w:sz w:val="21"/>
                      <w:szCs w:val="21"/>
                    </w:rPr>
                  </w:pPr>
                </w:p>
              </w:tc>
              <w:tc>
                <w:tcPr>
                  <w:tcW w:w="3763" w:type="dxa"/>
                  <w:vMerge w:val="continue"/>
                  <w:noWrap w:val="0"/>
                  <w:vAlign w:val="center"/>
                </w:tcPr>
                <w:p>
                  <w:pPr>
                    <w:spacing w:line="240" w:lineRule="auto"/>
                    <w:jc w:val="center"/>
                    <w:rPr>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vMerge w:val="restart"/>
                  <w:noWrap w:val="0"/>
                  <w:vAlign w:val="center"/>
                </w:tcPr>
                <w:p>
                  <w:pPr>
                    <w:spacing w:line="240" w:lineRule="auto"/>
                    <w:jc w:val="center"/>
                    <w:rPr>
                      <w:sz w:val="21"/>
                      <w:szCs w:val="21"/>
                    </w:rPr>
                  </w:pPr>
                  <w:r>
                    <w:rPr>
                      <w:sz w:val="21"/>
                      <w:szCs w:val="21"/>
                    </w:rPr>
                    <w:t>NO</w:t>
                  </w:r>
                  <w:r>
                    <w:rPr>
                      <w:sz w:val="21"/>
                      <w:szCs w:val="21"/>
                      <w:vertAlign w:val="subscript"/>
                    </w:rPr>
                    <w:t>2</w:t>
                  </w:r>
                </w:p>
              </w:tc>
              <w:tc>
                <w:tcPr>
                  <w:tcW w:w="1912" w:type="dxa"/>
                  <w:noWrap w:val="0"/>
                  <w:vAlign w:val="center"/>
                </w:tcPr>
                <w:p>
                  <w:pPr>
                    <w:spacing w:line="240" w:lineRule="auto"/>
                    <w:jc w:val="center"/>
                    <w:rPr>
                      <w:sz w:val="21"/>
                      <w:szCs w:val="21"/>
                    </w:rPr>
                  </w:pPr>
                  <w:r>
                    <w:rPr>
                      <w:sz w:val="21"/>
                      <w:szCs w:val="21"/>
                    </w:rPr>
                    <w:t>年平均</w:t>
                  </w:r>
                </w:p>
              </w:tc>
              <w:tc>
                <w:tcPr>
                  <w:tcW w:w="1167" w:type="dxa"/>
                  <w:noWrap w:val="0"/>
                  <w:vAlign w:val="center"/>
                </w:tcPr>
                <w:p>
                  <w:pPr>
                    <w:spacing w:line="240" w:lineRule="auto"/>
                    <w:jc w:val="center"/>
                    <w:rPr>
                      <w:sz w:val="21"/>
                      <w:szCs w:val="21"/>
                    </w:rPr>
                  </w:pPr>
                  <w:r>
                    <w:rPr>
                      <w:sz w:val="21"/>
                      <w:szCs w:val="21"/>
                    </w:rPr>
                    <w:t>40</w:t>
                  </w:r>
                </w:p>
              </w:tc>
              <w:tc>
                <w:tcPr>
                  <w:tcW w:w="833" w:type="dxa"/>
                  <w:vMerge w:val="continue"/>
                  <w:noWrap w:val="0"/>
                  <w:vAlign w:val="center"/>
                </w:tcPr>
                <w:p>
                  <w:pPr>
                    <w:spacing w:line="240" w:lineRule="auto"/>
                    <w:jc w:val="center"/>
                    <w:rPr>
                      <w:sz w:val="21"/>
                      <w:szCs w:val="21"/>
                    </w:rPr>
                  </w:pPr>
                </w:p>
              </w:tc>
              <w:tc>
                <w:tcPr>
                  <w:tcW w:w="3763" w:type="dxa"/>
                  <w:vMerge w:val="continue"/>
                  <w:noWrap w:val="0"/>
                  <w:vAlign w:val="center"/>
                </w:tcPr>
                <w:p>
                  <w:pPr>
                    <w:spacing w:line="240" w:lineRule="auto"/>
                    <w:jc w:val="center"/>
                    <w:rPr>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vMerge w:val="continue"/>
                  <w:noWrap w:val="0"/>
                  <w:vAlign w:val="center"/>
                </w:tcPr>
                <w:p>
                  <w:pPr>
                    <w:spacing w:line="240" w:lineRule="auto"/>
                    <w:jc w:val="center"/>
                    <w:rPr>
                      <w:sz w:val="21"/>
                      <w:szCs w:val="21"/>
                    </w:rPr>
                  </w:pPr>
                </w:p>
              </w:tc>
              <w:tc>
                <w:tcPr>
                  <w:tcW w:w="1912" w:type="dxa"/>
                  <w:noWrap w:val="0"/>
                  <w:vAlign w:val="center"/>
                </w:tcPr>
                <w:p>
                  <w:pPr>
                    <w:spacing w:line="240" w:lineRule="auto"/>
                    <w:jc w:val="center"/>
                    <w:rPr>
                      <w:sz w:val="21"/>
                      <w:szCs w:val="21"/>
                    </w:rPr>
                  </w:pPr>
                  <w:r>
                    <w:rPr>
                      <w:sz w:val="21"/>
                      <w:szCs w:val="21"/>
                    </w:rPr>
                    <w:t>24小时平均</w:t>
                  </w:r>
                </w:p>
              </w:tc>
              <w:tc>
                <w:tcPr>
                  <w:tcW w:w="1167" w:type="dxa"/>
                  <w:noWrap w:val="0"/>
                  <w:vAlign w:val="center"/>
                </w:tcPr>
                <w:p>
                  <w:pPr>
                    <w:spacing w:line="240" w:lineRule="auto"/>
                    <w:jc w:val="center"/>
                    <w:rPr>
                      <w:sz w:val="21"/>
                      <w:szCs w:val="21"/>
                    </w:rPr>
                  </w:pPr>
                  <w:r>
                    <w:rPr>
                      <w:sz w:val="21"/>
                      <w:szCs w:val="21"/>
                    </w:rPr>
                    <w:t>80</w:t>
                  </w:r>
                </w:p>
              </w:tc>
              <w:tc>
                <w:tcPr>
                  <w:tcW w:w="833" w:type="dxa"/>
                  <w:vMerge w:val="continue"/>
                  <w:noWrap w:val="0"/>
                  <w:vAlign w:val="center"/>
                </w:tcPr>
                <w:p>
                  <w:pPr>
                    <w:spacing w:line="240" w:lineRule="auto"/>
                    <w:jc w:val="center"/>
                    <w:rPr>
                      <w:sz w:val="21"/>
                      <w:szCs w:val="21"/>
                    </w:rPr>
                  </w:pPr>
                </w:p>
              </w:tc>
              <w:tc>
                <w:tcPr>
                  <w:tcW w:w="3763" w:type="dxa"/>
                  <w:vMerge w:val="continue"/>
                  <w:noWrap w:val="0"/>
                  <w:vAlign w:val="center"/>
                </w:tcPr>
                <w:p>
                  <w:pPr>
                    <w:spacing w:line="240" w:lineRule="auto"/>
                    <w:jc w:val="center"/>
                    <w:rPr>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vMerge w:val="continue"/>
                  <w:noWrap w:val="0"/>
                  <w:vAlign w:val="center"/>
                </w:tcPr>
                <w:p>
                  <w:pPr>
                    <w:spacing w:line="240" w:lineRule="auto"/>
                    <w:jc w:val="center"/>
                    <w:rPr>
                      <w:sz w:val="21"/>
                      <w:szCs w:val="21"/>
                    </w:rPr>
                  </w:pPr>
                </w:p>
              </w:tc>
              <w:tc>
                <w:tcPr>
                  <w:tcW w:w="1912" w:type="dxa"/>
                  <w:noWrap w:val="0"/>
                  <w:vAlign w:val="center"/>
                </w:tcPr>
                <w:p>
                  <w:pPr>
                    <w:spacing w:line="240" w:lineRule="auto"/>
                    <w:jc w:val="center"/>
                    <w:rPr>
                      <w:sz w:val="21"/>
                      <w:szCs w:val="21"/>
                    </w:rPr>
                  </w:pPr>
                  <w:r>
                    <w:rPr>
                      <w:sz w:val="21"/>
                      <w:szCs w:val="21"/>
                    </w:rPr>
                    <w:t>1小时平均</w:t>
                  </w:r>
                </w:p>
              </w:tc>
              <w:tc>
                <w:tcPr>
                  <w:tcW w:w="1167" w:type="dxa"/>
                  <w:noWrap w:val="0"/>
                  <w:vAlign w:val="center"/>
                </w:tcPr>
                <w:p>
                  <w:pPr>
                    <w:spacing w:line="240" w:lineRule="auto"/>
                    <w:jc w:val="center"/>
                    <w:rPr>
                      <w:sz w:val="21"/>
                      <w:szCs w:val="21"/>
                    </w:rPr>
                  </w:pPr>
                  <w:r>
                    <w:rPr>
                      <w:sz w:val="21"/>
                      <w:szCs w:val="21"/>
                    </w:rPr>
                    <w:t>200</w:t>
                  </w:r>
                </w:p>
              </w:tc>
              <w:tc>
                <w:tcPr>
                  <w:tcW w:w="833" w:type="dxa"/>
                  <w:vMerge w:val="continue"/>
                  <w:noWrap w:val="0"/>
                  <w:vAlign w:val="center"/>
                </w:tcPr>
                <w:p>
                  <w:pPr>
                    <w:spacing w:line="240" w:lineRule="auto"/>
                    <w:jc w:val="center"/>
                    <w:rPr>
                      <w:sz w:val="21"/>
                      <w:szCs w:val="21"/>
                    </w:rPr>
                  </w:pPr>
                </w:p>
              </w:tc>
              <w:tc>
                <w:tcPr>
                  <w:tcW w:w="3763" w:type="dxa"/>
                  <w:vMerge w:val="continue"/>
                  <w:noWrap w:val="0"/>
                  <w:vAlign w:val="center"/>
                </w:tcPr>
                <w:p>
                  <w:pPr>
                    <w:spacing w:line="240" w:lineRule="auto"/>
                    <w:jc w:val="center"/>
                    <w:rPr>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vMerge w:val="restart"/>
                  <w:noWrap w:val="0"/>
                  <w:vAlign w:val="center"/>
                </w:tcPr>
                <w:p>
                  <w:pPr>
                    <w:spacing w:line="240" w:lineRule="auto"/>
                    <w:jc w:val="center"/>
                    <w:rPr>
                      <w:sz w:val="21"/>
                      <w:szCs w:val="21"/>
                    </w:rPr>
                  </w:pPr>
                  <w:r>
                    <w:rPr>
                      <w:sz w:val="21"/>
                      <w:szCs w:val="21"/>
                    </w:rPr>
                    <w:t>CO</w:t>
                  </w:r>
                </w:p>
              </w:tc>
              <w:tc>
                <w:tcPr>
                  <w:tcW w:w="1912" w:type="dxa"/>
                  <w:noWrap w:val="0"/>
                  <w:vAlign w:val="center"/>
                </w:tcPr>
                <w:p>
                  <w:pPr>
                    <w:spacing w:line="240" w:lineRule="auto"/>
                    <w:jc w:val="center"/>
                    <w:rPr>
                      <w:sz w:val="21"/>
                      <w:szCs w:val="21"/>
                    </w:rPr>
                  </w:pPr>
                  <w:r>
                    <w:rPr>
                      <w:sz w:val="21"/>
                      <w:szCs w:val="21"/>
                    </w:rPr>
                    <w:t>24小时平均</w:t>
                  </w:r>
                </w:p>
              </w:tc>
              <w:tc>
                <w:tcPr>
                  <w:tcW w:w="1167" w:type="dxa"/>
                  <w:noWrap w:val="0"/>
                  <w:vAlign w:val="center"/>
                </w:tcPr>
                <w:p>
                  <w:pPr>
                    <w:spacing w:line="240" w:lineRule="auto"/>
                    <w:jc w:val="center"/>
                    <w:rPr>
                      <w:sz w:val="21"/>
                      <w:szCs w:val="21"/>
                    </w:rPr>
                  </w:pPr>
                  <w:r>
                    <w:rPr>
                      <w:sz w:val="21"/>
                      <w:szCs w:val="21"/>
                    </w:rPr>
                    <w:t>4</w:t>
                  </w:r>
                </w:p>
              </w:tc>
              <w:tc>
                <w:tcPr>
                  <w:tcW w:w="833" w:type="dxa"/>
                  <w:vMerge w:val="restart"/>
                  <w:noWrap w:val="0"/>
                  <w:vAlign w:val="center"/>
                </w:tcPr>
                <w:p>
                  <w:pPr>
                    <w:spacing w:line="240" w:lineRule="auto"/>
                    <w:jc w:val="center"/>
                    <w:rPr>
                      <w:sz w:val="21"/>
                      <w:szCs w:val="21"/>
                    </w:rPr>
                  </w:pPr>
                  <w:r>
                    <w:rPr>
                      <w:sz w:val="21"/>
                      <w:szCs w:val="21"/>
                    </w:rPr>
                    <w:t>mg/m</w:t>
                  </w:r>
                  <w:r>
                    <w:rPr>
                      <w:sz w:val="21"/>
                      <w:szCs w:val="21"/>
                      <w:vertAlign w:val="superscript"/>
                    </w:rPr>
                    <w:t>3</w:t>
                  </w:r>
                </w:p>
              </w:tc>
              <w:tc>
                <w:tcPr>
                  <w:tcW w:w="3763" w:type="dxa"/>
                  <w:vMerge w:val="continue"/>
                  <w:noWrap w:val="0"/>
                  <w:vAlign w:val="center"/>
                </w:tcPr>
                <w:p>
                  <w:pPr>
                    <w:spacing w:line="240" w:lineRule="auto"/>
                    <w:jc w:val="center"/>
                    <w:rPr>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vMerge w:val="continue"/>
                  <w:noWrap w:val="0"/>
                  <w:vAlign w:val="center"/>
                </w:tcPr>
                <w:p>
                  <w:pPr>
                    <w:spacing w:line="240" w:lineRule="auto"/>
                    <w:jc w:val="center"/>
                    <w:rPr>
                      <w:sz w:val="21"/>
                      <w:szCs w:val="21"/>
                    </w:rPr>
                  </w:pPr>
                </w:p>
              </w:tc>
              <w:tc>
                <w:tcPr>
                  <w:tcW w:w="1912" w:type="dxa"/>
                  <w:noWrap w:val="0"/>
                  <w:vAlign w:val="center"/>
                </w:tcPr>
                <w:p>
                  <w:pPr>
                    <w:spacing w:line="240" w:lineRule="auto"/>
                    <w:jc w:val="center"/>
                    <w:rPr>
                      <w:sz w:val="21"/>
                      <w:szCs w:val="21"/>
                    </w:rPr>
                  </w:pPr>
                  <w:r>
                    <w:rPr>
                      <w:sz w:val="21"/>
                      <w:szCs w:val="21"/>
                    </w:rPr>
                    <w:t>1小时平均</w:t>
                  </w:r>
                </w:p>
              </w:tc>
              <w:tc>
                <w:tcPr>
                  <w:tcW w:w="1167" w:type="dxa"/>
                  <w:noWrap w:val="0"/>
                  <w:vAlign w:val="center"/>
                </w:tcPr>
                <w:p>
                  <w:pPr>
                    <w:spacing w:line="240" w:lineRule="auto"/>
                    <w:jc w:val="center"/>
                    <w:rPr>
                      <w:sz w:val="21"/>
                      <w:szCs w:val="21"/>
                    </w:rPr>
                  </w:pPr>
                  <w:r>
                    <w:rPr>
                      <w:sz w:val="21"/>
                      <w:szCs w:val="21"/>
                    </w:rPr>
                    <w:t>10</w:t>
                  </w:r>
                </w:p>
              </w:tc>
              <w:tc>
                <w:tcPr>
                  <w:tcW w:w="833" w:type="dxa"/>
                  <w:vMerge w:val="continue"/>
                  <w:noWrap w:val="0"/>
                  <w:vAlign w:val="center"/>
                </w:tcPr>
                <w:p>
                  <w:pPr>
                    <w:spacing w:line="240" w:lineRule="auto"/>
                    <w:jc w:val="center"/>
                    <w:rPr>
                      <w:sz w:val="21"/>
                      <w:szCs w:val="21"/>
                    </w:rPr>
                  </w:pPr>
                </w:p>
              </w:tc>
              <w:tc>
                <w:tcPr>
                  <w:tcW w:w="3763" w:type="dxa"/>
                  <w:vMerge w:val="continue"/>
                  <w:noWrap w:val="0"/>
                  <w:vAlign w:val="center"/>
                </w:tcPr>
                <w:p>
                  <w:pPr>
                    <w:spacing w:line="240" w:lineRule="auto"/>
                    <w:jc w:val="center"/>
                    <w:rPr>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vMerge w:val="restart"/>
                  <w:noWrap w:val="0"/>
                  <w:vAlign w:val="center"/>
                </w:tcPr>
                <w:p>
                  <w:pPr>
                    <w:spacing w:line="240" w:lineRule="auto"/>
                    <w:jc w:val="center"/>
                    <w:rPr>
                      <w:sz w:val="21"/>
                      <w:szCs w:val="21"/>
                    </w:rPr>
                  </w:pPr>
                  <w:r>
                    <w:rPr>
                      <w:sz w:val="21"/>
                      <w:szCs w:val="21"/>
                    </w:rPr>
                    <w:t>O</w:t>
                  </w:r>
                  <w:r>
                    <w:rPr>
                      <w:sz w:val="21"/>
                      <w:szCs w:val="21"/>
                      <w:vertAlign w:val="subscript"/>
                    </w:rPr>
                    <w:t>3</w:t>
                  </w:r>
                </w:p>
              </w:tc>
              <w:tc>
                <w:tcPr>
                  <w:tcW w:w="1912" w:type="dxa"/>
                  <w:noWrap w:val="0"/>
                  <w:vAlign w:val="center"/>
                </w:tcPr>
                <w:p>
                  <w:pPr>
                    <w:spacing w:line="240" w:lineRule="auto"/>
                    <w:jc w:val="center"/>
                    <w:rPr>
                      <w:sz w:val="21"/>
                      <w:szCs w:val="21"/>
                    </w:rPr>
                  </w:pPr>
                  <w:r>
                    <w:rPr>
                      <w:sz w:val="21"/>
                      <w:szCs w:val="21"/>
                    </w:rPr>
                    <w:t>日最大8小时平均</w:t>
                  </w:r>
                </w:p>
              </w:tc>
              <w:tc>
                <w:tcPr>
                  <w:tcW w:w="1167" w:type="dxa"/>
                  <w:noWrap w:val="0"/>
                  <w:vAlign w:val="center"/>
                </w:tcPr>
                <w:p>
                  <w:pPr>
                    <w:spacing w:line="240" w:lineRule="auto"/>
                    <w:jc w:val="center"/>
                    <w:rPr>
                      <w:sz w:val="21"/>
                      <w:szCs w:val="21"/>
                    </w:rPr>
                  </w:pPr>
                  <w:r>
                    <w:rPr>
                      <w:sz w:val="21"/>
                      <w:szCs w:val="21"/>
                    </w:rPr>
                    <w:t>160</w:t>
                  </w:r>
                </w:p>
              </w:tc>
              <w:tc>
                <w:tcPr>
                  <w:tcW w:w="833" w:type="dxa"/>
                  <w:vMerge w:val="restart"/>
                  <w:noWrap w:val="0"/>
                  <w:vAlign w:val="center"/>
                </w:tcPr>
                <w:p>
                  <w:pPr>
                    <w:spacing w:line="240" w:lineRule="auto"/>
                    <w:jc w:val="center"/>
                    <w:rPr>
                      <w:sz w:val="21"/>
                      <w:szCs w:val="21"/>
                    </w:rPr>
                  </w:pPr>
                  <w:r>
                    <w:rPr>
                      <w:sz w:val="21"/>
                      <w:szCs w:val="21"/>
                    </w:rPr>
                    <w:t>μg/m</w:t>
                  </w:r>
                  <w:r>
                    <w:rPr>
                      <w:sz w:val="21"/>
                      <w:szCs w:val="21"/>
                      <w:vertAlign w:val="superscript"/>
                    </w:rPr>
                    <w:t>3</w:t>
                  </w:r>
                </w:p>
              </w:tc>
              <w:tc>
                <w:tcPr>
                  <w:tcW w:w="3763" w:type="dxa"/>
                  <w:vMerge w:val="continue"/>
                  <w:noWrap w:val="0"/>
                  <w:vAlign w:val="center"/>
                </w:tcPr>
                <w:p>
                  <w:pPr>
                    <w:spacing w:line="240" w:lineRule="auto"/>
                    <w:jc w:val="center"/>
                    <w:rPr>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vMerge w:val="continue"/>
                  <w:noWrap w:val="0"/>
                  <w:vAlign w:val="center"/>
                </w:tcPr>
                <w:p>
                  <w:pPr>
                    <w:spacing w:line="240" w:lineRule="auto"/>
                    <w:jc w:val="center"/>
                    <w:rPr>
                      <w:sz w:val="21"/>
                      <w:szCs w:val="21"/>
                    </w:rPr>
                  </w:pPr>
                </w:p>
              </w:tc>
              <w:tc>
                <w:tcPr>
                  <w:tcW w:w="1912" w:type="dxa"/>
                  <w:noWrap w:val="0"/>
                  <w:vAlign w:val="center"/>
                </w:tcPr>
                <w:p>
                  <w:pPr>
                    <w:spacing w:line="240" w:lineRule="auto"/>
                    <w:jc w:val="center"/>
                    <w:rPr>
                      <w:sz w:val="21"/>
                      <w:szCs w:val="21"/>
                    </w:rPr>
                  </w:pPr>
                  <w:r>
                    <w:rPr>
                      <w:sz w:val="21"/>
                      <w:szCs w:val="21"/>
                    </w:rPr>
                    <w:t>1小时平均</w:t>
                  </w:r>
                </w:p>
              </w:tc>
              <w:tc>
                <w:tcPr>
                  <w:tcW w:w="1167" w:type="dxa"/>
                  <w:noWrap w:val="0"/>
                  <w:vAlign w:val="center"/>
                </w:tcPr>
                <w:p>
                  <w:pPr>
                    <w:spacing w:line="240" w:lineRule="auto"/>
                    <w:jc w:val="center"/>
                    <w:rPr>
                      <w:sz w:val="21"/>
                      <w:szCs w:val="21"/>
                    </w:rPr>
                  </w:pPr>
                  <w:r>
                    <w:rPr>
                      <w:sz w:val="21"/>
                      <w:szCs w:val="21"/>
                    </w:rPr>
                    <w:t>200</w:t>
                  </w:r>
                </w:p>
              </w:tc>
              <w:tc>
                <w:tcPr>
                  <w:tcW w:w="833" w:type="dxa"/>
                  <w:vMerge w:val="continue"/>
                  <w:noWrap w:val="0"/>
                  <w:vAlign w:val="center"/>
                </w:tcPr>
                <w:p>
                  <w:pPr>
                    <w:spacing w:line="240" w:lineRule="auto"/>
                    <w:jc w:val="center"/>
                    <w:rPr>
                      <w:sz w:val="21"/>
                      <w:szCs w:val="21"/>
                    </w:rPr>
                  </w:pPr>
                </w:p>
              </w:tc>
              <w:tc>
                <w:tcPr>
                  <w:tcW w:w="3763" w:type="dxa"/>
                  <w:vMerge w:val="continue"/>
                  <w:noWrap w:val="0"/>
                  <w:vAlign w:val="center"/>
                </w:tcPr>
                <w:p>
                  <w:pPr>
                    <w:spacing w:line="240" w:lineRule="auto"/>
                    <w:jc w:val="center"/>
                    <w:rPr>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vMerge w:val="restart"/>
                  <w:noWrap w:val="0"/>
                  <w:vAlign w:val="center"/>
                </w:tcPr>
                <w:p>
                  <w:pPr>
                    <w:spacing w:line="240" w:lineRule="auto"/>
                    <w:jc w:val="center"/>
                    <w:rPr>
                      <w:sz w:val="21"/>
                      <w:szCs w:val="21"/>
                    </w:rPr>
                  </w:pPr>
                  <w:r>
                    <w:rPr>
                      <w:sz w:val="21"/>
                      <w:szCs w:val="21"/>
                    </w:rPr>
                    <w:t>PM</w:t>
                  </w:r>
                  <w:r>
                    <w:rPr>
                      <w:sz w:val="21"/>
                      <w:szCs w:val="21"/>
                      <w:vertAlign w:val="subscript"/>
                    </w:rPr>
                    <w:t>10</w:t>
                  </w:r>
                </w:p>
              </w:tc>
              <w:tc>
                <w:tcPr>
                  <w:tcW w:w="1912" w:type="dxa"/>
                  <w:noWrap w:val="0"/>
                  <w:vAlign w:val="center"/>
                </w:tcPr>
                <w:p>
                  <w:pPr>
                    <w:spacing w:line="240" w:lineRule="auto"/>
                    <w:jc w:val="center"/>
                    <w:rPr>
                      <w:sz w:val="21"/>
                      <w:szCs w:val="21"/>
                    </w:rPr>
                  </w:pPr>
                  <w:r>
                    <w:rPr>
                      <w:sz w:val="21"/>
                      <w:szCs w:val="21"/>
                    </w:rPr>
                    <w:t>年平均</w:t>
                  </w:r>
                </w:p>
              </w:tc>
              <w:tc>
                <w:tcPr>
                  <w:tcW w:w="1167" w:type="dxa"/>
                  <w:noWrap w:val="0"/>
                  <w:vAlign w:val="center"/>
                </w:tcPr>
                <w:p>
                  <w:pPr>
                    <w:spacing w:line="240" w:lineRule="auto"/>
                    <w:jc w:val="center"/>
                    <w:rPr>
                      <w:sz w:val="21"/>
                      <w:szCs w:val="21"/>
                    </w:rPr>
                  </w:pPr>
                  <w:r>
                    <w:rPr>
                      <w:sz w:val="21"/>
                      <w:szCs w:val="21"/>
                    </w:rPr>
                    <w:t>70</w:t>
                  </w:r>
                </w:p>
              </w:tc>
              <w:tc>
                <w:tcPr>
                  <w:tcW w:w="833" w:type="dxa"/>
                  <w:vMerge w:val="continue"/>
                  <w:noWrap w:val="0"/>
                  <w:vAlign w:val="center"/>
                </w:tcPr>
                <w:p>
                  <w:pPr>
                    <w:spacing w:line="240" w:lineRule="auto"/>
                    <w:jc w:val="center"/>
                    <w:rPr>
                      <w:sz w:val="21"/>
                      <w:szCs w:val="21"/>
                    </w:rPr>
                  </w:pPr>
                </w:p>
              </w:tc>
              <w:tc>
                <w:tcPr>
                  <w:tcW w:w="3763" w:type="dxa"/>
                  <w:vMerge w:val="continue"/>
                  <w:noWrap w:val="0"/>
                  <w:vAlign w:val="center"/>
                </w:tcPr>
                <w:p>
                  <w:pPr>
                    <w:spacing w:line="240" w:lineRule="auto"/>
                    <w:jc w:val="center"/>
                    <w:rPr>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vMerge w:val="continue"/>
                  <w:noWrap w:val="0"/>
                  <w:vAlign w:val="center"/>
                </w:tcPr>
                <w:p>
                  <w:pPr>
                    <w:spacing w:line="240" w:lineRule="auto"/>
                    <w:jc w:val="center"/>
                    <w:rPr>
                      <w:sz w:val="21"/>
                      <w:szCs w:val="21"/>
                    </w:rPr>
                  </w:pPr>
                </w:p>
              </w:tc>
              <w:tc>
                <w:tcPr>
                  <w:tcW w:w="1912" w:type="dxa"/>
                  <w:noWrap w:val="0"/>
                  <w:vAlign w:val="center"/>
                </w:tcPr>
                <w:p>
                  <w:pPr>
                    <w:spacing w:line="240" w:lineRule="auto"/>
                    <w:jc w:val="center"/>
                    <w:rPr>
                      <w:sz w:val="21"/>
                      <w:szCs w:val="21"/>
                    </w:rPr>
                  </w:pPr>
                  <w:r>
                    <w:rPr>
                      <w:sz w:val="21"/>
                      <w:szCs w:val="21"/>
                    </w:rPr>
                    <w:t>24小时平均</w:t>
                  </w:r>
                </w:p>
              </w:tc>
              <w:tc>
                <w:tcPr>
                  <w:tcW w:w="1167" w:type="dxa"/>
                  <w:noWrap w:val="0"/>
                  <w:vAlign w:val="center"/>
                </w:tcPr>
                <w:p>
                  <w:pPr>
                    <w:spacing w:line="240" w:lineRule="auto"/>
                    <w:jc w:val="center"/>
                    <w:rPr>
                      <w:sz w:val="21"/>
                      <w:szCs w:val="21"/>
                    </w:rPr>
                  </w:pPr>
                  <w:r>
                    <w:rPr>
                      <w:sz w:val="21"/>
                      <w:szCs w:val="21"/>
                    </w:rPr>
                    <w:t>150</w:t>
                  </w:r>
                </w:p>
              </w:tc>
              <w:tc>
                <w:tcPr>
                  <w:tcW w:w="833" w:type="dxa"/>
                  <w:vMerge w:val="continue"/>
                  <w:noWrap w:val="0"/>
                  <w:vAlign w:val="center"/>
                </w:tcPr>
                <w:p>
                  <w:pPr>
                    <w:spacing w:line="240" w:lineRule="auto"/>
                    <w:jc w:val="center"/>
                    <w:rPr>
                      <w:sz w:val="21"/>
                      <w:szCs w:val="21"/>
                    </w:rPr>
                  </w:pPr>
                </w:p>
              </w:tc>
              <w:tc>
                <w:tcPr>
                  <w:tcW w:w="3763" w:type="dxa"/>
                  <w:vMerge w:val="continue"/>
                  <w:noWrap w:val="0"/>
                  <w:vAlign w:val="center"/>
                </w:tcPr>
                <w:p>
                  <w:pPr>
                    <w:spacing w:line="240" w:lineRule="auto"/>
                    <w:jc w:val="center"/>
                    <w:rPr>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vMerge w:val="restart"/>
                  <w:noWrap w:val="0"/>
                  <w:vAlign w:val="center"/>
                </w:tcPr>
                <w:p>
                  <w:pPr>
                    <w:spacing w:line="240" w:lineRule="auto"/>
                    <w:jc w:val="center"/>
                    <w:rPr>
                      <w:sz w:val="21"/>
                      <w:szCs w:val="21"/>
                    </w:rPr>
                  </w:pPr>
                  <w:r>
                    <w:rPr>
                      <w:sz w:val="21"/>
                      <w:szCs w:val="21"/>
                    </w:rPr>
                    <w:t>PM</w:t>
                  </w:r>
                  <w:r>
                    <w:rPr>
                      <w:sz w:val="21"/>
                      <w:szCs w:val="21"/>
                      <w:vertAlign w:val="subscript"/>
                    </w:rPr>
                    <w:t>2.5</w:t>
                  </w:r>
                </w:p>
              </w:tc>
              <w:tc>
                <w:tcPr>
                  <w:tcW w:w="1912" w:type="dxa"/>
                  <w:noWrap w:val="0"/>
                  <w:vAlign w:val="center"/>
                </w:tcPr>
                <w:p>
                  <w:pPr>
                    <w:spacing w:line="240" w:lineRule="auto"/>
                    <w:jc w:val="center"/>
                    <w:rPr>
                      <w:sz w:val="21"/>
                      <w:szCs w:val="21"/>
                    </w:rPr>
                  </w:pPr>
                  <w:r>
                    <w:rPr>
                      <w:sz w:val="21"/>
                      <w:szCs w:val="21"/>
                    </w:rPr>
                    <w:t>年平均</w:t>
                  </w:r>
                </w:p>
              </w:tc>
              <w:tc>
                <w:tcPr>
                  <w:tcW w:w="1167" w:type="dxa"/>
                  <w:noWrap w:val="0"/>
                  <w:vAlign w:val="center"/>
                </w:tcPr>
                <w:p>
                  <w:pPr>
                    <w:spacing w:line="240" w:lineRule="auto"/>
                    <w:jc w:val="center"/>
                    <w:rPr>
                      <w:sz w:val="21"/>
                      <w:szCs w:val="21"/>
                    </w:rPr>
                  </w:pPr>
                  <w:r>
                    <w:rPr>
                      <w:sz w:val="21"/>
                      <w:szCs w:val="21"/>
                    </w:rPr>
                    <w:t>35</w:t>
                  </w:r>
                </w:p>
              </w:tc>
              <w:tc>
                <w:tcPr>
                  <w:tcW w:w="833" w:type="dxa"/>
                  <w:vMerge w:val="continue"/>
                  <w:noWrap w:val="0"/>
                  <w:vAlign w:val="center"/>
                </w:tcPr>
                <w:p>
                  <w:pPr>
                    <w:spacing w:line="240" w:lineRule="auto"/>
                    <w:jc w:val="center"/>
                    <w:rPr>
                      <w:sz w:val="21"/>
                      <w:szCs w:val="21"/>
                    </w:rPr>
                  </w:pPr>
                </w:p>
              </w:tc>
              <w:tc>
                <w:tcPr>
                  <w:tcW w:w="3763" w:type="dxa"/>
                  <w:vMerge w:val="continue"/>
                  <w:noWrap w:val="0"/>
                  <w:vAlign w:val="center"/>
                </w:tcPr>
                <w:p>
                  <w:pPr>
                    <w:spacing w:line="240" w:lineRule="auto"/>
                    <w:jc w:val="center"/>
                    <w:rPr>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vMerge w:val="continue"/>
                  <w:noWrap w:val="0"/>
                  <w:vAlign w:val="center"/>
                </w:tcPr>
                <w:p>
                  <w:pPr>
                    <w:spacing w:line="240" w:lineRule="auto"/>
                    <w:jc w:val="center"/>
                    <w:rPr>
                      <w:sz w:val="21"/>
                      <w:szCs w:val="21"/>
                    </w:rPr>
                  </w:pPr>
                </w:p>
              </w:tc>
              <w:tc>
                <w:tcPr>
                  <w:tcW w:w="1912" w:type="dxa"/>
                  <w:noWrap w:val="0"/>
                  <w:vAlign w:val="center"/>
                </w:tcPr>
                <w:p>
                  <w:pPr>
                    <w:spacing w:line="240" w:lineRule="auto"/>
                    <w:jc w:val="center"/>
                    <w:rPr>
                      <w:sz w:val="21"/>
                      <w:szCs w:val="21"/>
                    </w:rPr>
                  </w:pPr>
                  <w:r>
                    <w:rPr>
                      <w:sz w:val="21"/>
                      <w:szCs w:val="21"/>
                    </w:rPr>
                    <w:t>24小时平均</w:t>
                  </w:r>
                </w:p>
              </w:tc>
              <w:tc>
                <w:tcPr>
                  <w:tcW w:w="1167" w:type="dxa"/>
                  <w:noWrap w:val="0"/>
                  <w:vAlign w:val="center"/>
                </w:tcPr>
                <w:p>
                  <w:pPr>
                    <w:spacing w:line="240" w:lineRule="auto"/>
                    <w:jc w:val="center"/>
                    <w:rPr>
                      <w:sz w:val="21"/>
                      <w:szCs w:val="21"/>
                    </w:rPr>
                  </w:pPr>
                  <w:r>
                    <w:rPr>
                      <w:sz w:val="21"/>
                      <w:szCs w:val="21"/>
                    </w:rPr>
                    <w:t>75</w:t>
                  </w:r>
                </w:p>
              </w:tc>
              <w:tc>
                <w:tcPr>
                  <w:tcW w:w="833" w:type="dxa"/>
                  <w:vMerge w:val="continue"/>
                  <w:noWrap w:val="0"/>
                  <w:vAlign w:val="center"/>
                </w:tcPr>
                <w:p>
                  <w:pPr>
                    <w:spacing w:line="240" w:lineRule="auto"/>
                    <w:jc w:val="center"/>
                    <w:rPr>
                      <w:sz w:val="21"/>
                      <w:szCs w:val="21"/>
                    </w:rPr>
                  </w:pPr>
                </w:p>
              </w:tc>
              <w:tc>
                <w:tcPr>
                  <w:tcW w:w="3763" w:type="dxa"/>
                  <w:vMerge w:val="continue"/>
                  <w:noWrap w:val="0"/>
                  <w:vAlign w:val="center"/>
                </w:tcPr>
                <w:p>
                  <w:pPr>
                    <w:spacing w:line="240" w:lineRule="auto"/>
                    <w:jc w:val="center"/>
                    <w:rPr>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noWrap w:val="0"/>
                  <w:vAlign w:val="center"/>
                </w:tcPr>
                <w:p>
                  <w:pPr>
                    <w:spacing w:line="240" w:lineRule="auto"/>
                    <w:jc w:val="center"/>
                    <w:rPr>
                      <w:sz w:val="21"/>
                      <w:szCs w:val="21"/>
                    </w:rPr>
                  </w:pPr>
                  <w:r>
                    <w:rPr>
                      <w:sz w:val="21"/>
                      <w:szCs w:val="21"/>
                    </w:rPr>
                    <w:t>非甲烷总烃</w:t>
                  </w:r>
                </w:p>
              </w:tc>
              <w:tc>
                <w:tcPr>
                  <w:tcW w:w="1912" w:type="dxa"/>
                  <w:noWrap w:val="0"/>
                  <w:vAlign w:val="center"/>
                </w:tcPr>
                <w:p>
                  <w:pPr>
                    <w:spacing w:line="240" w:lineRule="auto"/>
                    <w:jc w:val="center"/>
                    <w:rPr>
                      <w:sz w:val="21"/>
                      <w:szCs w:val="21"/>
                    </w:rPr>
                  </w:pPr>
                  <w:r>
                    <w:rPr>
                      <w:sz w:val="21"/>
                      <w:szCs w:val="21"/>
                    </w:rPr>
                    <w:t>1次值</w:t>
                  </w:r>
                </w:p>
              </w:tc>
              <w:tc>
                <w:tcPr>
                  <w:tcW w:w="1167" w:type="dxa"/>
                  <w:noWrap w:val="0"/>
                  <w:vAlign w:val="center"/>
                </w:tcPr>
                <w:p>
                  <w:pPr>
                    <w:spacing w:line="240" w:lineRule="auto"/>
                    <w:jc w:val="center"/>
                    <w:rPr>
                      <w:color w:val="FF0000"/>
                      <w:sz w:val="21"/>
                      <w:szCs w:val="21"/>
                    </w:rPr>
                  </w:pPr>
                  <w:r>
                    <w:rPr>
                      <w:sz w:val="21"/>
                      <w:szCs w:val="21"/>
                    </w:rPr>
                    <w:t>2.0</w:t>
                  </w:r>
                </w:p>
              </w:tc>
              <w:tc>
                <w:tcPr>
                  <w:tcW w:w="833" w:type="dxa"/>
                  <w:noWrap w:val="0"/>
                  <w:vAlign w:val="center"/>
                </w:tcPr>
                <w:p>
                  <w:pPr>
                    <w:spacing w:line="240" w:lineRule="auto"/>
                    <w:jc w:val="center"/>
                    <w:rPr>
                      <w:sz w:val="21"/>
                      <w:szCs w:val="21"/>
                    </w:rPr>
                  </w:pPr>
                  <w:r>
                    <w:rPr>
                      <w:sz w:val="21"/>
                      <w:szCs w:val="21"/>
                    </w:rPr>
                    <w:t>mg/m</w:t>
                  </w:r>
                  <w:r>
                    <w:rPr>
                      <w:sz w:val="21"/>
                      <w:szCs w:val="21"/>
                      <w:vertAlign w:val="superscript"/>
                    </w:rPr>
                    <w:t>3</w:t>
                  </w:r>
                </w:p>
              </w:tc>
              <w:tc>
                <w:tcPr>
                  <w:tcW w:w="3763" w:type="dxa"/>
                  <w:noWrap w:val="0"/>
                  <w:vAlign w:val="center"/>
                </w:tcPr>
                <w:p>
                  <w:pPr>
                    <w:spacing w:line="240" w:lineRule="auto"/>
                    <w:jc w:val="center"/>
                    <w:rPr>
                      <w:sz w:val="21"/>
                      <w:szCs w:val="21"/>
                    </w:rPr>
                  </w:pPr>
                  <w:r>
                    <w:rPr>
                      <w:sz w:val="21"/>
                      <w:szCs w:val="21"/>
                    </w:rPr>
                    <w:t>参照《大气污染物综合排放标准详解》</w:t>
                  </w:r>
                </w:p>
              </w:tc>
            </w:tr>
          </w:tbl>
          <w:p>
            <w:pPr>
              <w:spacing w:line="460" w:lineRule="exact"/>
              <w:ind w:firstLine="480" w:firstLineChars="200"/>
            </w:pPr>
            <w:r>
              <w:t>2、水环境质量标准</w:t>
            </w:r>
          </w:p>
          <w:p>
            <w:pPr>
              <w:spacing w:line="460" w:lineRule="exact"/>
              <w:ind w:firstLine="480" w:firstLineChars="200"/>
            </w:pPr>
            <w:r>
              <w:t>京杭运河苏州高新区段执行《地表水环境质量标准》(GB3838-2002)Ⅳ类水质标准（2020年）。</w:t>
            </w:r>
          </w:p>
          <w:p>
            <w:pPr>
              <w:spacing w:line="240" w:lineRule="auto"/>
              <w:jc w:val="center"/>
              <w:rPr>
                <w:b/>
                <w:bCs/>
                <w:sz w:val="21"/>
                <w:szCs w:val="21"/>
              </w:rPr>
            </w:pPr>
            <w:r>
              <w:rPr>
                <w:b/>
                <w:bCs/>
                <w:sz w:val="21"/>
                <w:szCs w:val="21"/>
              </w:rPr>
              <w:t>表4-2  环境质量标准（pH无量纲，其余mg/L）</w:t>
            </w:r>
          </w:p>
          <w:tbl>
            <w:tblPr>
              <w:tblStyle w:val="2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77"/>
              <w:gridCol w:w="894"/>
              <w:gridCol w:w="1263"/>
              <w:gridCol w:w="1008"/>
              <w:gridCol w:w="1081"/>
              <w:gridCol w:w="882"/>
              <w:gridCol w:w="839"/>
              <w:gridCol w:w="110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28" w:hRule="atLeast"/>
                <w:jc w:val="center"/>
              </w:trPr>
              <w:tc>
                <w:tcPr>
                  <w:tcW w:w="1877" w:type="dxa"/>
                  <w:noWrap w:val="0"/>
                  <w:vAlign w:val="center"/>
                </w:tcPr>
                <w:p>
                  <w:pPr>
                    <w:spacing w:line="240" w:lineRule="auto"/>
                    <w:jc w:val="center"/>
                    <w:rPr>
                      <w:sz w:val="21"/>
                      <w:szCs w:val="21"/>
                    </w:rPr>
                  </w:pPr>
                  <w:r>
                    <w:rPr>
                      <w:sz w:val="21"/>
                      <w:szCs w:val="21"/>
                    </w:rPr>
                    <w:t>污染物</w:t>
                  </w:r>
                </w:p>
              </w:tc>
              <w:tc>
                <w:tcPr>
                  <w:tcW w:w="894" w:type="dxa"/>
                  <w:noWrap w:val="0"/>
                  <w:vAlign w:val="center"/>
                </w:tcPr>
                <w:p>
                  <w:pPr>
                    <w:spacing w:line="240" w:lineRule="auto"/>
                    <w:jc w:val="center"/>
                    <w:rPr>
                      <w:sz w:val="21"/>
                      <w:szCs w:val="21"/>
                    </w:rPr>
                  </w:pPr>
                  <w:r>
                    <w:rPr>
                      <w:sz w:val="21"/>
                      <w:szCs w:val="21"/>
                    </w:rPr>
                    <w:t>pH</w:t>
                  </w:r>
                </w:p>
              </w:tc>
              <w:tc>
                <w:tcPr>
                  <w:tcW w:w="1263" w:type="dxa"/>
                  <w:noWrap w:val="0"/>
                  <w:vAlign w:val="center"/>
                </w:tcPr>
                <w:p>
                  <w:pPr>
                    <w:spacing w:line="240" w:lineRule="auto"/>
                    <w:jc w:val="center"/>
                    <w:rPr>
                      <w:sz w:val="21"/>
                      <w:szCs w:val="21"/>
                    </w:rPr>
                  </w:pPr>
                  <w:r>
                    <w:rPr>
                      <w:sz w:val="21"/>
                      <w:szCs w:val="21"/>
                    </w:rPr>
                    <w:t>COD</w:t>
                  </w:r>
                </w:p>
              </w:tc>
              <w:tc>
                <w:tcPr>
                  <w:tcW w:w="1008" w:type="dxa"/>
                  <w:noWrap w:val="0"/>
                  <w:vAlign w:val="center"/>
                </w:tcPr>
                <w:p>
                  <w:pPr>
                    <w:spacing w:line="240" w:lineRule="auto"/>
                    <w:jc w:val="center"/>
                    <w:rPr>
                      <w:sz w:val="21"/>
                      <w:szCs w:val="21"/>
                    </w:rPr>
                  </w:pPr>
                  <w:r>
                    <w:rPr>
                      <w:sz w:val="21"/>
                      <w:szCs w:val="21"/>
                    </w:rPr>
                    <w:t>氨氮</w:t>
                  </w:r>
                </w:p>
              </w:tc>
              <w:tc>
                <w:tcPr>
                  <w:tcW w:w="1081" w:type="dxa"/>
                  <w:noWrap w:val="0"/>
                  <w:vAlign w:val="center"/>
                </w:tcPr>
                <w:p>
                  <w:pPr>
                    <w:spacing w:line="240" w:lineRule="auto"/>
                    <w:jc w:val="center"/>
                    <w:rPr>
                      <w:sz w:val="21"/>
                      <w:szCs w:val="21"/>
                    </w:rPr>
                  </w:pPr>
                  <w:r>
                    <w:rPr>
                      <w:sz w:val="21"/>
                      <w:szCs w:val="21"/>
                    </w:rPr>
                    <w:t>总磷</w:t>
                  </w:r>
                </w:p>
              </w:tc>
              <w:tc>
                <w:tcPr>
                  <w:tcW w:w="882" w:type="dxa"/>
                  <w:noWrap w:val="0"/>
                  <w:vAlign w:val="center"/>
                </w:tcPr>
                <w:p>
                  <w:pPr>
                    <w:spacing w:line="240" w:lineRule="auto"/>
                    <w:jc w:val="center"/>
                    <w:rPr>
                      <w:sz w:val="21"/>
                      <w:szCs w:val="21"/>
                    </w:rPr>
                  </w:pPr>
                  <w:r>
                    <w:rPr>
                      <w:sz w:val="21"/>
                      <w:szCs w:val="21"/>
                    </w:rPr>
                    <w:t>SS</w:t>
                  </w:r>
                </w:p>
              </w:tc>
              <w:tc>
                <w:tcPr>
                  <w:tcW w:w="839" w:type="dxa"/>
                  <w:noWrap w:val="0"/>
                  <w:vAlign w:val="center"/>
                </w:tcPr>
                <w:p>
                  <w:pPr>
                    <w:spacing w:line="240" w:lineRule="auto"/>
                    <w:jc w:val="center"/>
                    <w:rPr>
                      <w:sz w:val="21"/>
                      <w:szCs w:val="21"/>
                    </w:rPr>
                  </w:pPr>
                  <w:r>
                    <w:rPr>
                      <w:sz w:val="21"/>
                      <w:szCs w:val="21"/>
                    </w:rPr>
                    <w:t>总氮</w:t>
                  </w:r>
                </w:p>
              </w:tc>
              <w:tc>
                <w:tcPr>
                  <w:tcW w:w="1104" w:type="dxa"/>
                  <w:noWrap w:val="0"/>
                  <w:vAlign w:val="center"/>
                </w:tcPr>
                <w:p>
                  <w:pPr>
                    <w:spacing w:line="240" w:lineRule="auto"/>
                    <w:jc w:val="center"/>
                    <w:rPr>
                      <w:sz w:val="21"/>
                      <w:szCs w:val="21"/>
                    </w:rPr>
                  </w:pPr>
                  <w:r>
                    <w:rPr>
                      <w:sz w:val="21"/>
                      <w:szCs w:val="21"/>
                    </w:rPr>
                    <w:t>石油类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1877" w:type="dxa"/>
                  <w:noWrap w:val="0"/>
                  <w:vAlign w:val="center"/>
                </w:tcPr>
                <w:p>
                  <w:pPr>
                    <w:spacing w:line="240" w:lineRule="auto"/>
                    <w:ind w:left="-107" w:right="-43" w:rightChars="-18"/>
                    <w:jc w:val="center"/>
                    <w:rPr>
                      <w:sz w:val="21"/>
                      <w:szCs w:val="21"/>
                    </w:rPr>
                  </w:pPr>
                  <w:r>
                    <w:rPr>
                      <w:sz w:val="21"/>
                      <w:szCs w:val="21"/>
                    </w:rPr>
                    <w:t>Ⅳ类标准限值</w:t>
                  </w:r>
                </w:p>
              </w:tc>
              <w:tc>
                <w:tcPr>
                  <w:tcW w:w="894" w:type="dxa"/>
                  <w:noWrap w:val="0"/>
                  <w:vAlign w:val="center"/>
                </w:tcPr>
                <w:p>
                  <w:pPr>
                    <w:spacing w:line="240" w:lineRule="auto"/>
                    <w:jc w:val="center"/>
                    <w:rPr>
                      <w:sz w:val="21"/>
                      <w:szCs w:val="21"/>
                    </w:rPr>
                  </w:pPr>
                  <w:r>
                    <w:rPr>
                      <w:sz w:val="21"/>
                      <w:szCs w:val="21"/>
                    </w:rPr>
                    <w:t>6-9</w:t>
                  </w:r>
                </w:p>
              </w:tc>
              <w:tc>
                <w:tcPr>
                  <w:tcW w:w="1263" w:type="dxa"/>
                  <w:noWrap w:val="0"/>
                  <w:vAlign w:val="center"/>
                </w:tcPr>
                <w:p>
                  <w:pPr>
                    <w:spacing w:line="240" w:lineRule="auto"/>
                    <w:jc w:val="center"/>
                    <w:rPr>
                      <w:sz w:val="21"/>
                      <w:szCs w:val="21"/>
                    </w:rPr>
                  </w:pPr>
                  <w:r>
                    <w:rPr>
                      <w:sz w:val="21"/>
                      <w:szCs w:val="21"/>
                    </w:rPr>
                    <w:t>30</w:t>
                  </w:r>
                </w:p>
              </w:tc>
              <w:tc>
                <w:tcPr>
                  <w:tcW w:w="1008" w:type="dxa"/>
                  <w:noWrap w:val="0"/>
                  <w:vAlign w:val="center"/>
                </w:tcPr>
                <w:p>
                  <w:pPr>
                    <w:spacing w:line="240" w:lineRule="auto"/>
                    <w:jc w:val="center"/>
                    <w:rPr>
                      <w:sz w:val="21"/>
                      <w:szCs w:val="21"/>
                    </w:rPr>
                  </w:pPr>
                  <w:r>
                    <w:rPr>
                      <w:sz w:val="21"/>
                      <w:szCs w:val="21"/>
                    </w:rPr>
                    <w:t>1.5</w:t>
                  </w:r>
                </w:p>
              </w:tc>
              <w:tc>
                <w:tcPr>
                  <w:tcW w:w="1081" w:type="dxa"/>
                  <w:noWrap w:val="0"/>
                  <w:vAlign w:val="center"/>
                </w:tcPr>
                <w:p>
                  <w:pPr>
                    <w:spacing w:line="240" w:lineRule="auto"/>
                    <w:jc w:val="center"/>
                    <w:rPr>
                      <w:sz w:val="21"/>
                      <w:szCs w:val="21"/>
                    </w:rPr>
                  </w:pPr>
                  <w:r>
                    <w:rPr>
                      <w:sz w:val="21"/>
                      <w:szCs w:val="21"/>
                    </w:rPr>
                    <w:t>0.3</w:t>
                  </w:r>
                </w:p>
              </w:tc>
              <w:tc>
                <w:tcPr>
                  <w:tcW w:w="882" w:type="dxa"/>
                  <w:noWrap w:val="0"/>
                  <w:vAlign w:val="center"/>
                </w:tcPr>
                <w:p>
                  <w:pPr>
                    <w:spacing w:line="240" w:lineRule="auto"/>
                    <w:jc w:val="center"/>
                    <w:rPr>
                      <w:sz w:val="21"/>
                      <w:szCs w:val="21"/>
                    </w:rPr>
                  </w:pPr>
                  <w:r>
                    <w:rPr>
                      <w:sz w:val="21"/>
                      <w:szCs w:val="21"/>
                    </w:rPr>
                    <w:t>60</w:t>
                  </w:r>
                </w:p>
              </w:tc>
              <w:tc>
                <w:tcPr>
                  <w:tcW w:w="839" w:type="dxa"/>
                  <w:noWrap w:val="0"/>
                  <w:vAlign w:val="center"/>
                </w:tcPr>
                <w:p>
                  <w:pPr>
                    <w:spacing w:line="240" w:lineRule="auto"/>
                    <w:jc w:val="center"/>
                    <w:rPr>
                      <w:sz w:val="21"/>
                      <w:szCs w:val="21"/>
                    </w:rPr>
                  </w:pPr>
                  <w:r>
                    <w:rPr>
                      <w:sz w:val="21"/>
                      <w:szCs w:val="21"/>
                    </w:rPr>
                    <w:t>1.5</w:t>
                  </w:r>
                </w:p>
              </w:tc>
              <w:tc>
                <w:tcPr>
                  <w:tcW w:w="1104" w:type="dxa"/>
                  <w:noWrap w:val="0"/>
                  <w:vAlign w:val="center"/>
                </w:tcPr>
                <w:p>
                  <w:pPr>
                    <w:spacing w:line="240" w:lineRule="auto"/>
                    <w:jc w:val="center"/>
                    <w:rPr>
                      <w:sz w:val="21"/>
                      <w:szCs w:val="21"/>
                    </w:rPr>
                  </w:pPr>
                  <w:r>
                    <w:rPr>
                      <w:sz w:val="21"/>
                      <w:szCs w:val="21"/>
                    </w:rPr>
                    <w:t>0.5</w:t>
                  </w:r>
                </w:p>
              </w:tc>
            </w:tr>
          </w:tbl>
          <w:p>
            <w:pPr>
              <w:spacing w:line="280" w:lineRule="exact"/>
            </w:pPr>
            <w:r>
              <w:t>注：*SS参照水利部《地表水资源标准》（SL63-94）四级标准</w:t>
            </w:r>
          </w:p>
          <w:p>
            <w:pPr>
              <w:spacing w:line="500" w:lineRule="exact"/>
              <w:ind w:firstLine="480" w:firstLineChars="200"/>
            </w:pPr>
            <w:r>
              <w:t>（3）声环境质量标准</w:t>
            </w:r>
          </w:p>
          <w:p>
            <w:pPr>
              <w:spacing w:line="500" w:lineRule="exact"/>
              <w:ind w:firstLine="480" w:firstLineChars="200"/>
            </w:pPr>
            <w:r>
              <w:t>项目位于高新区3类声环境功能区，声环境执行《声环境质量标准》（GB3096-2008）表1中3类标准。</w:t>
            </w:r>
          </w:p>
          <w:p>
            <w:pPr>
              <w:spacing w:line="240" w:lineRule="auto"/>
              <w:jc w:val="center"/>
              <w:rPr>
                <w:b/>
                <w:sz w:val="21"/>
                <w:szCs w:val="21"/>
              </w:rPr>
            </w:pPr>
            <w:r>
              <w:rPr>
                <w:b/>
                <w:sz w:val="21"/>
                <w:szCs w:val="21"/>
              </w:rPr>
              <w:t>表4-3 声环境质量标准限值表</w:t>
            </w:r>
          </w:p>
          <w:tbl>
            <w:tblPr>
              <w:tblStyle w:val="2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21"/>
              <w:gridCol w:w="3920"/>
              <w:gridCol w:w="1169"/>
              <w:gridCol w:w="921"/>
              <w:gridCol w:w="532"/>
              <w:gridCol w:w="58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1" w:type="dxa"/>
                  <w:vMerge w:val="restart"/>
                  <w:noWrap w:val="0"/>
                  <w:vAlign w:val="center"/>
                </w:tcPr>
                <w:p>
                  <w:pPr>
                    <w:spacing w:line="240" w:lineRule="auto"/>
                    <w:jc w:val="center"/>
                    <w:rPr>
                      <w:sz w:val="21"/>
                      <w:szCs w:val="21"/>
                    </w:rPr>
                  </w:pPr>
                  <w:r>
                    <w:rPr>
                      <w:sz w:val="21"/>
                      <w:szCs w:val="21"/>
                    </w:rPr>
                    <w:t>区域名</w:t>
                  </w:r>
                </w:p>
              </w:tc>
              <w:tc>
                <w:tcPr>
                  <w:tcW w:w="3920" w:type="dxa"/>
                  <w:vMerge w:val="restart"/>
                  <w:noWrap w:val="0"/>
                  <w:vAlign w:val="center"/>
                </w:tcPr>
                <w:p>
                  <w:pPr>
                    <w:spacing w:line="240" w:lineRule="auto"/>
                    <w:jc w:val="center"/>
                    <w:rPr>
                      <w:sz w:val="21"/>
                      <w:szCs w:val="21"/>
                    </w:rPr>
                  </w:pPr>
                  <w:r>
                    <w:rPr>
                      <w:sz w:val="21"/>
                      <w:szCs w:val="21"/>
                    </w:rPr>
                    <w:t>执行标准</w:t>
                  </w:r>
                </w:p>
              </w:tc>
              <w:tc>
                <w:tcPr>
                  <w:tcW w:w="1169" w:type="dxa"/>
                  <w:vMerge w:val="restart"/>
                  <w:noWrap w:val="0"/>
                  <w:vAlign w:val="center"/>
                </w:tcPr>
                <w:p>
                  <w:pPr>
                    <w:spacing w:line="240" w:lineRule="auto"/>
                    <w:jc w:val="center"/>
                    <w:rPr>
                      <w:sz w:val="21"/>
                      <w:szCs w:val="21"/>
                    </w:rPr>
                  </w:pPr>
                  <w:r>
                    <w:rPr>
                      <w:sz w:val="21"/>
                      <w:szCs w:val="21"/>
                    </w:rPr>
                    <w:t>级别</w:t>
                  </w:r>
                </w:p>
              </w:tc>
              <w:tc>
                <w:tcPr>
                  <w:tcW w:w="921" w:type="dxa"/>
                  <w:vMerge w:val="restart"/>
                  <w:noWrap w:val="0"/>
                  <w:vAlign w:val="center"/>
                </w:tcPr>
                <w:p>
                  <w:pPr>
                    <w:spacing w:line="240" w:lineRule="auto"/>
                    <w:jc w:val="center"/>
                    <w:rPr>
                      <w:sz w:val="21"/>
                      <w:szCs w:val="21"/>
                    </w:rPr>
                  </w:pPr>
                  <w:r>
                    <w:rPr>
                      <w:sz w:val="21"/>
                      <w:szCs w:val="21"/>
                    </w:rPr>
                    <w:t>单位</w:t>
                  </w:r>
                </w:p>
              </w:tc>
              <w:tc>
                <w:tcPr>
                  <w:tcW w:w="1117" w:type="dxa"/>
                  <w:gridSpan w:val="2"/>
                  <w:noWrap w:val="0"/>
                  <w:vAlign w:val="center"/>
                </w:tcPr>
                <w:p>
                  <w:pPr>
                    <w:spacing w:line="240" w:lineRule="auto"/>
                    <w:jc w:val="center"/>
                    <w:rPr>
                      <w:sz w:val="21"/>
                      <w:szCs w:val="21"/>
                    </w:rPr>
                  </w:pPr>
                  <w:r>
                    <w:rPr>
                      <w:sz w:val="21"/>
                      <w:szCs w:val="21"/>
                    </w:rPr>
                    <w:t>标准限值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1" w:type="dxa"/>
                  <w:vMerge w:val="continue"/>
                  <w:noWrap w:val="0"/>
                  <w:vAlign w:val="center"/>
                </w:tcPr>
                <w:p>
                  <w:pPr>
                    <w:spacing w:line="240" w:lineRule="auto"/>
                    <w:jc w:val="center"/>
                    <w:rPr>
                      <w:sz w:val="21"/>
                      <w:szCs w:val="21"/>
                    </w:rPr>
                  </w:pPr>
                </w:p>
              </w:tc>
              <w:tc>
                <w:tcPr>
                  <w:tcW w:w="3920" w:type="dxa"/>
                  <w:vMerge w:val="continue"/>
                  <w:noWrap w:val="0"/>
                  <w:vAlign w:val="center"/>
                </w:tcPr>
                <w:p>
                  <w:pPr>
                    <w:spacing w:line="240" w:lineRule="auto"/>
                    <w:jc w:val="center"/>
                    <w:rPr>
                      <w:sz w:val="21"/>
                      <w:szCs w:val="21"/>
                    </w:rPr>
                  </w:pPr>
                </w:p>
              </w:tc>
              <w:tc>
                <w:tcPr>
                  <w:tcW w:w="1169" w:type="dxa"/>
                  <w:vMerge w:val="continue"/>
                  <w:noWrap w:val="0"/>
                  <w:vAlign w:val="center"/>
                </w:tcPr>
                <w:p>
                  <w:pPr>
                    <w:spacing w:line="240" w:lineRule="auto"/>
                    <w:jc w:val="center"/>
                    <w:rPr>
                      <w:sz w:val="21"/>
                      <w:szCs w:val="21"/>
                    </w:rPr>
                  </w:pPr>
                </w:p>
              </w:tc>
              <w:tc>
                <w:tcPr>
                  <w:tcW w:w="921" w:type="dxa"/>
                  <w:vMerge w:val="continue"/>
                  <w:noWrap w:val="0"/>
                  <w:vAlign w:val="center"/>
                </w:tcPr>
                <w:p>
                  <w:pPr>
                    <w:spacing w:line="240" w:lineRule="auto"/>
                    <w:jc w:val="center"/>
                    <w:rPr>
                      <w:sz w:val="21"/>
                      <w:szCs w:val="21"/>
                    </w:rPr>
                  </w:pPr>
                </w:p>
              </w:tc>
              <w:tc>
                <w:tcPr>
                  <w:tcW w:w="532" w:type="dxa"/>
                  <w:noWrap w:val="0"/>
                  <w:vAlign w:val="center"/>
                </w:tcPr>
                <w:p>
                  <w:pPr>
                    <w:spacing w:line="240" w:lineRule="auto"/>
                    <w:jc w:val="center"/>
                    <w:rPr>
                      <w:sz w:val="21"/>
                      <w:szCs w:val="21"/>
                    </w:rPr>
                  </w:pPr>
                  <w:r>
                    <w:rPr>
                      <w:sz w:val="21"/>
                      <w:szCs w:val="21"/>
                    </w:rPr>
                    <w:t>昼</w:t>
                  </w:r>
                </w:p>
              </w:tc>
              <w:tc>
                <w:tcPr>
                  <w:tcW w:w="585" w:type="dxa"/>
                  <w:noWrap w:val="0"/>
                  <w:vAlign w:val="center"/>
                </w:tcPr>
                <w:p>
                  <w:pPr>
                    <w:spacing w:line="240" w:lineRule="auto"/>
                    <w:jc w:val="center"/>
                    <w:rPr>
                      <w:sz w:val="21"/>
                      <w:szCs w:val="21"/>
                    </w:rPr>
                  </w:pPr>
                  <w:r>
                    <w:rPr>
                      <w:sz w:val="21"/>
                      <w:szCs w:val="21"/>
                    </w:rPr>
                    <w:t>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1" w:type="dxa"/>
                  <w:noWrap w:val="0"/>
                  <w:vAlign w:val="center"/>
                </w:tcPr>
                <w:p>
                  <w:pPr>
                    <w:spacing w:line="240" w:lineRule="auto"/>
                    <w:jc w:val="center"/>
                    <w:rPr>
                      <w:sz w:val="21"/>
                      <w:szCs w:val="21"/>
                    </w:rPr>
                  </w:pPr>
                  <w:r>
                    <w:rPr>
                      <w:sz w:val="21"/>
                      <w:szCs w:val="21"/>
                    </w:rPr>
                    <w:t>项目所在地区域</w:t>
                  </w:r>
                </w:p>
              </w:tc>
              <w:tc>
                <w:tcPr>
                  <w:tcW w:w="3920" w:type="dxa"/>
                  <w:noWrap w:val="0"/>
                  <w:vAlign w:val="center"/>
                </w:tcPr>
                <w:p>
                  <w:pPr>
                    <w:spacing w:line="240" w:lineRule="auto"/>
                    <w:jc w:val="center"/>
                    <w:rPr>
                      <w:sz w:val="21"/>
                      <w:szCs w:val="21"/>
                    </w:rPr>
                  </w:pPr>
                  <w:r>
                    <w:rPr>
                      <w:sz w:val="21"/>
                      <w:szCs w:val="21"/>
                    </w:rPr>
                    <w:t>《</w:t>
                  </w:r>
                  <w:r>
                    <w:rPr>
                      <w:sz w:val="21"/>
                      <w:szCs w:val="21"/>
                    </w:rPr>
                    <w:fldChar w:fldCharType="begin"/>
                  </w:r>
                  <w:r>
                    <w:rPr>
                      <w:sz w:val="21"/>
                      <w:szCs w:val="21"/>
                    </w:rPr>
                    <w:instrText xml:space="preserve"> HYPERLINK "http://www.zhb.gov.cn/info/bgw/bgg/200809/W020080917334259620241.pdf" \t "_self" </w:instrText>
                  </w:r>
                  <w:r>
                    <w:rPr>
                      <w:sz w:val="21"/>
                      <w:szCs w:val="21"/>
                    </w:rPr>
                    <w:fldChar w:fldCharType="separate"/>
                  </w:r>
                  <w:r>
                    <w:rPr>
                      <w:rStyle w:val="32"/>
                      <w:bCs/>
                      <w:color w:val="auto"/>
                      <w:sz w:val="21"/>
                      <w:szCs w:val="21"/>
                      <w:u w:val="none"/>
                    </w:rPr>
                    <w:t>声环境质量标准》（GB3096-2008）</w:t>
                  </w:r>
                  <w:r>
                    <w:rPr>
                      <w:sz w:val="21"/>
                      <w:szCs w:val="21"/>
                    </w:rPr>
                    <w:fldChar w:fldCharType="end"/>
                  </w:r>
                </w:p>
              </w:tc>
              <w:tc>
                <w:tcPr>
                  <w:tcW w:w="1169" w:type="dxa"/>
                  <w:noWrap w:val="0"/>
                  <w:vAlign w:val="center"/>
                </w:tcPr>
                <w:p>
                  <w:pPr>
                    <w:spacing w:line="240" w:lineRule="auto"/>
                    <w:jc w:val="center"/>
                    <w:rPr>
                      <w:sz w:val="21"/>
                      <w:szCs w:val="21"/>
                    </w:rPr>
                  </w:pPr>
                  <w:r>
                    <w:rPr>
                      <w:sz w:val="21"/>
                      <w:szCs w:val="21"/>
                    </w:rPr>
                    <w:t>3类标准</w:t>
                  </w:r>
                </w:p>
              </w:tc>
              <w:tc>
                <w:tcPr>
                  <w:tcW w:w="921" w:type="dxa"/>
                  <w:noWrap w:val="0"/>
                  <w:vAlign w:val="center"/>
                </w:tcPr>
                <w:p>
                  <w:pPr>
                    <w:spacing w:line="240" w:lineRule="auto"/>
                    <w:jc w:val="center"/>
                    <w:rPr>
                      <w:sz w:val="21"/>
                      <w:szCs w:val="21"/>
                    </w:rPr>
                  </w:pPr>
                  <w:r>
                    <w:rPr>
                      <w:sz w:val="21"/>
                      <w:szCs w:val="21"/>
                    </w:rPr>
                    <w:t>dB(A)</w:t>
                  </w:r>
                </w:p>
              </w:tc>
              <w:tc>
                <w:tcPr>
                  <w:tcW w:w="532" w:type="dxa"/>
                  <w:noWrap w:val="0"/>
                  <w:vAlign w:val="center"/>
                </w:tcPr>
                <w:p>
                  <w:pPr>
                    <w:spacing w:line="240" w:lineRule="auto"/>
                    <w:jc w:val="center"/>
                    <w:rPr>
                      <w:sz w:val="21"/>
                      <w:szCs w:val="21"/>
                    </w:rPr>
                  </w:pPr>
                  <w:r>
                    <w:rPr>
                      <w:sz w:val="21"/>
                      <w:szCs w:val="21"/>
                    </w:rPr>
                    <w:t>65</w:t>
                  </w:r>
                </w:p>
              </w:tc>
              <w:tc>
                <w:tcPr>
                  <w:tcW w:w="585" w:type="dxa"/>
                  <w:noWrap w:val="0"/>
                  <w:vAlign w:val="center"/>
                </w:tcPr>
                <w:p>
                  <w:pPr>
                    <w:spacing w:line="240" w:lineRule="auto"/>
                    <w:jc w:val="center"/>
                    <w:rPr>
                      <w:sz w:val="21"/>
                      <w:szCs w:val="21"/>
                    </w:rPr>
                  </w:pPr>
                  <w:r>
                    <w:rPr>
                      <w:sz w:val="21"/>
                      <w:szCs w:val="21"/>
                    </w:rPr>
                    <w:t>55</w:t>
                  </w:r>
                </w:p>
              </w:tc>
            </w:tr>
          </w:tbl>
          <w:p>
            <w:pPr>
              <w:pStyle w:val="2"/>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jc w:val="center"/>
              <w:rPr>
                <w:rFonts w:hint="default" w:eastAsia="宋体"/>
                <w:b/>
                <w:bCs/>
                <w:lang w:val="en-US" w:eastAsia="zh-CN"/>
              </w:rPr>
            </w:pPr>
            <w:r>
              <w:rPr>
                <w:rFonts w:hint="eastAsia"/>
                <w:b/>
                <w:bCs/>
                <w:lang w:val="en-US" w:eastAsia="zh-CN"/>
              </w:rPr>
              <w:t>污染物排放标准</w:t>
            </w:r>
          </w:p>
        </w:tc>
        <w:tc>
          <w:tcPr>
            <w:tcW w:w="9164" w:type="dxa"/>
            <w:noWrap w:val="0"/>
            <w:vAlign w:val="center"/>
          </w:tcPr>
          <w:p>
            <w:pPr>
              <w:spacing w:line="460" w:lineRule="exact"/>
              <w:ind w:firstLine="482" w:firstLineChars="200"/>
              <w:rPr>
                <w:b/>
                <w:bCs/>
              </w:rPr>
            </w:pPr>
            <w:r>
              <w:rPr>
                <w:b/>
                <w:bCs/>
              </w:rPr>
              <w:t>1、废水</w:t>
            </w:r>
          </w:p>
          <w:p>
            <w:pPr>
              <w:ind w:firstLine="480" w:firstLineChars="200"/>
              <w:rPr>
                <w:rFonts w:hint="default" w:ascii="Times New Roman" w:hAnsi="Times New Roman" w:cs="Times New Roman"/>
              </w:rPr>
            </w:pPr>
            <w:r>
              <w:rPr>
                <w:rFonts w:hint="default" w:ascii="Times New Roman" w:hAnsi="Times New Roman" w:cs="Times New Roman"/>
              </w:rPr>
              <w:t>本项目营运期污水接管排入</w:t>
            </w:r>
            <w:r>
              <w:rPr>
                <w:rFonts w:hint="default" w:ascii="Times New Roman" w:hAnsi="Times New Roman" w:cs="Times New Roman"/>
                <w:lang w:eastAsia="zh-CN"/>
              </w:rPr>
              <w:t>科技城净水厂</w:t>
            </w:r>
            <w:r>
              <w:rPr>
                <w:rFonts w:hint="default" w:ascii="Times New Roman" w:hAnsi="Times New Roman" w:cs="Times New Roman"/>
              </w:rPr>
              <w:t>处理，尾水排入浒</w:t>
            </w:r>
            <w:r>
              <w:rPr>
                <w:rFonts w:hint="eastAsia" w:cs="Times New Roman"/>
                <w:lang w:val="en-US" w:eastAsia="zh-CN"/>
              </w:rPr>
              <w:t>东</w:t>
            </w:r>
            <w:r>
              <w:rPr>
                <w:rFonts w:hint="default" w:ascii="Times New Roman" w:hAnsi="Times New Roman" w:cs="Times New Roman"/>
              </w:rPr>
              <w:t>运河。项目污水排口</w:t>
            </w:r>
            <w:r>
              <w:rPr>
                <w:rFonts w:hint="default" w:ascii="Times New Roman" w:hAnsi="Times New Roman" w:cs="Times New Roman"/>
                <w:color w:val="auto"/>
                <w:sz w:val="24"/>
                <w:szCs w:val="24"/>
              </w:rPr>
              <w:t>执行《污水综合排放标准》(GB8978-1996)三级标准，其中氨氮、总磷执行《污水排入城镇下水道水质标准》(GB/T31962-2015)，出水水质执行《太湖地区城镇污水处理厂及重点</w:t>
            </w:r>
            <w:r>
              <w:rPr>
                <w:rFonts w:hint="default" w:ascii="Times New Roman" w:hAnsi="Times New Roman" w:cs="Times New Roman"/>
                <w:color w:val="auto"/>
                <w:sz w:val="24"/>
                <w:szCs w:val="24"/>
                <w:lang w:eastAsia="zh-CN"/>
              </w:rPr>
              <w:t>工业</w:t>
            </w:r>
            <w:r>
              <w:rPr>
                <w:rFonts w:hint="default" w:ascii="Times New Roman" w:hAnsi="Times New Roman" w:cs="Times New Roman"/>
                <w:color w:val="auto"/>
                <w:sz w:val="24"/>
                <w:szCs w:val="24"/>
              </w:rPr>
              <w:t>行业主要水污染物排放限值》(DB32/1072-20</w:t>
            </w:r>
            <w:r>
              <w:rPr>
                <w:rFonts w:hint="default" w:ascii="Times New Roman" w:hAnsi="Times New Roman" w:cs="Times New Roman"/>
                <w:color w:val="auto"/>
                <w:sz w:val="24"/>
                <w:szCs w:val="24"/>
                <w:lang w:val="en-US" w:eastAsia="zh-CN"/>
              </w:rPr>
              <w:t>18</w:t>
            </w:r>
            <w:r>
              <w:rPr>
                <w:rFonts w:hint="default" w:ascii="Times New Roman" w:hAnsi="Times New Roman" w:cs="Times New Roman"/>
                <w:color w:val="auto"/>
                <w:sz w:val="24"/>
                <w:szCs w:val="24"/>
              </w:rPr>
              <w:t>)，其中SS、pH执行《城镇污水处理厂污染物排放标准》（GB18918-2002）表1一级A标准。</w:t>
            </w:r>
            <w:r>
              <w:rPr>
                <w:rFonts w:hint="default" w:ascii="Times New Roman" w:hAnsi="Times New Roman" w:cs="Times New Roman"/>
              </w:rPr>
              <w:t>具体标准限值见表4-</w:t>
            </w:r>
            <w:r>
              <w:rPr>
                <w:rFonts w:hint="eastAsia" w:cs="Times New Roman"/>
                <w:lang w:val="en-US" w:eastAsia="zh-CN"/>
              </w:rPr>
              <w:t>4</w:t>
            </w:r>
            <w:r>
              <w:rPr>
                <w:rFonts w:hint="default" w:ascii="Times New Roman" w:hAnsi="Times New Roman" w:cs="Times New Roman"/>
              </w:rPr>
              <w:t>。</w:t>
            </w:r>
          </w:p>
          <w:p>
            <w:pPr>
              <w:jc w:val="center"/>
              <w:rPr>
                <w:rFonts w:hint="default" w:ascii="Times New Roman" w:hAnsi="Times New Roman" w:cs="Times New Roman"/>
                <w:b/>
                <w:bCs/>
              </w:rPr>
            </w:pPr>
            <w:r>
              <w:rPr>
                <w:rFonts w:hint="default" w:ascii="Times New Roman" w:hAnsi="Times New Roman" w:cs="Times New Roman"/>
                <w:b/>
                <w:bCs/>
              </w:rPr>
              <w:t>表4-</w:t>
            </w:r>
            <w:r>
              <w:rPr>
                <w:rFonts w:hint="eastAsia" w:cs="Times New Roman"/>
                <w:b/>
                <w:bCs/>
                <w:lang w:val="en-US" w:eastAsia="zh-CN"/>
              </w:rPr>
              <w:t>4</w:t>
            </w:r>
            <w:r>
              <w:rPr>
                <w:rFonts w:hint="default" w:ascii="Times New Roman" w:hAnsi="Times New Roman" w:cs="Times New Roman"/>
                <w:b/>
                <w:bCs/>
              </w:rPr>
              <w:t xml:space="preserve"> 废污水排放标准限值表</w:t>
            </w:r>
          </w:p>
          <w:tbl>
            <w:tblPr>
              <w:tblStyle w:val="27"/>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43"/>
              <w:gridCol w:w="2962"/>
              <w:gridCol w:w="1187"/>
              <w:gridCol w:w="1464"/>
              <w:gridCol w:w="974"/>
              <w:gridCol w:w="150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3" w:type="dxa"/>
                  <w:tcBorders>
                    <w:bottom w:val="single" w:color="auto" w:sz="12" w:space="0"/>
                    <w:tl2br w:val="nil"/>
                    <w:tr2bl w:val="nil"/>
                  </w:tcBorders>
                  <w:noWrap w:val="0"/>
                  <w:vAlign w:val="center"/>
                </w:tcPr>
                <w:p>
                  <w:pPr>
                    <w:spacing w:line="240" w:lineRule="auto"/>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排放口名</w:t>
                  </w:r>
                </w:p>
              </w:tc>
              <w:tc>
                <w:tcPr>
                  <w:tcW w:w="2962" w:type="dxa"/>
                  <w:tcBorders>
                    <w:bottom w:val="single" w:color="auto" w:sz="12" w:space="0"/>
                    <w:tl2br w:val="nil"/>
                    <w:tr2bl w:val="nil"/>
                  </w:tcBorders>
                  <w:noWrap w:val="0"/>
                  <w:vAlign w:val="center"/>
                </w:tcPr>
                <w:p>
                  <w:pPr>
                    <w:spacing w:line="240" w:lineRule="auto"/>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执行标准</w:t>
                  </w:r>
                </w:p>
              </w:tc>
              <w:tc>
                <w:tcPr>
                  <w:tcW w:w="1187" w:type="dxa"/>
                  <w:tcBorders>
                    <w:bottom w:val="single" w:color="auto" w:sz="12" w:space="0"/>
                    <w:tl2br w:val="nil"/>
                    <w:tr2bl w:val="nil"/>
                  </w:tcBorders>
                  <w:noWrap w:val="0"/>
                  <w:vAlign w:val="center"/>
                </w:tcPr>
                <w:p>
                  <w:pPr>
                    <w:spacing w:line="240" w:lineRule="auto"/>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取值表号及级别</w:t>
                  </w:r>
                </w:p>
              </w:tc>
              <w:tc>
                <w:tcPr>
                  <w:tcW w:w="1464" w:type="dxa"/>
                  <w:tcBorders>
                    <w:bottom w:val="single" w:color="auto" w:sz="12" w:space="0"/>
                    <w:tl2br w:val="nil"/>
                    <w:tr2bl w:val="nil"/>
                  </w:tcBorders>
                  <w:noWrap w:val="0"/>
                  <w:vAlign w:val="center"/>
                </w:tcPr>
                <w:p>
                  <w:pPr>
                    <w:spacing w:line="240" w:lineRule="auto"/>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污染物指标</w:t>
                  </w:r>
                </w:p>
              </w:tc>
              <w:tc>
                <w:tcPr>
                  <w:tcW w:w="974" w:type="dxa"/>
                  <w:tcBorders>
                    <w:bottom w:val="single" w:color="auto" w:sz="12" w:space="0"/>
                    <w:tl2br w:val="nil"/>
                    <w:tr2bl w:val="nil"/>
                  </w:tcBorders>
                  <w:noWrap w:val="0"/>
                  <w:vAlign w:val="center"/>
                </w:tcPr>
                <w:p>
                  <w:pPr>
                    <w:spacing w:line="240" w:lineRule="auto"/>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单位</w:t>
                  </w:r>
                </w:p>
              </w:tc>
              <w:tc>
                <w:tcPr>
                  <w:tcW w:w="1503" w:type="dxa"/>
                  <w:tcBorders>
                    <w:bottom w:val="single" w:color="auto" w:sz="12" w:space="0"/>
                    <w:tl2br w:val="nil"/>
                    <w:tr2bl w:val="nil"/>
                  </w:tcBorders>
                  <w:noWrap w:val="0"/>
                  <w:vAlign w:val="center"/>
                </w:tcPr>
                <w:p>
                  <w:pPr>
                    <w:spacing w:line="240" w:lineRule="auto"/>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3" w:type="dxa"/>
                  <w:vMerge w:val="restart"/>
                  <w:tcBorders>
                    <w:top w:val="single" w:color="auto" w:sz="12" w:space="0"/>
                    <w:tl2br w:val="nil"/>
                    <w:tr2bl w:val="nil"/>
                  </w:tcBorders>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厂排口</w:t>
                  </w:r>
                </w:p>
              </w:tc>
              <w:tc>
                <w:tcPr>
                  <w:tcW w:w="2962" w:type="dxa"/>
                  <w:vMerge w:val="restart"/>
                  <w:tcBorders>
                    <w:top w:val="single" w:color="auto" w:sz="12" w:space="0"/>
                    <w:tl2br w:val="nil"/>
                    <w:tr2bl w:val="nil"/>
                  </w:tcBorders>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《污水综合排放标准》（GB8978-1996）</w:t>
                  </w:r>
                </w:p>
              </w:tc>
              <w:tc>
                <w:tcPr>
                  <w:tcW w:w="1187" w:type="dxa"/>
                  <w:vMerge w:val="restart"/>
                  <w:tcBorders>
                    <w:top w:val="single" w:color="auto" w:sz="12" w:space="0"/>
                    <w:tl2br w:val="nil"/>
                    <w:tr2bl w:val="nil"/>
                  </w:tcBorders>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表4三级标准</w:t>
                  </w:r>
                </w:p>
              </w:tc>
              <w:tc>
                <w:tcPr>
                  <w:tcW w:w="1464" w:type="dxa"/>
                  <w:tcBorders>
                    <w:top w:val="single" w:color="auto" w:sz="12" w:space="0"/>
                    <w:tl2br w:val="nil"/>
                    <w:tr2bl w:val="nil"/>
                  </w:tcBorders>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pH</w:t>
                  </w:r>
                </w:p>
              </w:tc>
              <w:tc>
                <w:tcPr>
                  <w:tcW w:w="974" w:type="dxa"/>
                  <w:tcBorders>
                    <w:top w:val="single" w:color="auto" w:sz="12" w:space="0"/>
                    <w:tl2br w:val="nil"/>
                    <w:tr2bl w:val="nil"/>
                  </w:tcBorders>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无量钢</w:t>
                  </w:r>
                </w:p>
              </w:tc>
              <w:tc>
                <w:tcPr>
                  <w:tcW w:w="1503" w:type="dxa"/>
                  <w:tcBorders>
                    <w:top w:val="single" w:color="auto" w:sz="12" w:space="0"/>
                    <w:tl2br w:val="nil"/>
                    <w:tr2bl w:val="nil"/>
                  </w:tcBorders>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3" w:type="dxa"/>
                  <w:vMerge w:val="continue"/>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p>
              </w:tc>
              <w:tc>
                <w:tcPr>
                  <w:tcW w:w="2962" w:type="dxa"/>
                  <w:vMerge w:val="continue"/>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p>
              </w:tc>
              <w:tc>
                <w:tcPr>
                  <w:tcW w:w="1187" w:type="dxa"/>
                  <w:vMerge w:val="continue"/>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p>
              </w:tc>
              <w:tc>
                <w:tcPr>
                  <w:tcW w:w="1464" w:type="dxa"/>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COD</w:t>
                  </w:r>
                </w:p>
              </w:tc>
              <w:tc>
                <w:tcPr>
                  <w:tcW w:w="974" w:type="dxa"/>
                  <w:vMerge w:val="restart"/>
                  <w:tcBorders>
                    <w:tl2br w:val="nil"/>
                    <w:tr2bl w:val="nil"/>
                  </w:tcBorders>
                  <w:noWrap w:val="0"/>
                  <w:vAlign w:val="center"/>
                </w:tcPr>
                <w:p>
                  <w:pPr>
                    <w:pStyle w:val="2"/>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mg/L</w:t>
                  </w:r>
                </w:p>
              </w:tc>
              <w:tc>
                <w:tcPr>
                  <w:tcW w:w="1503" w:type="dxa"/>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3" w:type="dxa"/>
                  <w:vMerge w:val="continue"/>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p>
              </w:tc>
              <w:tc>
                <w:tcPr>
                  <w:tcW w:w="2962" w:type="dxa"/>
                  <w:vMerge w:val="continue"/>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p>
              </w:tc>
              <w:tc>
                <w:tcPr>
                  <w:tcW w:w="1187" w:type="dxa"/>
                  <w:vMerge w:val="continue"/>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p>
              </w:tc>
              <w:tc>
                <w:tcPr>
                  <w:tcW w:w="1464" w:type="dxa"/>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SS</w:t>
                  </w:r>
                </w:p>
              </w:tc>
              <w:tc>
                <w:tcPr>
                  <w:tcW w:w="974" w:type="dxa"/>
                  <w:vMerge w:val="continue"/>
                  <w:tcBorders>
                    <w:tl2br w:val="nil"/>
                    <w:tr2bl w:val="nil"/>
                  </w:tcBorders>
                  <w:noWrap w:val="0"/>
                  <w:vAlign w:val="center"/>
                </w:tcPr>
                <w:p>
                  <w:pPr>
                    <w:pStyle w:val="2"/>
                    <w:spacing w:line="240" w:lineRule="auto"/>
                    <w:ind w:firstLine="0" w:firstLineChars="0"/>
                    <w:jc w:val="center"/>
                    <w:rPr>
                      <w:rFonts w:hint="default" w:ascii="Times New Roman" w:hAnsi="Times New Roman" w:cs="Times New Roman"/>
                      <w:color w:val="auto"/>
                      <w:sz w:val="21"/>
                      <w:szCs w:val="21"/>
                    </w:rPr>
                  </w:pPr>
                </w:p>
              </w:tc>
              <w:tc>
                <w:tcPr>
                  <w:tcW w:w="1503" w:type="dxa"/>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3" w:type="dxa"/>
                  <w:vMerge w:val="continue"/>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p>
              </w:tc>
              <w:tc>
                <w:tcPr>
                  <w:tcW w:w="2962" w:type="dxa"/>
                  <w:vMerge w:val="continue"/>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p>
              </w:tc>
              <w:tc>
                <w:tcPr>
                  <w:tcW w:w="1187" w:type="dxa"/>
                  <w:vMerge w:val="continue"/>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p>
              </w:tc>
              <w:tc>
                <w:tcPr>
                  <w:tcW w:w="1464" w:type="dxa"/>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氨氮</w:t>
                  </w:r>
                </w:p>
              </w:tc>
              <w:tc>
                <w:tcPr>
                  <w:tcW w:w="974" w:type="dxa"/>
                  <w:vMerge w:val="continue"/>
                  <w:tcBorders>
                    <w:tl2br w:val="nil"/>
                    <w:tr2bl w:val="nil"/>
                  </w:tcBorders>
                  <w:noWrap w:val="0"/>
                  <w:vAlign w:val="center"/>
                </w:tcPr>
                <w:p>
                  <w:pPr>
                    <w:pStyle w:val="2"/>
                    <w:spacing w:line="240" w:lineRule="auto"/>
                    <w:ind w:firstLine="0" w:firstLineChars="0"/>
                    <w:jc w:val="center"/>
                    <w:rPr>
                      <w:rFonts w:hint="default" w:ascii="Times New Roman" w:hAnsi="Times New Roman" w:cs="Times New Roman"/>
                      <w:color w:val="auto"/>
                      <w:sz w:val="21"/>
                      <w:szCs w:val="21"/>
                    </w:rPr>
                  </w:pPr>
                </w:p>
              </w:tc>
              <w:tc>
                <w:tcPr>
                  <w:tcW w:w="1503" w:type="dxa"/>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3" w:type="dxa"/>
                  <w:vMerge w:val="continue"/>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p>
              </w:tc>
              <w:tc>
                <w:tcPr>
                  <w:tcW w:w="2962" w:type="dxa"/>
                  <w:vMerge w:val="continue"/>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p>
              </w:tc>
              <w:tc>
                <w:tcPr>
                  <w:tcW w:w="1187" w:type="dxa"/>
                  <w:vMerge w:val="continue"/>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p>
              </w:tc>
              <w:tc>
                <w:tcPr>
                  <w:tcW w:w="1464" w:type="dxa"/>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总磷</w:t>
                  </w:r>
                </w:p>
              </w:tc>
              <w:tc>
                <w:tcPr>
                  <w:tcW w:w="974" w:type="dxa"/>
                  <w:vMerge w:val="continue"/>
                  <w:tcBorders>
                    <w:tl2br w:val="nil"/>
                    <w:tr2bl w:val="nil"/>
                  </w:tcBorders>
                  <w:noWrap w:val="0"/>
                  <w:vAlign w:val="center"/>
                </w:tcPr>
                <w:p>
                  <w:pPr>
                    <w:pStyle w:val="2"/>
                    <w:spacing w:line="240" w:lineRule="auto"/>
                    <w:ind w:firstLine="0" w:firstLineChars="0"/>
                    <w:jc w:val="center"/>
                    <w:rPr>
                      <w:rFonts w:hint="default" w:ascii="Times New Roman" w:hAnsi="Times New Roman" w:cs="Times New Roman"/>
                      <w:color w:val="auto"/>
                      <w:sz w:val="21"/>
                      <w:szCs w:val="21"/>
                    </w:rPr>
                  </w:pPr>
                </w:p>
              </w:tc>
              <w:tc>
                <w:tcPr>
                  <w:tcW w:w="1503" w:type="dxa"/>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3" w:type="dxa"/>
                  <w:vMerge w:val="restart"/>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污水处理厂排口</w:t>
                  </w:r>
                </w:p>
              </w:tc>
              <w:tc>
                <w:tcPr>
                  <w:tcW w:w="2962" w:type="dxa"/>
                  <w:vMerge w:val="restart"/>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《城镇污水处理厂污染物排放标准》</w:t>
                  </w:r>
                </w:p>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（GB18918-2002）</w:t>
                  </w:r>
                </w:p>
              </w:tc>
              <w:tc>
                <w:tcPr>
                  <w:tcW w:w="1187" w:type="dxa"/>
                  <w:vMerge w:val="restart"/>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表1一级A标准</w:t>
                  </w:r>
                </w:p>
              </w:tc>
              <w:tc>
                <w:tcPr>
                  <w:tcW w:w="1464" w:type="dxa"/>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pH</w:t>
                  </w:r>
                </w:p>
              </w:tc>
              <w:tc>
                <w:tcPr>
                  <w:tcW w:w="974" w:type="dxa"/>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无量钢</w:t>
                  </w:r>
                </w:p>
              </w:tc>
              <w:tc>
                <w:tcPr>
                  <w:tcW w:w="1503" w:type="dxa"/>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3" w:type="dxa"/>
                  <w:vMerge w:val="continue"/>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p>
              </w:tc>
              <w:tc>
                <w:tcPr>
                  <w:tcW w:w="2962" w:type="dxa"/>
                  <w:vMerge w:val="continue"/>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p>
              </w:tc>
              <w:tc>
                <w:tcPr>
                  <w:tcW w:w="1187" w:type="dxa"/>
                  <w:vMerge w:val="continue"/>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p>
              </w:tc>
              <w:tc>
                <w:tcPr>
                  <w:tcW w:w="1464" w:type="dxa"/>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SS</w:t>
                  </w:r>
                </w:p>
              </w:tc>
              <w:tc>
                <w:tcPr>
                  <w:tcW w:w="974" w:type="dxa"/>
                  <w:vMerge w:val="restart"/>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mg/L</w:t>
                  </w:r>
                </w:p>
              </w:tc>
              <w:tc>
                <w:tcPr>
                  <w:tcW w:w="1503" w:type="dxa"/>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3" w:type="dxa"/>
                  <w:vMerge w:val="continue"/>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p>
              </w:tc>
              <w:tc>
                <w:tcPr>
                  <w:tcW w:w="2962" w:type="dxa"/>
                  <w:vMerge w:val="restart"/>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《关于高质量推进城乡生活</w:t>
                  </w:r>
                </w:p>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污水治理三年行动计划的实</w:t>
                  </w:r>
                </w:p>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施意见》</w:t>
                  </w:r>
                </w:p>
              </w:tc>
              <w:tc>
                <w:tcPr>
                  <w:tcW w:w="1187" w:type="dxa"/>
                  <w:vMerge w:val="restart"/>
                  <w:tcBorders>
                    <w:tl2br w:val="nil"/>
                    <w:tr2bl w:val="nil"/>
                  </w:tcBorders>
                  <w:noWrap w:val="0"/>
                  <w:vAlign w:val="center"/>
                </w:tcPr>
                <w:p>
                  <w:pPr>
                    <w:spacing w:line="240" w:lineRule="auto"/>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苏州特别排放</w:t>
                  </w:r>
                </w:p>
                <w:p>
                  <w:pPr>
                    <w:spacing w:line="240" w:lineRule="auto"/>
                    <w:jc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val="en-US" w:eastAsia="zh-CN"/>
                    </w:rPr>
                    <w:t>限值标准</w:t>
                  </w:r>
                </w:p>
              </w:tc>
              <w:tc>
                <w:tcPr>
                  <w:tcW w:w="1464" w:type="dxa"/>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COD</w:t>
                  </w:r>
                </w:p>
              </w:tc>
              <w:tc>
                <w:tcPr>
                  <w:tcW w:w="974" w:type="dxa"/>
                  <w:vMerge w:val="continue"/>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p>
              </w:tc>
              <w:tc>
                <w:tcPr>
                  <w:tcW w:w="1503"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3" w:type="dxa"/>
                  <w:vMerge w:val="continue"/>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p>
              </w:tc>
              <w:tc>
                <w:tcPr>
                  <w:tcW w:w="2962" w:type="dxa"/>
                  <w:vMerge w:val="continue"/>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p>
              </w:tc>
              <w:tc>
                <w:tcPr>
                  <w:tcW w:w="1187" w:type="dxa"/>
                  <w:vMerge w:val="continue"/>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p>
              </w:tc>
              <w:tc>
                <w:tcPr>
                  <w:tcW w:w="1464" w:type="dxa"/>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氨氮</w:t>
                  </w:r>
                </w:p>
              </w:tc>
              <w:tc>
                <w:tcPr>
                  <w:tcW w:w="974" w:type="dxa"/>
                  <w:vMerge w:val="continue"/>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p>
              </w:tc>
              <w:tc>
                <w:tcPr>
                  <w:tcW w:w="1503" w:type="dxa"/>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r>
                    <w:rPr>
                      <w:rFonts w:hint="eastAsia" w:cs="Times New Roman"/>
                      <w:color w:val="auto"/>
                      <w:sz w:val="21"/>
                      <w:szCs w:val="21"/>
                      <w:lang w:val="en-US" w:eastAsia="zh-CN"/>
                    </w:rPr>
                    <w:t>1.</w:t>
                  </w:r>
                  <w:r>
                    <w:rPr>
                      <w:rFonts w:hint="default" w:ascii="Times New Roman" w:hAnsi="Times New Roman" w:cs="Times New Roman"/>
                      <w:color w:val="auto"/>
                      <w:sz w:val="21"/>
                      <w:szCs w:val="21"/>
                      <w:lang w:val="en-US" w:eastAsia="zh-CN"/>
                    </w:rPr>
                    <w:t>5</w:t>
                  </w:r>
                  <w:r>
                    <w:rPr>
                      <w:rFonts w:hint="default" w:ascii="Times New Roman" w:hAnsi="Times New Roman" w:cs="Times New Roman"/>
                      <w:color w:val="auto"/>
                      <w:sz w:val="21"/>
                      <w:szCs w:val="21"/>
                    </w:rPr>
                    <w:t>(</w:t>
                  </w:r>
                  <w:r>
                    <w:rPr>
                      <w:rFonts w:hint="eastAsia" w:cs="Times New Roman"/>
                      <w:color w:val="auto"/>
                      <w:sz w:val="21"/>
                      <w:szCs w:val="21"/>
                      <w:lang w:val="en-US" w:eastAsia="zh-CN"/>
                    </w:rPr>
                    <w:t>3</w:t>
                  </w:r>
                  <w:r>
                    <w:rPr>
                      <w:rFonts w:hint="default" w:ascii="Times New Roman" w:hAnsi="Times New Roman" w:cs="Times New Roman"/>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3" w:type="dxa"/>
                  <w:vMerge w:val="continue"/>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p>
              </w:tc>
              <w:tc>
                <w:tcPr>
                  <w:tcW w:w="2962" w:type="dxa"/>
                  <w:vMerge w:val="continue"/>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p>
              </w:tc>
              <w:tc>
                <w:tcPr>
                  <w:tcW w:w="1187" w:type="dxa"/>
                  <w:vMerge w:val="continue"/>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p>
              </w:tc>
              <w:tc>
                <w:tcPr>
                  <w:tcW w:w="1464" w:type="dxa"/>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总磷</w:t>
                  </w:r>
                </w:p>
              </w:tc>
              <w:tc>
                <w:tcPr>
                  <w:tcW w:w="974" w:type="dxa"/>
                  <w:vMerge w:val="continue"/>
                  <w:tcBorders>
                    <w:tl2br w:val="nil"/>
                    <w:tr2bl w:val="nil"/>
                  </w:tcBorders>
                  <w:noWrap w:val="0"/>
                  <w:vAlign w:val="center"/>
                </w:tcPr>
                <w:p>
                  <w:pPr>
                    <w:spacing w:line="240" w:lineRule="auto"/>
                    <w:jc w:val="center"/>
                    <w:rPr>
                      <w:rFonts w:hint="default" w:ascii="Times New Roman" w:hAnsi="Times New Roman" w:cs="Times New Roman"/>
                      <w:color w:val="auto"/>
                      <w:sz w:val="21"/>
                      <w:szCs w:val="21"/>
                    </w:rPr>
                  </w:pPr>
                </w:p>
              </w:tc>
              <w:tc>
                <w:tcPr>
                  <w:tcW w:w="1503" w:type="dxa"/>
                  <w:tcBorders>
                    <w:tl2br w:val="nil"/>
                    <w:tr2bl w:val="nil"/>
                  </w:tcBorders>
                  <w:noWrap w:val="0"/>
                  <w:vAlign w:val="center"/>
                </w:tcPr>
                <w:p>
                  <w:pPr>
                    <w:spacing w:line="240" w:lineRule="auto"/>
                    <w:jc w:val="center"/>
                    <w:rPr>
                      <w:rFonts w:hint="eastAsia"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rPr>
                    <w:t>0.</w:t>
                  </w:r>
                  <w:r>
                    <w:rPr>
                      <w:rFonts w:hint="eastAsia" w:cs="Times New Roman"/>
                      <w:color w:val="auto"/>
                      <w:sz w:val="21"/>
                      <w:szCs w:val="21"/>
                      <w:lang w:val="en-US" w:eastAsia="zh-CN"/>
                    </w:rPr>
                    <w:t>3</w:t>
                  </w:r>
                </w:p>
              </w:tc>
            </w:tr>
          </w:tbl>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注：1、括号外数值为水温＞12℃时的控制指标，括号内数值为水温≤12℃时的控制指标。</w:t>
            </w:r>
          </w:p>
          <w:p>
            <w:pPr>
              <w:keepNext w:val="0"/>
              <w:keepLines w:val="0"/>
              <w:pageBreakBefore w:val="0"/>
              <w:widowControl w:val="0"/>
              <w:kinsoku/>
              <w:wordWrap/>
              <w:overflowPunct/>
              <w:topLinePunct w:val="0"/>
              <w:autoSpaceDE/>
              <w:autoSpaceDN/>
              <w:bidi w:val="0"/>
              <w:adjustRightInd/>
              <w:snapToGrid/>
              <w:spacing w:line="240" w:lineRule="auto"/>
              <w:ind w:firstLine="361" w:firstLineChars="200"/>
              <w:textAlignment w:val="auto"/>
              <w:outlineLvl w:val="9"/>
              <w:rPr>
                <w:rFonts w:hint="eastAsia" w:ascii="Times New Roman" w:hAnsi="Times New Roman" w:eastAsia="宋体" w:cs="Times New Roman"/>
                <w:b/>
                <w:bCs/>
                <w:color w:val="auto"/>
                <w:sz w:val="18"/>
                <w:szCs w:val="18"/>
                <w:lang w:eastAsia="zh-CN"/>
              </w:rPr>
            </w:pPr>
            <w:r>
              <w:rPr>
                <w:rFonts w:hint="default" w:ascii="Times New Roman" w:hAnsi="Times New Roman" w:cs="Times New Roman"/>
                <w:b/>
                <w:bCs/>
                <w:color w:val="auto"/>
                <w:sz w:val="18"/>
                <w:szCs w:val="18"/>
              </w:rPr>
              <w:t>2 、 《 太 湖 地 区 城 镇 污 水 处 理 厂 及 重 点 工 业 行 业 主 要 水 污 染 物 排 放 限 值 》(DB32/T1072-2018）现有污水处理厂氨氮仍执行《太湖地区城镇污水处理厂及重点工业行业主要水污染物排放限值》(DB32/T1072-2007）中 5（8）mg/L 标准，自 2021 年 1 月 1 日起氨氮执行 4（6）mg/L 标准</w:t>
            </w:r>
            <w:r>
              <w:rPr>
                <w:rFonts w:hint="eastAsia" w:ascii="Times New Roman" w:hAnsi="Times New Roman" w:cs="Times New Roman"/>
                <w:b/>
                <w:bCs/>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361" w:firstLineChars="200"/>
              <w:textAlignment w:val="auto"/>
              <w:outlineLvl w:val="9"/>
              <w:rPr>
                <w:rFonts w:hint="eastAsia" w:eastAsia="宋体"/>
                <w:sz w:val="21"/>
                <w:szCs w:val="21"/>
                <w:lang w:val="en-US" w:eastAsia="zh-CN"/>
              </w:rPr>
            </w:pPr>
            <w:r>
              <w:rPr>
                <w:rFonts w:hint="default" w:ascii="Times New Roman" w:hAnsi="Times New Roman" w:cs="Times New Roman"/>
                <w:b/>
                <w:bCs/>
                <w:color w:val="auto"/>
                <w:sz w:val="18"/>
                <w:szCs w:val="18"/>
              </w:rPr>
              <w:t>3、全市生活污水处理厂 2021 年 1 月 1 日起按照苏州特别限值标准考核，根据《城镇污水处理厂污染物排放标准》（GB18918-2002）表 4.1/4.2 款规定，取样频率为至少每 2h 一次，取24h混合样，以日均值计。</w:t>
            </w:r>
          </w:p>
          <w:p>
            <w:pPr>
              <w:spacing w:line="460" w:lineRule="exact"/>
              <w:ind w:firstLine="482" w:firstLineChars="200"/>
              <w:rPr>
                <w:b/>
                <w:bCs/>
              </w:rPr>
            </w:pPr>
            <w:r>
              <w:rPr>
                <w:b/>
                <w:bCs/>
              </w:rPr>
              <w:t>2、废气排放标准</w:t>
            </w:r>
          </w:p>
          <w:p>
            <w:pPr>
              <w:keepNext w:val="0"/>
              <w:keepLines w:val="0"/>
              <w:widowControl/>
              <w:suppressLineNumbers w:val="0"/>
              <w:ind w:firstLine="480" w:firstLineChars="200"/>
              <w:jc w:val="left"/>
              <w:rPr>
                <w:rFonts w:hint="eastAsia" w:ascii="宋体" w:hAnsi="宋体" w:eastAsia="宋体" w:cs="宋体"/>
                <w:color w:val="000000"/>
                <w:kern w:val="0"/>
                <w:sz w:val="24"/>
                <w:szCs w:val="24"/>
                <w:lang w:val="en-US" w:eastAsia="zh-CN" w:bidi="ar"/>
              </w:rPr>
            </w:pPr>
            <w:r>
              <w:rPr>
                <w:rFonts w:hint="eastAsia" w:hAnsi="宋体"/>
              </w:rPr>
              <w:t xml:space="preserve"> </w:t>
            </w:r>
            <w:r>
              <w:rPr>
                <w:rFonts w:hint="eastAsia" w:ascii="宋体" w:hAnsi="宋体" w:eastAsia="宋体" w:cs="宋体"/>
                <w:color w:val="000000"/>
                <w:kern w:val="0"/>
                <w:sz w:val="24"/>
                <w:szCs w:val="24"/>
                <w:lang w:val="en-US" w:eastAsia="zh-CN" w:bidi="ar"/>
              </w:rPr>
              <w:t>本项目产生的主要污染物为非甲烷总烃、颗粒物，排放执行《大气污染物综合排放标准》（</w:t>
            </w:r>
            <w:r>
              <w:rPr>
                <w:rFonts w:hint="default" w:ascii="Times New Roman" w:hAnsi="Times New Roman" w:eastAsia="宋体" w:cs="Times New Roman"/>
                <w:color w:val="000000"/>
                <w:kern w:val="0"/>
                <w:sz w:val="24"/>
                <w:szCs w:val="24"/>
                <w:lang w:val="en-US" w:eastAsia="zh-CN" w:bidi="ar"/>
              </w:rPr>
              <w:t>GB16297-1996</w:t>
            </w:r>
            <w:r>
              <w:rPr>
                <w:rFonts w:hint="eastAsia" w:ascii="宋体" w:hAnsi="宋体" w:eastAsia="宋体" w:cs="宋体"/>
                <w:color w:val="000000"/>
                <w:kern w:val="0"/>
                <w:sz w:val="24"/>
                <w:szCs w:val="24"/>
                <w:lang w:val="en-US" w:eastAsia="zh-CN" w:bidi="ar"/>
              </w:rPr>
              <w:t xml:space="preserve">）表 </w:t>
            </w:r>
            <w:r>
              <w:rPr>
                <w:rFonts w:hint="default" w:ascii="Times New Roman" w:hAnsi="Times New Roman" w:eastAsia="宋体" w:cs="Times New Roman"/>
                <w:color w:val="000000"/>
                <w:kern w:val="0"/>
                <w:sz w:val="24"/>
                <w:szCs w:val="24"/>
                <w:lang w:val="en-US" w:eastAsia="zh-CN" w:bidi="ar"/>
              </w:rPr>
              <w:t xml:space="preserve">2 </w:t>
            </w:r>
            <w:r>
              <w:rPr>
                <w:rFonts w:hint="eastAsia" w:ascii="宋体" w:hAnsi="宋体" w:eastAsia="宋体" w:cs="宋体"/>
                <w:color w:val="000000"/>
                <w:kern w:val="0"/>
                <w:sz w:val="24"/>
                <w:szCs w:val="24"/>
                <w:lang w:val="en-US" w:eastAsia="zh-CN" w:bidi="ar"/>
              </w:rPr>
              <w:t>中排放标准。无组织非甲烷总烃执行《挥发性有机物无组织排放控制标准》（</w:t>
            </w:r>
            <w:r>
              <w:rPr>
                <w:rFonts w:hint="default" w:ascii="Times New Roman" w:hAnsi="Times New Roman" w:eastAsia="宋体" w:cs="Times New Roman"/>
                <w:color w:val="000000"/>
                <w:kern w:val="0"/>
                <w:sz w:val="24"/>
                <w:szCs w:val="24"/>
                <w:lang w:val="en-US" w:eastAsia="zh-CN" w:bidi="ar"/>
              </w:rPr>
              <w:t>GB37822-2019</w:t>
            </w:r>
            <w:r>
              <w:rPr>
                <w:rFonts w:hint="eastAsia" w:ascii="宋体" w:hAnsi="宋体" w:eastAsia="宋体" w:cs="宋体"/>
                <w:color w:val="000000"/>
                <w:kern w:val="0"/>
                <w:sz w:val="24"/>
                <w:szCs w:val="24"/>
                <w:lang w:val="en-US" w:eastAsia="zh-CN" w:bidi="ar"/>
              </w:rPr>
              <w:t xml:space="preserve">），具体标准值见表 </w:t>
            </w:r>
            <w:r>
              <w:rPr>
                <w:rFonts w:hint="default" w:ascii="Times New Roman" w:hAnsi="Times New Roman" w:eastAsia="宋体" w:cs="Times New Roman"/>
                <w:color w:val="000000"/>
                <w:kern w:val="0"/>
                <w:sz w:val="24"/>
                <w:szCs w:val="24"/>
                <w:lang w:val="en-US" w:eastAsia="zh-CN" w:bidi="ar"/>
              </w:rPr>
              <w:t>4-5</w:t>
            </w:r>
            <w:r>
              <w:rPr>
                <w:rFonts w:hint="eastAsia" w:ascii="宋体" w:hAnsi="宋体" w:eastAsia="宋体" w:cs="宋体"/>
                <w:color w:val="000000"/>
                <w:kern w:val="0"/>
                <w:sz w:val="24"/>
                <w:szCs w:val="24"/>
                <w:lang w:val="en-US" w:eastAsia="zh-CN" w:bidi="ar"/>
              </w:rPr>
              <w:t>。</w:t>
            </w: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b/>
                <w:color w:val="000000"/>
                <w:kern w:val="0"/>
                <w:sz w:val="24"/>
                <w:szCs w:val="24"/>
                <w:lang w:val="en-US" w:eastAsia="zh-CN" w:bidi="ar"/>
              </w:rPr>
              <w:t xml:space="preserve">表 </w:t>
            </w:r>
            <w:r>
              <w:rPr>
                <w:rFonts w:hint="default" w:ascii="Times New Roman" w:hAnsi="Times New Roman" w:eastAsia="宋体" w:cs="Times New Roman"/>
                <w:b/>
                <w:color w:val="000000"/>
                <w:kern w:val="0"/>
                <w:sz w:val="24"/>
                <w:szCs w:val="24"/>
                <w:lang w:val="en-US" w:eastAsia="zh-CN" w:bidi="ar"/>
              </w:rPr>
              <w:t xml:space="preserve">4-5 </w:t>
            </w:r>
            <w:r>
              <w:rPr>
                <w:rFonts w:hint="eastAsia" w:ascii="宋体" w:hAnsi="宋体" w:eastAsia="宋体" w:cs="宋体"/>
                <w:b/>
                <w:color w:val="000000"/>
                <w:kern w:val="0"/>
                <w:sz w:val="24"/>
                <w:szCs w:val="24"/>
                <w:lang w:val="en-US" w:eastAsia="zh-CN" w:bidi="ar"/>
              </w:rPr>
              <w:t>大气污染物排放标准</w:t>
            </w:r>
          </w:p>
          <w:tbl>
            <w:tblPr>
              <w:tblStyle w:val="27"/>
              <w:tblW w:w="4997"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698"/>
              <w:gridCol w:w="943"/>
              <w:gridCol w:w="668"/>
              <w:gridCol w:w="1013"/>
              <w:gridCol w:w="2162"/>
              <w:gridCol w:w="212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46" w:type="pct"/>
                  <w:vMerge w:val="restart"/>
                  <w:noWrap w:val="0"/>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污染因子</w:t>
                  </w:r>
                </w:p>
              </w:tc>
              <w:tc>
                <w:tcPr>
                  <w:tcW w:w="390" w:type="pct"/>
                  <w:vMerge w:val="restart"/>
                  <w:noWrap w:val="0"/>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最高允许排放浓度</w:t>
                  </w:r>
                </w:p>
              </w:tc>
              <w:tc>
                <w:tcPr>
                  <w:tcW w:w="900" w:type="pct"/>
                  <w:gridSpan w:val="2"/>
                  <w:noWrap w:val="0"/>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最高允许排放速率（kg/h）</w:t>
                  </w:r>
                </w:p>
              </w:tc>
              <w:tc>
                <w:tcPr>
                  <w:tcW w:w="1775" w:type="pct"/>
                  <w:gridSpan w:val="2"/>
                  <w:noWrap w:val="0"/>
                  <w:vAlign w:val="center"/>
                </w:tcPr>
                <w:p>
                  <w:pPr>
                    <w:bidi w:val="0"/>
                    <w:spacing w:line="240" w:lineRule="auto"/>
                    <w:jc w:val="center"/>
                    <w:rPr>
                      <w:rFonts w:hint="eastAsia"/>
                      <w:sz w:val="21"/>
                      <w:szCs w:val="21"/>
                      <w:vertAlign w:val="baseline"/>
                      <w:lang w:val="en-US" w:eastAsia="zh-CN"/>
                    </w:rPr>
                  </w:pPr>
                  <w:r>
                    <w:rPr>
                      <w:rFonts w:hint="eastAsia"/>
                      <w:sz w:val="21"/>
                      <w:szCs w:val="21"/>
                      <w:vertAlign w:val="baseline"/>
                      <w:lang w:val="en-US" w:eastAsia="zh-CN"/>
                    </w:rPr>
                    <w:t>无组织排放浓度限值</w:t>
                  </w:r>
                </w:p>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（mg/m</w:t>
                  </w:r>
                  <w:r>
                    <w:rPr>
                      <w:rFonts w:hint="eastAsia"/>
                      <w:sz w:val="21"/>
                      <w:szCs w:val="21"/>
                      <w:vertAlign w:val="superscript"/>
                      <w:lang w:val="en-US" w:eastAsia="zh-CN"/>
                    </w:rPr>
                    <w:t>3</w:t>
                  </w:r>
                  <w:r>
                    <w:rPr>
                      <w:rFonts w:hint="eastAsia"/>
                      <w:sz w:val="21"/>
                      <w:szCs w:val="21"/>
                      <w:vertAlign w:val="baseline"/>
                      <w:lang w:val="en-US" w:eastAsia="zh-CN"/>
                    </w:rPr>
                    <w:t>）</w:t>
                  </w:r>
                </w:p>
              </w:tc>
              <w:tc>
                <w:tcPr>
                  <w:tcW w:w="1187" w:type="pct"/>
                  <w:vMerge w:val="restart"/>
                  <w:tcBorders>
                    <w:bottom w:val="single" w:color="auto" w:sz="12" w:space="0"/>
                  </w:tcBorders>
                  <w:noWrap w:val="0"/>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46" w:type="pct"/>
                  <w:vMerge w:val="continue"/>
                  <w:tcBorders>
                    <w:bottom w:val="single" w:color="auto" w:sz="12" w:space="0"/>
                  </w:tcBorders>
                  <w:noWrap w:val="0"/>
                  <w:vAlign w:val="center"/>
                </w:tcPr>
                <w:p>
                  <w:pPr>
                    <w:bidi w:val="0"/>
                    <w:spacing w:line="240" w:lineRule="auto"/>
                    <w:jc w:val="center"/>
                    <w:rPr>
                      <w:rFonts w:hint="default"/>
                      <w:sz w:val="21"/>
                      <w:szCs w:val="21"/>
                      <w:vertAlign w:val="baseline"/>
                      <w:lang w:val="en-US" w:eastAsia="zh-CN"/>
                    </w:rPr>
                  </w:pPr>
                </w:p>
              </w:tc>
              <w:tc>
                <w:tcPr>
                  <w:tcW w:w="390" w:type="pct"/>
                  <w:vMerge w:val="continue"/>
                  <w:tcBorders>
                    <w:bottom w:val="single" w:color="auto" w:sz="12" w:space="0"/>
                  </w:tcBorders>
                  <w:noWrap w:val="0"/>
                  <w:vAlign w:val="center"/>
                </w:tcPr>
                <w:p>
                  <w:pPr>
                    <w:bidi w:val="0"/>
                    <w:spacing w:line="240" w:lineRule="auto"/>
                    <w:jc w:val="center"/>
                    <w:rPr>
                      <w:rFonts w:hint="default"/>
                      <w:sz w:val="21"/>
                      <w:szCs w:val="21"/>
                      <w:vertAlign w:val="baseline"/>
                      <w:lang w:val="en-US" w:eastAsia="zh-CN"/>
                    </w:rPr>
                  </w:pPr>
                </w:p>
              </w:tc>
              <w:tc>
                <w:tcPr>
                  <w:tcW w:w="527" w:type="pct"/>
                  <w:tcBorders>
                    <w:bottom w:val="single" w:color="auto" w:sz="12" w:space="0"/>
                  </w:tcBorders>
                  <w:noWrap w:val="0"/>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排放高度（m）</w:t>
                  </w:r>
                </w:p>
              </w:tc>
              <w:tc>
                <w:tcPr>
                  <w:tcW w:w="373" w:type="pct"/>
                  <w:tcBorders>
                    <w:bottom w:val="single" w:color="auto" w:sz="12" w:space="0"/>
                  </w:tcBorders>
                  <w:noWrap w:val="0"/>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二级</w:t>
                  </w:r>
                </w:p>
              </w:tc>
              <w:tc>
                <w:tcPr>
                  <w:tcW w:w="566" w:type="pct"/>
                  <w:tcBorders>
                    <w:bottom w:val="single" w:color="auto" w:sz="12" w:space="0"/>
                  </w:tcBorders>
                  <w:noWrap w:val="0"/>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监控点</w:t>
                  </w:r>
                </w:p>
              </w:tc>
              <w:tc>
                <w:tcPr>
                  <w:tcW w:w="1208" w:type="pct"/>
                  <w:tcBorders>
                    <w:bottom w:val="single" w:color="auto" w:sz="12" w:space="0"/>
                  </w:tcBorders>
                  <w:noWrap w:val="0"/>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浓度</w:t>
                  </w:r>
                </w:p>
              </w:tc>
              <w:tc>
                <w:tcPr>
                  <w:tcW w:w="1187" w:type="pct"/>
                  <w:vMerge w:val="continue"/>
                  <w:tcBorders>
                    <w:top w:val="single" w:color="auto" w:sz="12" w:space="0"/>
                    <w:bottom w:val="single" w:color="auto" w:sz="12" w:space="0"/>
                  </w:tcBorders>
                  <w:noWrap w:val="0"/>
                  <w:vAlign w:val="center"/>
                </w:tcPr>
                <w:p>
                  <w:pPr>
                    <w:bidi w:val="0"/>
                    <w:spacing w:line="240" w:lineRule="auto"/>
                    <w:jc w:val="center"/>
                    <w:rPr>
                      <w:rFonts w:hint="default"/>
                      <w:sz w:val="21"/>
                      <w:szCs w:val="21"/>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46" w:type="pct"/>
                  <w:noWrap w:val="0"/>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非甲烷总烃</w:t>
                  </w:r>
                </w:p>
              </w:tc>
              <w:tc>
                <w:tcPr>
                  <w:tcW w:w="390" w:type="pct"/>
                  <w:noWrap w:val="0"/>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120</w:t>
                  </w:r>
                </w:p>
              </w:tc>
              <w:tc>
                <w:tcPr>
                  <w:tcW w:w="527" w:type="pct"/>
                  <w:noWrap w:val="0"/>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15</w:t>
                  </w:r>
                </w:p>
              </w:tc>
              <w:tc>
                <w:tcPr>
                  <w:tcW w:w="373" w:type="pct"/>
                  <w:noWrap w:val="0"/>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10</w:t>
                  </w:r>
                </w:p>
              </w:tc>
              <w:tc>
                <w:tcPr>
                  <w:tcW w:w="566" w:type="pct"/>
                  <w:vMerge w:val="restart"/>
                  <w:noWrap w:val="0"/>
                  <w:vAlign w:val="center"/>
                </w:tcPr>
                <w:p>
                  <w:pPr>
                    <w:bidi w:val="0"/>
                    <w:spacing w:line="240" w:lineRule="auto"/>
                    <w:jc w:val="center"/>
                    <w:rPr>
                      <w:rFonts w:hint="default"/>
                      <w:sz w:val="21"/>
                      <w:szCs w:val="21"/>
                      <w:vertAlign w:val="baseline"/>
                      <w:lang w:val="en-US" w:eastAsia="zh-CN"/>
                    </w:rPr>
                  </w:pPr>
                </w:p>
              </w:tc>
              <w:tc>
                <w:tcPr>
                  <w:tcW w:w="1208" w:type="pct"/>
                  <w:noWrap w:val="0"/>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4.0</w:t>
                  </w:r>
                </w:p>
              </w:tc>
              <w:tc>
                <w:tcPr>
                  <w:tcW w:w="1187" w:type="pct"/>
                  <w:vMerge w:val="continue"/>
                  <w:noWrap w:val="0"/>
                  <w:vAlign w:val="center"/>
                </w:tcPr>
                <w:p>
                  <w:pPr>
                    <w:bidi w:val="0"/>
                    <w:spacing w:line="240" w:lineRule="auto"/>
                    <w:jc w:val="center"/>
                    <w:rPr>
                      <w:rFonts w:hint="default"/>
                      <w:sz w:val="21"/>
                      <w:szCs w:val="21"/>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46" w:type="pct"/>
                  <w:noWrap w:val="0"/>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颗粒物</w:t>
                  </w:r>
                </w:p>
              </w:tc>
              <w:tc>
                <w:tcPr>
                  <w:tcW w:w="390" w:type="pct"/>
                  <w:noWrap w:val="0"/>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120</w:t>
                  </w:r>
                </w:p>
              </w:tc>
              <w:tc>
                <w:tcPr>
                  <w:tcW w:w="527" w:type="pct"/>
                  <w:noWrap w:val="0"/>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15</w:t>
                  </w:r>
                </w:p>
              </w:tc>
              <w:tc>
                <w:tcPr>
                  <w:tcW w:w="373" w:type="pct"/>
                  <w:noWrap w:val="0"/>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3.5</w:t>
                  </w:r>
                </w:p>
              </w:tc>
              <w:tc>
                <w:tcPr>
                  <w:tcW w:w="566" w:type="pct"/>
                  <w:vMerge w:val="continue"/>
                  <w:noWrap w:val="0"/>
                  <w:vAlign w:val="center"/>
                </w:tcPr>
                <w:p>
                  <w:pPr>
                    <w:bidi w:val="0"/>
                    <w:spacing w:line="240" w:lineRule="auto"/>
                    <w:jc w:val="center"/>
                    <w:rPr>
                      <w:rFonts w:hint="default"/>
                      <w:sz w:val="21"/>
                      <w:szCs w:val="21"/>
                      <w:vertAlign w:val="baseline"/>
                      <w:lang w:val="en-US" w:eastAsia="zh-CN"/>
                    </w:rPr>
                  </w:pPr>
                </w:p>
              </w:tc>
              <w:tc>
                <w:tcPr>
                  <w:tcW w:w="1208" w:type="pct"/>
                  <w:noWrap w:val="0"/>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1.0</w:t>
                  </w:r>
                </w:p>
              </w:tc>
              <w:tc>
                <w:tcPr>
                  <w:tcW w:w="1187" w:type="pct"/>
                  <w:vMerge w:val="continue"/>
                  <w:noWrap w:val="0"/>
                  <w:vAlign w:val="center"/>
                </w:tcPr>
                <w:p>
                  <w:pPr>
                    <w:bidi w:val="0"/>
                    <w:spacing w:line="240" w:lineRule="auto"/>
                    <w:jc w:val="center"/>
                    <w:rPr>
                      <w:rFonts w:hint="default"/>
                      <w:sz w:val="21"/>
                      <w:szCs w:val="21"/>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46" w:type="pct"/>
                  <w:vMerge w:val="restart"/>
                  <w:noWrap w:val="0"/>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NMHC</w:t>
                  </w:r>
                </w:p>
              </w:tc>
              <w:tc>
                <w:tcPr>
                  <w:tcW w:w="390" w:type="pct"/>
                  <w:vMerge w:val="restart"/>
                  <w:noWrap w:val="0"/>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w:t>
                  </w:r>
                </w:p>
              </w:tc>
              <w:tc>
                <w:tcPr>
                  <w:tcW w:w="527" w:type="pct"/>
                  <w:vMerge w:val="restart"/>
                  <w:noWrap w:val="0"/>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w:t>
                  </w:r>
                </w:p>
              </w:tc>
              <w:tc>
                <w:tcPr>
                  <w:tcW w:w="373" w:type="pct"/>
                  <w:vMerge w:val="restart"/>
                  <w:noWrap w:val="0"/>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w:t>
                  </w:r>
                </w:p>
              </w:tc>
              <w:tc>
                <w:tcPr>
                  <w:tcW w:w="566" w:type="pct"/>
                  <w:vMerge w:val="restart"/>
                  <w:noWrap w:val="0"/>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厂房外设置监控点</w:t>
                  </w:r>
                </w:p>
              </w:tc>
              <w:tc>
                <w:tcPr>
                  <w:tcW w:w="1208" w:type="pct"/>
                  <w:noWrap w:val="0"/>
                  <w:vAlign w:val="center"/>
                </w:tcPr>
                <w:p>
                  <w:pPr>
                    <w:bidi w:val="0"/>
                    <w:spacing w:line="240" w:lineRule="auto"/>
                    <w:jc w:val="center"/>
                    <w:rPr>
                      <w:rFonts w:hint="default"/>
                      <w:sz w:val="21"/>
                      <w:szCs w:val="21"/>
                      <w:vertAlign w:val="baseline"/>
                      <w:lang w:val="en-US" w:eastAsia="zh-CN"/>
                    </w:rPr>
                  </w:pPr>
                  <w:r>
                    <w:rPr>
                      <w:rFonts w:hint="default"/>
                      <w:sz w:val="21"/>
                      <w:szCs w:val="21"/>
                      <w:vertAlign w:val="baseline"/>
                      <w:lang w:val="en-US" w:eastAsia="zh-CN"/>
                    </w:rPr>
                    <w:t>6.0（监控点处 1h 平均浓度值）</w:t>
                  </w:r>
                </w:p>
              </w:tc>
              <w:tc>
                <w:tcPr>
                  <w:tcW w:w="1187" w:type="pct"/>
                  <w:vMerge w:val="restart"/>
                  <w:noWrap w:val="0"/>
                  <w:vAlign w:val="center"/>
                </w:tcPr>
                <w:p>
                  <w:pPr>
                    <w:bidi w:val="0"/>
                    <w:spacing w:line="240" w:lineRule="auto"/>
                    <w:jc w:val="center"/>
                    <w:rPr>
                      <w:rFonts w:hint="default"/>
                      <w:sz w:val="21"/>
                      <w:szCs w:val="21"/>
                      <w:vertAlign w:val="baseline"/>
                      <w:lang w:val="en-US" w:eastAsia="zh-CN"/>
                    </w:rPr>
                  </w:pPr>
                  <w:r>
                    <w:rPr>
                      <w:rFonts w:hint="default"/>
                      <w:sz w:val="21"/>
                      <w:szCs w:val="21"/>
                      <w:vertAlign w:val="baseline"/>
                      <w:lang w:val="en-US" w:eastAsia="zh-CN"/>
                    </w:rPr>
                    <w:t>《挥发性有机物无组织排放控制标准》（GB37822-2019）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46" w:type="pct"/>
                  <w:vMerge w:val="continue"/>
                  <w:noWrap w:val="0"/>
                  <w:vAlign w:val="center"/>
                </w:tcPr>
                <w:p>
                  <w:pPr>
                    <w:bidi w:val="0"/>
                    <w:spacing w:line="240" w:lineRule="auto"/>
                    <w:jc w:val="center"/>
                  </w:pPr>
                </w:p>
              </w:tc>
              <w:tc>
                <w:tcPr>
                  <w:tcW w:w="390" w:type="pct"/>
                  <w:vMerge w:val="continue"/>
                  <w:noWrap w:val="0"/>
                  <w:vAlign w:val="center"/>
                </w:tcPr>
                <w:p>
                  <w:pPr>
                    <w:bidi w:val="0"/>
                    <w:spacing w:line="240" w:lineRule="auto"/>
                    <w:jc w:val="center"/>
                  </w:pPr>
                </w:p>
              </w:tc>
              <w:tc>
                <w:tcPr>
                  <w:tcW w:w="527" w:type="pct"/>
                  <w:vMerge w:val="continue"/>
                  <w:noWrap w:val="0"/>
                  <w:vAlign w:val="center"/>
                </w:tcPr>
                <w:p>
                  <w:pPr>
                    <w:bidi w:val="0"/>
                    <w:spacing w:line="240" w:lineRule="auto"/>
                    <w:jc w:val="center"/>
                  </w:pPr>
                </w:p>
              </w:tc>
              <w:tc>
                <w:tcPr>
                  <w:tcW w:w="373" w:type="pct"/>
                  <w:vMerge w:val="continue"/>
                  <w:noWrap w:val="0"/>
                  <w:vAlign w:val="center"/>
                </w:tcPr>
                <w:p>
                  <w:pPr>
                    <w:bidi w:val="0"/>
                    <w:spacing w:line="240" w:lineRule="auto"/>
                    <w:jc w:val="center"/>
                  </w:pPr>
                </w:p>
              </w:tc>
              <w:tc>
                <w:tcPr>
                  <w:tcW w:w="566" w:type="pct"/>
                  <w:vMerge w:val="continue"/>
                  <w:noWrap w:val="0"/>
                  <w:vAlign w:val="center"/>
                </w:tcPr>
                <w:p>
                  <w:pPr>
                    <w:bidi w:val="0"/>
                    <w:spacing w:line="240" w:lineRule="auto"/>
                    <w:jc w:val="center"/>
                  </w:pPr>
                </w:p>
              </w:tc>
              <w:tc>
                <w:tcPr>
                  <w:tcW w:w="1208" w:type="pct"/>
                  <w:noWrap w:val="0"/>
                  <w:vAlign w:val="center"/>
                </w:tcPr>
                <w:p>
                  <w:pPr>
                    <w:bidi w:val="0"/>
                    <w:spacing w:line="240" w:lineRule="auto"/>
                    <w:jc w:val="center"/>
                    <w:rPr>
                      <w:rFonts w:hint="default"/>
                      <w:sz w:val="21"/>
                      <w:szCs w:val="21"/>
                      <w:vertAlign w:val="baseline"/>
                      <w:lang w:val="en-US" w:eastAsia="zh-CN"/>
                    </w:rPr>
                  </w:pPr>
                  <w:r>
                    <w:rPr>
                      <w:rFonts w:hint="default"/>
                      <w:sz w:val="21"/>
                      <w:szCs w:val="21"/>
                      <w:vertAlign w:val="baseline"/>
                      <w:lang w:val="en-US" w:eastAsia="zh-CN"/>
                    </w:rPr>
                    <w:t>20（监控点处任意一次浓度值）</w:t>
                  </w:r>
                </w:p>
              </w:tc>
              <w:tc>
                <w:tcPr>
                  <w:tcW w:w="1187" w:type="pct"/>
                  <w:vMerge w:val="continue"/>
                  <w:noWrap w:val="0"/>
                  <w:vAlign w:val="center"/>
                </w:tcPr>
                <w:p>
                  <w:pPr>
                    <w:bidi w:val="0"/>
                    <w:spacing w:line="240" w:lineRule="auto"/>
                    <w:jc w:val="center"/>
                    <w:rPr>
                      <w:rFonts w:hint="default"/>
                      <w:sz w:val="21"/>
                      <w:szCs w:val="21"/>
                      <w:vertAlign w:val="baseline"/>
                      <w:lang w:val="en-US" w:eastAsia="zh-CN"/>
                    </w:rPr>
                  </w:pPr>
                </w:p>
              </w:tc>
            </w:tr>
          </w:tbl>
          <w:p>
            <w:pPr>
              <w:jc w:val="left"/>
              <w:rPr>
                <w:bCs/>
              </w:rPr>
            </w:pPr>
            <w:r>
              <w:rPr>
                <w:b/>
                <w:bCs w:val="0"/>
              </w:rPr>
              <w:t>3、环境噪声排放标准</w:t>
            </w:r>
          </w:p>
          <w:p>
            <w:pPr>
              <w:spacing w:line="240" w:lineRule="auto"/>
              <w:jc w:val="center"/>
              <w:rPr>
                <w:b/>
                <w:color w:val="FF0000"/>
                <w:sz w:val="21"/>
                <w:szCs w:val="21"/>
              </w:rPr>
            </w:pPr>
            <w:r>
              <w:rPr>
                <w:b/>
                <w:sz w:val="21"/>
                <w:szCs w:val="21"/>
              </w:rPr>
              <w:t>表4-</w:t>
            </w:r>
            <w:r>
              <w:rPr>
                <w:rFonts w:hint="eastAsia"/>
                <w:b/>
                <w:sz w:val="21"/>
                <w:szCs w:val="21"/>
                <w:lang w:val="en-US" w:eastAsia="zh-CN"/>
              </w:rPr>
              <w:t>6</w:t>
            </w:r>
            <w:r>
              <w:rPr>
                <w:b/>
                <w:sz w:val="21"/>
                <w:szCs w:val="21"/>
              </w:rPr>
              <w:t xml:space="preserve"> 环境噪声排放标准</w:t>
            </w:r>
          </w:p>
          <w:tbl>
            <w:tblPr>
              <w:tblStyle w:val="26"/>
              <w:tblW w:w="8936"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526"/>
              <w:gridCol w:w="3121"/>
              <w:gridCol w:w="817"/>
              <w:gridCol w:w="1164"/>
              <w:gridCol w:w="1137"/>
              <w:gridCol w:w="117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64" w:hRule="atLeast"/>
                <w:jc w:val="center"/>
              </w:trPr>
              <w:tc>
                <w:tcPr>
                  <w:tcW w:w="1526" w:type="dxa"/>
                  <w:vMerge w:val="restart"/>
                  <w:noWrap w:val="0"/>
                  <w:vAlign w:val="center"/>
                </w:tcPr>
                <w:p>
                  <w:pPr>
                    <w:snapToGrid w:val="0"/>
                    <w:spacing w:line="240" w:lineRule="auto"/>
                    <w:jc w:val="center"/>
                    <w:rPr>
                      <w:sz w:val="21"/>
                      <w:szCs w:val="21"/>
                    </w:rPr>
                  </w:pPr>
                  <w:r>
                    <w:rPr>
                      <w:sz w:val="21"/>
                      <w:szCs w:val="21"/>
                    </w:rPr>
                    <w:t>厂界名</w:t>
                  </w:r>
                </w:p>
              </w:tc>
              <w:tc>
                <w:tcPr>
                  <w:tcW w:w="3121" w:type="dxa"/>
                  <w:vMerge w:val="restart"/>
                  <w:noWrap w:val="0"/>
                  <w:vAlign w:val="center"/>
                </w:tcPr>
                <w:p>
                  <w:pPr>
                    <w:snapToGrid w:val="0"/>
                    <w:spacing w:line="240" w:lineRule="auto"/>
                    <w:jc w:val="center"/>
                    <w:rPr>
                      <w:sz w:val="21"/>
                      <w:szCs w:val="21"/>
                    </w:rPr>
                  </w:pPr>
                  <w:r>
                    <w:rPr>
                      <w:sz w:val="21"/>
                      <w:szCs w:val="21"/>
                    </w:rPr>
                    <w:t>执行标准</w:t>
                  </w:r>
                </w:p>
              </w:tc>
              <w:tc>
                <w:tcPr>
                  <w:tcW w:w="817" w:type="dxa"/>
                  <w:vMerge w:val="restart"/>
                  <w:noWrap w:val="0"/>
                  <w:vAlign w:val="center"/>
                </w:tcPr>
                <w:p>
                  <w:pPr>
                    <w:snapToGrid w:val="0"/>
                    <w:spacing w:line="240" w:lineRule="auto"/>
                    <w:jc w:val="center"/>
                    <w:rPr>
                      <w:sz w:val="21"/>
                      <w:szCs w:val="21"/>
                    </w:rPr>
                  </w:pPr>
                  <w:r>
                    <w:rPr>
                      <w:sz w:val="21"/>
                      <w:szCs w:val="21"/>
                    </w:rPr>
                    <w:t>级别</w:t>
                  </w:r>
                </w:p>
              </w:tc>
              <w:tc>
                <w:tcPr>
                  <w:tcW w:w="1164" w:type="dxa"/>
                  <w:vMerge w:val="restart"/>
                  <w:noWrap w:val="0"/>
                  <w:vAlign w:val="center"/>
                </w:tcPr>
                <w:p>
                  <w:pPr>
                    <w:snapToGrid w:val="0"/>
                    <w:spacing w:line="240" w:lineRule="auto"/>
                    <w:jc w:val="center"/>
                    <w:rPr>
                      <w:sz w:val="21"/>
                      <w:szCs w:val="21"/>
                    </w:rPr>
                  </w:pPr>
                  <w:r>
                    <w:rPr>
                      <w:sz w:val="21"/>
                      <w:szCs w:val="21"/>
                    </w:rPr>
                    <w:t>单位</w:t>
                  </w:r>
                </w:p>
              </w:tc>
              <w:tc>
                <w:tcPr>
                  <w:tcW w:w="2308" w:type="dxa"/>
                  <w:gridSpan w:val="2"/>
                  <w:noWrap w:val="0"/>
                  <w:vAlign w:val="center"/>
                </w:tcPr>
                <w:p>
                  <w:pPr>
                    <w:snapToGrid w:val="0"/>
                    <w:spacing w:line="240" w:lineRule="auto"/>
                    <w:jc w:val="center"/>
                    <w:rPr>
                      <w:sz w:val="21"/>
                      <w:szCs w:val="21"/>
                    </w:rPr>
                  </w:pPr>
                  <w:r>
                    <w:rPr>
                      <w:sz w:val="21"/>
                      <w:szCs w:val="21"/>
                    </w:rPr>
                    <w:t>标准限值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64" w:hRule="atLeast"/>
                <w:jc w:val="center"/>
              </w:trPr>
              <w:tc>
                <w:tcPr>
                  <w:tcW w:w="1526" w:type="dxa"/>
                  <w:vMerge w:val="continue"/>
                  <w:noWrap w:val="0"/>
                  <w:vAlign w:val="center"/>
                </w:tcPr>
                <w:p>
                  <w:pPr>
                    <w:snapToGrid w:val="0"/>
                    <w:spacing w:line="240" w:lineRule="auto"/>
                    <w:jc w:val="center"/>
                    <w:rPr>
                      <w:sz w:val="21"/>
                      <w:szCs w:val="21"/>
                    </w:rPr>
                  </w:pPr>
                </w:p>
              </w:tc>
              <w:tc>
                <w:tcPr>
                  <w:tcW w:w="3121" w:type="dxa"/>
                  <w:vMerge w:val="continue"/>
                  <w:noWrap w:val="0"/>
                  <w:vAlign w:val="center"/>
                </w:tcPr>
                <w:p>
                  <w:pPr>
                    <w:snapToGrid w:val="0"/>
                    <w:spacing w:line="240" w:lineRule="auto"/>
                    <w:jc w:val="center"/>
                    <w:rPr>
                      <w:sz w:val="21"/>
                      <w:szCs w:val="21"/>
                    </w:rPr>
                  </w:pPr>
                </w:p>
              </w:tc>
              <w:tc>
                <w:tcPr>
                  <w:tcW w:w="817" w:type="dxa"/>
                  <w:vMerge w:val="continue"/>
                  <w:noWrap w:val="0"/>
                  <w:vAlign w:val="center"/>
                </w:tcPr>
                <w:p>
                  <w:pPr>
                    <w:snapToGrid w:val="0"/>
                    <w:spacing w:line="240" w:lineRule="auto"/>
                    <w:jc w:val="center"/>
                    <w:rPr>
                      <w:sz w:val="21"/>
                      <w:szCs w:val="21"/>
                    </w:rPr>
                  </w:pPr>
                </w:p>
              </w:tc>
              <w:tc>
                <w:tcPr>
                  <w:tcW w:w="1164" w:type="dxa"/>
                  <w:vMerge w:val="continue"/>
                  <w:noWrap w:val="0"/>
                  <w:vAlign w:val="center"/>
                </w:tcPr>
                <w:p>
                  <w:pPr>
                    <w:snapToGrid w:val="0"/>
                    <w:spacing w:line="240" w:lineRule="auto"/>
                    <w:jc w:val="center"/>
                    <w:rPr>
                      <w:sz w:val="21"/>
                      <w:szCs w:val="21"/>
                    </w:rPr>
                  </w:pPr>
                </w:p>
              </w:tc>
              <w:tc>
                <w:tcPr>
                  <w:tcW w:w="1137" w:type="dxa"/>
                  <w:noWrap w:val="0"/>
                  <w:vAlign w:val="center"/>
                </w:tcPr>
                <w:p>
                  <w:pPr>
                    <w:snapToGrid w:val="0"/>
                    <w:spacing w:line="240" w:lineRule="auto"/>
                    <w:jc w:val="center"/>
                    <w:rPr>
                      <w:sz w:val="21"/>
                      <w:szCs w:val="21"/>
                    </w:rPr>
                  </w:pPr>
                  <w:r>
                    <w:rPr>
                      <w:sz w:val="21"/>
                      <w:szCs w:val="21"/>
                    </w:rPr>
                    <w:t>昼间</w:t>
                  </w:r>
                </w:p>
              </w:tc>
              <w:tc>
                <w:tcPr>
                  <w:tcW w:w="1171" w:type="dxa"/>
                  <w:noWrap w:val="0"/>
                  <w:vAlign w:val="center"/>
                </w:tcPr>
                <w:p>
                  <w:pPr>
                    <w:snapToGrid w:val="0"/>
                    <w:spacing w:line="240" w:lineRule="auto"/>
                    <w:jc w:val="center"/>
                    <w:rPr>
                      <w:sz w:val="21"/>
                      <w:szCs w:val="21"/>
                    </w:rPr>
                  </w:pPr>
                  <w:r>
                    <w:rPr>
                      <w:sz w:val="21"/>
                      <w:szCs w:val="21"/>
                    </w:rPr>
                    <w:t>夜间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527" w:hRule="atLeast"/>
                <w:jc w:val="center"/>
              </w:trPr>
              <w:tc>
                <w:tcPr>
                  <w:tcW w:w="1526" w:type="dxa"/>
                  <w:noWrap w:val="0"/>
                  <w:vAlign w:val="center"/>
                </w:tcPr>
                <w:p>
                  <w:pPr>
                    <w:snapToGrid w:val="0"/>
                    <w:spacing w:line="240" w:lineRule="auto"/>
                    <w:jc w:val="center"/>
                    <w:rPr>
                      <w:sz w:val="21"/>
                      <w:szCs w:val="21"/>
                    </w:rPr>
                  </w:pPr>
                  <w:r>
                    <w:rPr>
                      <w:sz w:val="21"/>
                      <w:szCs w:val="21"/>
                    </w:rPr>
                    <w:t>东、南、西、北厂界</w:t>
                  </w:r>
                </w:p>
              </w:tc>
              <w:tc>
                <w:tcPr>
                  <w:tcW w:w="3121" w:type="dxa"/>
                  <w:noWrap w:val="0"/>
                  <w:vAlign w:val="center"/>
                </w:tcPr>
                <w:p>
                  <w:pPr>
                    <w:snapToGrid w:val="0"/>
                    <w:spacing w:line="240" w:lineRule="auto"/>
                    <w:jc w:val="center"/>
                    <w:rPr>
                      <w:sz w:val="21"/>
                      <w:szCs w:val="21"/>
                    </w:rPr>
                  </w:pPr>
                  <w:r>
                    <w:rPr>
                      <w:sz w:val="21"/>
                      <w:szCs w:val="21"/>
                    </w:rPr>
                    <w:t>《工业企业厂界环境噪声排放标准》（GB12348-2008）</w:t>
                  </w:r>
                </w:p>
              </w:tc>
              <w:tc>
                <w:tcPr>
                  <w:tcW w:w="817" w:type="dxa"/>
                  <w:noWrap w:val="0"/>
                  <w:vAlign w:val="center"/>
                </w:tcPr>
                <w:p>
                  <w:pPr>
                    <w:snapToGrid w:val="0"/>
                    <w:spacing w:line="240" w:lineRule="auto"/>
                    <w:jc w:val="center"/>
                    <w:rPr>
                      <w:sz w:val="21"/>
                      <w:szCs w:val="21"/>
                    </w:rPr>
                  </w:pPr>
                  <w:r>
                    <w:rPr>
                      <w:sz w:val="21"/>
                      <w:szCs w:val="21"/>
                    </w:rPr>
                    <w:t>3</w:t>
                  </w:r>
                </w:p>
              </w:tc>
              <w:tc>
                <w:tcPr>
                  <w:tcW w:w="1164" w:type="dxa"/>
                  <w:noWrap w:val="0"/>
                  <w:vAlign w:val="center"/>
                </w:tcPr>
                <w:p>
                  <w:pPr>
                    <w:snapToGrid w:val="0"/>
                    <w:spacing w:line="240" w:lineRule="auto"/>
                    <w:jc w:val="center"/>
                    <w:rPr>
                      <w:sz w:val="21"/>
                      <w:szCs w:val="21"/>
                    </w:rPr>
                  </w:pPr>
                  <w:r>
                    <w:rPr>
                      <w:sz w:val="21"/>
                      <w:szCs w:val="21"/>
                    </w:rPr>
                    <w:t>dB(A)</w:t>
                  </w:r>
                </w:p>
              </w:tc>
              <w:tc>
                <w:tcPr>
                  <w:tcW w:w="1137" w:type="dxa"/>
                  <w:noWrap w:val="0"/>
                  <w:vAlign w:val="center"/>
                </w:tcPr>
                <w:p>
                  <w:pPr>
                    <w:snapToGrid w:val="0"/>
                    <w:spacing w:line="240" w:lineRule="auto"/>
                    <w:jc w:val="center"/>
                    <w:rPr>
                      <w:sz w:val="21"/>
                      <w:szCs w:val="21"/>
                    </w:rPr>
                  </w:pPr>
                  <w:r>
                    <w:rPr>
                      <w:sz w:val="21"/>
                      <w:szCs w:val="21"/>
                    </w:rPr>
                    <w:t>65</w:t>
                  </w:r>
                </w:p>
              </w:tc>
              <w:tc>
                <w:tcPr>
                  <w:tcW w:w="1171" w:type="dxa"/>
                  <w:noWrap w:val="0"/>
                  <w:vAlign w:val="center"/>
                </w:tcPr>
                <w:p>
                  <w:pPr>
                    <w:snapToGrid w:val="0"/>
                    <w:spacing w:line="240" w:lineRule="auto"/>
                    <w:jc w:val="center"/>
                    <w:rPr>
                      <w:sz w:val="21"/>
                      <w:szCs w:val="21"/>
                    </w:rPr>
                  </w:pPr>
                  <w:r>
                    <w:rPr>
                      <w:sz w:val="21"/>
                      <w:szCs w:val="21"/>
                    </w:rPr>
                    <w:t>55</w:t>
                  </w:r>
                </w:p>
              </w:tc>
            </w:tr>
          </w:tbl>
          <w:p>
            <w:pPr>
              <w:bidi w:val="0"/>
              <w:rPr>
                <w:b/>
                <w:bCs/>
              </w:rPr>
            </w:pPr>
            <w:r>
              <w:rPr>
                <w:b/>
                <w:bCs/>
              </w:rPr>
              <w:t xml:space="preserve">4、固废污染控制标准 </w:t>
            </w:r>
          </w:p>
          <w:p>
            <w:pPr>
              <w:bidi w:val="0"/>
              <w:ind w:firstLine="480" w:firstLineChars="200"/>
            </w:pPr>
            <w:r>
              <w:t>项目产生的一般工业固体废</w:t>
            </w:r>
            <w:r>
              <w:rPr>
                <w:rFonts w:ascii="Times New Roman" w:hAnsi="Times New Roman" w:cs="Times New Roman"/>
                <w:szCs w:val="28"/>
              </w:rPr>
              <w:t>物贮存按照《一般工业固体废物贮存、处置场污染控制标准》（GB18599-2001）及其修改单要求进行设置，危险固废应按照《危险废物贮存污染控制标准》（GB18597-2001）及其修改单要求进行设置、《关于修订&lt;危险废物贮存污染控制标准&gt;有关意见的复函》（环函[2010]264）及《危险废物收集储存运 输技术规范》（HJ2025-2012）中相关规定要求进行危险废物的包装、贮存设施的选址、设计、运行、安全防护、监测和关闭等要求进行合理的贮存。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jc w:val="center"/>
              <w:rPr>
                <w:rFonts w:hint="eastAsia"/>
                <w:b/>
                <w:bCs/>
                <w:lang w:val="en-US" w:eastAsia="zh-CN"/>
              </w:rPr>
            </w:pPr>
            <w:r>
              <w:t>总量控制指标</w:t>
            </w:r>
          </w:p>
        </w:tc>
        <w:tc>
          <w:tcPr>
            <w:tcW w:w="9164" w:type="dxa"/>
            <w:noWrap w:val="0"/>
            <w:vAlign w:val="center"/>
          </w:tcPr>
          <w:p>
            <w:pPr>
              <w:ind w:firstLine="480" w:firstLineChars="200"/>
              <w:jc w:val="left"/>
            </w:pPr>
            <w:r>
              <w:t>1、根据国务院关于印发《</w:t>
            </w:r>
            <w:r>
              <w:rPr>
                <w:rFonts w:hint="eastAsia"/>
                <w:lang w:eastAsia="zh-CN"/>
              </w:rPr>
              <w:t>“</w:t>
            </w:r>
            <w:r>
              <w:t>十三五</w:t>
            </w:r>
            <w:r>
              <w:rPr>
                <w:rFonts w:hint="eastAsia"/>
                <w:lang w:eastAsia="zh-CN"/>
              </w:rPr>
              <w:t>”</w:t>
            </w:r>
            <w:r>
              <w:t>生态环境保护规划的通知》国发[2016]65号，本项目大气污染物总量控制因子为</w:t>
            </w:r>
            <w:r>
              <w:rPr>
                <w:kern w:val="0"/>
              </w:rPr>
              <w:t>非甲烷总烃，考核因子为</w:t>
            </w:r>
            <w:r>
              <w:t>颗粒物，水污染物总量控制因子COD、氨氮、TP、TN，考核因子为SS。</w:t>
            </w:r>
          </w:p>
          <w:p>
            <w:pPr>
              <w:ind w:firstLine="480" w:firstLineChars="200"/>
              <w:jc w:val="left"/>
            </w:pPr>
            <w:r>
              <w:t>本项目污染物的总量控制指标见下表：</w:t>
            </w:r>
          </w:p>
          <w:p>
            <w:pPr>
              <w:jc w:val="center"/>
              <w:rPr>
                <w:b/>
                <w:color w:val="000000"/>
                <w:sz w:val="21"/>
                <w:szCs w:val="21"/>
              </w:rPr>
            </w:pPr>
            <w:r>
              <w:rPr>
                <w:b/>
                <w:bCs/>
                <w:color w:val="000000"/>
                <w:sz w:val="21"/>
                <w:szCs w:val="21"/>
              </w:rPr>
              <w:t>表4-</w:t>
            </w:r>
            <w:r>
              <w:rPr>
                <w:rFonts w:hint="eastAsia"/>
                <w:b/>
                <w:bCs/>
                <w:color w:val="000000"/>
                <w:sz w:val="21"/>
                <w:szCs w:val="21"/>
                <w:lang w:val="en-US" w:eastAsia="zh-CN"/>
              </w:rPr>
              <w:t>7</w:t>
            </w:r>
            <w:r>
              <w:rPr>
                <w:b/>
                <w:bCs/>
                <w:color w:val="000000"/>
                <w:sz w:val="21"/>
                <w:szCs w:val="21"/>
              </w:rPr>
              <w:t xml:space="preserve"> 本项目污染物排放总量</w:t>
            </w:r>
            <w:r>
              <w:rPr>
                <w:rFonts w:hint="eastAsia"/>
                <w:b/>
                <w:bCs/>
                <w:color w:val="000000"/>
                <w:sz w:val="21"/>
                <w:szCs w:val="21"/>
                <w:lang w:eastAsia="zh-CN"/>
              </w:rPr>
              <w:t>“</w:t>
            </w:r>
            <w:r>
              <w:rPr>
                <w:b/>
                <w:bCs/>
                <w:color w:val="000000"/>
                <w:sz w:val="21"/>
                <w:szCs w:val="21"/>
              </w:rPr>
              <w:t>三本帐</w:t>
            </w:r>
            <w:r>
              <w:rPr>
                <w:rFonts w:hint="eastAsia"/>
                <w:b/>
                <w:bCs/>
                <w:color w:val="000000"/>
                <w:sz w:val="21"/>
                <w:szCs w:val="21"/>
                <w:lang w:eastAsia="zh-CN"/>
              </w:rPr>
              <w:t>”</w:t>
            </w:r>
            <w:r>
              <w:rPr>
                <w:b/>
                <w:color w:val="000000"/>
                <w:sz w:val="21"/>
                <w:szCs w:val="21"/>
              </w:rPr>
              <w:t>（单位：t/a）</w:t>
            </w:r>
          </w:p>
          <w:tbl>
            <w:tblPr>
              <w:tblStyle w:val="26"/>
              <w:tblW w:w="904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378"/>
              <w:gridCol w:w="722"/>
              <w:gridCol w:w="1086"/>
              <w:gridCol w:w="883"/>
              <w:gridCol w:w="837"/>
              <w:gridCol w:w="837"/>
              <w:gridCol w:w="839"/>
              <w:gridCol w:w="923"/>
              <w:gridCol w:w="1292"/>
              <w:gridCol w:w="124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20" w:hRule="atLeast"/>
              </w:trPr>
              <w:tc>
                <w:tcPr>
                  <w:tcW w:w="1100" w:type="dxa"/>
                  <w:gridSpan w:val="2"/>
                  <w:vMerge w:val="restart"/>
                  <w:noWrap w:val="0"/>
                  <w:vAlign w:val="center"/>
                </w:tcPr>
                <w:p>
                  <w:pPr>
                    <w:spacing w:line="240" w:lineRule="auto"/>
                    <w:jc w:val="center"/>
                    <w:rPr>
                      <w:rFonts w:hint="default"/>
                      <w:sz w:val="21"/>
                      <w:szCs w:val="21"/>
                    </w:rPr>
                  </w:pPr>
                  <w:r>
                    <w:rPr>
                      <w:rFonts w:hint="default"/>
                      <w:sz w:val="21"/>
                      <w:szCs w:val="21"/>
                    </w:rPr>
                    <w:t>种类</w:t>
                  </w:r>
                </w:p>
              </w:tc>
              <w:tc>
                <w:tcPr>
                  <w:tcW w:w="1086" w:type="dxa"/>
                  <w:vMerge w:val="restart"/>
                  <w:noWrap w:val="0"/>
                  <w:vAlign w:val="center"/>
                </w:tcPr>
                <w:p>
                  <w:pPr>
                    <w:spacing w:line="240" w:lineRule="auto"/>
                    <w:jc w:val="center"/>
                    <w:rPr>
                      <w:rFonts w:hint="default"/>
                      <w:sz w:val="21"/>
                      <w:szCs w:val="21"/>
                    </w:rPr>
                  </w:pPr>
                  <w:r>
                    <w:rPr>
                      <w:rFonts w:hint="default"/>
                      <w:sz w:val="21"/>
                      <w:szCs w:val="21"/>
                    </w:rPr>
                    <w:t>污染物名称</w:t>
                  </w:r>
                </w:p>
              </w:tc>
              <w:tc>
                <w:tcPr>
                  <w:tcW w:w="883" w:type="dxa"/>
                  <w:vMerge w:val="restart"/>
                  <w:noWrap w:val="0"/>
                  <w:vAlign w:val="center"/>
                </w:tcPr>
                <w:p>
                  <w:pPr>
                    <w:spacing w:line="240" w:lineRule="auto"/>
                    <w:jc w:val="center"/>
                    <w:rPr>
                      <w:rFonts w:hint="default" w:eastAsia="宋体"/>
                      <w:sz w:val="21"/>
                      <w:szCs w:val="21"/>
                      <w:lang w:val="en-US" w:eastAsia="zh-CN"/>
                    </w:rPr>
                  </w:pPr>
                  <w:r>
                    <w:rPr>
                      <w:rFonts w:hint="eastAsia"/>
                      <w:sz w:val="21"/>
                      <w:szCs w:val="21"/>
                      <w:lang w:val="en-US" w:eastAsia="zh-CN"/>
                    </w:rPr>
                    <w:t>扩建前排放量</w:t>
                  </w:r>
                </w:p>
              </w:tc>
              <w:tc>
                <w:tcPr>
                  <w:tcW w:w="2513" w:type="dxa"/>
                  <w:gridSpan w:val="3"/>
                  <w:noWrap w:val="0"/>
                  <w:vAlign w:val="center"/>
                </w:tcPr>
                <w:p>
                  <w:pPr>
                    <w:spacing w:line="240" w:lineRule="auto"/>
                    <w:jc w:val="center"/>
                    <w:rPr>
                      <w:rFonts w:hint="default" w:eastAsia="宋体"/>
                      <w:sz w:val="21"/>
                      <w:szCs w:val="21"/>
                      <w:lang w:val="en-US" w:eastAsia="zh-CN"/>
                    </w:rPr>
                  </w:pPr>
                  <w:r>
                    <w:rPr>
                      <w:rFonts w:hint="eastAsia"/>
                      <w:sz w:val="21"/>
                      <w:szCs w:val="21"/>
                      <w:lang w:val="en-US" w:eastAsia="zh-CN"/>
                    </w:rPr>
                    <w:t>本工程（改扩建）</w:t>
                  </w:r>
                </w:p>
              </w:tc>
              <w:tc>
                <w:tcPr>
                  <w:tcW w:w="923" w:type="dxa"/>
                  <w:vMerge w:val="restart"/>
                  <w:noWrap w:val="0"/>
                  <w:vAlign w:val="center"/>
                </w:tcPr>
                <w:p>
                  <w:pPr>
                    <w:spacing w:line="240" w:lineRule="auto"/>
                    <w:jc w:val="center"/>
                    <w:rPr>
                      <w:rFonts w:hint="default"/>
                      <w:sz w:val="21"/>
                      <w:szCs w:val="21"/>
                    </w:rPr>
                  </w:pPr>
                  <w:r>
                    <w:rPr>
                      <w:rFonts w:hint="eastAsia"/>
                      <w:sz w:val="21"/>
                      <w:szCs w:val="21"/>
                      <w:lang w:val="en-US" w:eastAsia="zh-CN"/>
                    </w:rPr>
                    <w:t>以老带新</w:t>
                  </w:r>
                  <w:r>
                    <w:rPr>
                      <w:rFonts w:hint="default"/>
                      <w:sz w:val="21"/>
                      <w:szCs w:val="21"/>
                    </w:rPr>
                    <w:t>削减量</w:t>
                  </w:r>
                </w:p>
              </w:tc>
              <w:tc>
                <w:tcPr>
                  <w:tcW w:w="1292" w:type="dxa"/>
                  <w:vMerge w:val="restart"/>
                  <w:noWrap w:val="0"/>
                  <w:vAlign w:val="center"/>
                </w:tcPr>
                <w:p>
                  <w:pPr>
                    <w:spacing w:line="240" w:lineRule="auto"/>
                    <w:jc w:val="center"/>
                    <w:rPr>
                      <w:rFonts w:hint="default" w:eastAsia="宋体"/>
                      <w:sz w:val="21"/>
                      <w:szCs w:val="21"/>
                      <w:lang w:val="en-US" w:eastAsia="zh-CN"/>
                    </w:rPr>
                  </w:pPr>
                  <w:r>
                    <w:rPr>
                      <w:rFonts w:hint="eastAsia"/>
                      <w:sz w:val="21"/>
                      <w:szCs w:val="21"/>
                      <w:lang w:val="en-US" w:eastAsia="zh-CN"/>
                    </w:rPr>
                    <w:t>排放增减量</w:t>
                  </w:r>
                </w:p>
              </w:tc>
              <w:tc>
                <w:tcPr>
                  <w:tcW w:w="1243" w:type="dxa"/>
                  <w:vMerge w:val="restart"/>
                  <w:noWrap w:val="0"/>
                  <w:vAlign w:val="center"/>
                </w:tcPr>
                <w:p>
                  <w:pPr>
                    <w:spacing w:line="240" w:lineRule="auto"/>
                    <w:jc w:val="center"/>
                    <w:rPr>
                      <w:rFonts w:hint="default"/>
                      <w:sz w:val="21"/>
                      <w:szCs w:val="21"/>
                    </w:rPr>
                  </w:pPr>
                  <w:r>
                    <w:rPr>
                      <w:rFonts w:hint="eastAsia"/>
                      <w:sz w:val="21"/>
                      <w:szCs w:val="21"/>
                      <w:lang w:val="en-US" w:eastAsia="zh-CN"/>
                    </w:rPr>
                    <w:t>最终排放量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90" w:hRule="atLeast"/>
              </w:trPr>
              <w:tc>
                <w:tcPr>
                  <w:tcW w:w="1100" w:type="dxa"/>
                  <w:gridSpan w:val="2"/>
                  <w:vMerge w:val="continue"/>
                  <w:noWrap w:val="0"/>
                  <w:vAlign w:val="center"/>
                </w:tcPr>
                <w:p>
                  <w:pPr>
                    <w:spacing w:line="240" w:lineRule="auto"/>
                    <w:jc w:val="center"/>
                    <w:rPr>
                      <w:rFonts w:hint="default"/>
                      <w:sz w:val="21"/>
                      <w:szCs w:val="21"/>
                    </w:rPr>
                  </w:pPr>
                </w:p>
              </w:tc>
              <w:tc>
                <w:tcPr>
                  <w:tcW w:w="1086" w:type="dxa"/>
                  <w:vMerge w:val="continue"/>
                  <w:noWrap w:val="0"/>
                  <w:vAlign w:val="center"/>
                </w:tcPr>
                <w:p>
                  <w:pPr>
                    <w:spacing w:line="240" w:lineRule="auto"/>
                    <w:jc w:val="center"/>
                    <w:rPr>
                      <w:rFonts w:hint="default"/>
                      <w:sz w:val="21"/>
                      <w:szCs w:val="21"/>
                    </w:rPr>
                  </w:pPr>
                </w:p>
              </w:tc>
              <w:tc>
                <w:tcPr>
                  <w:tcW w:w="883" w:type="dxa"/>
                  <w:vMerge w:val="continue"/>
                  <w:noWrap w:val="0"/>
                  <w:vAlign w:val="center"/>
                </w:tcPr>
                <w:p>
                  <w:pPr>
                    <w:spacing w:line="240" w:lineRule="auto"/>
                    <w:jc w:val="center"/>
                    <w:rPr>
                      <w:rFonts w:hint="default"/>
                      <w:sz w:val="21"/>
                      <w:szCs w:val="21"/>
                    </w:rPr>
                  </w:pPr>
                </w:p>
              </w:tc>
              <w:tc>
                <w:tcPr>
                  <w:tcW w:w="837" w:type="dxa"/>
                  <w:noWrap w:val="0"/>
                  <w:vAlign w:val="center"/>
                </w:tcPr>
                <w:p>
                  <w:pPr>
                    <w:spacing w:line="240" w:lineRule="auto"/>
                    <w:jc w:val="center"/>
                    <w:rPr>
                      <w:rFonts w:hint="default" w:eastAsia="宋体"/>
                      <w:sz w:val="21"/>
                      <w:szCs w:val="21"/>
                      <w:lang w:val="en-US" w:eastAsia="zh-CN"/>
                    </w:rPr>
                  </w:pPr>
                  <w:r>
                    <w:rPr>
                      <w:rFonts w:hint="eastAsia"/>
                      <w:sz w:val="21"/>
                      <w:szCs w:val="21"/>
                      <w:lang w:val="en-US" w:eastAsia="zh-CN"/>
                    </w:rPr>
                    <w:t>产生量</w:t>
                  </w:r>
                </w:p>
              </w:tc>
              <w:tc>
                <w:tcPr>
                  <w:tcW w:w="837" w:type="dxa"/>
                  <w:noWrap w:val="0"/>
                  <w:vAlign w:val="center"/>
                </w:tcPr>
                <w:p>
                  <w:pPr>
                    <w:spacing w:line="240" w:lineRule="auto"/>
                    <w:jc w:val="center"/>
                    <w:rPr>
                      <w:rFonts w:hint="default" w:eastAsia="宋体"/>
                      <w:sz w:val="21"/>
                      <w:szCs w:val="21"/>
                      <w:lang w:val="en-US" w:eastAsia="zh-CN"/>
                    </w:rPr>
                  </w:pPr>
                  <w:r>
                    <w:rPr>
                      <w:rFonts w:hint="eastAsia"/>
                      <w:sz w:val="21"/>
                      <w:szCs w:val="21"/>
                      <w:lang w:val="en-US" w:eastAsia="zh-CN"/>
                    </w:rPr>
                    <w:t>消减量</w:t>
                  </w:r>
                </w:p>
              </w:tc>
              <w:tc>
                <w:tcPr>
                  <w:tcW w:w="839" w:type="dxa"/>
                  <w:noWrap w:val="0"/>
                  <w:vAlign w:val="center"/>
                </w:tcPr>
                <w:p>
                  <w:pPr>
                    <w:spacing w:line="240" w:lineRule="auto"/>
                    <w:jc w:val="center"/>
                    <w:rPr>
                      <w:rFonts w:hint="eastAsia" w:eastAsia="宋体"/>
                      <w:sz w:val="21"/>
                      <w:szCs w:val="21"/>
                      <w:lang w:val="en-US" w:eastAsia="zh-CN"/>
                    </w:rPr>
                  </w:pPr>
                  <w:r>
                    <w:rPr>
                      <w:rFonts w:hint="eastAsia"/>
                      <w:sz w:val="21"/>
                      <w:szCs w:val="21"/>
                      <w:lang w:val="en-US" w:eastAsia="zh-CN"/>
                    </w:rPr>
                    <w:t>排放量</w:t>
                  </w:r>
                </w:p>
              </w:tc>
              <w:tc>
                <w:tcPr>
                  <w:tcW w:w="923" w:type="dxa"/>
                  <w:vMerge w:val="continue"/>
                  <w:noWrap w:val="0"/>
                  <w:vAlign w:val="center"/>
                </w:tcPr>
                <w:p>
                  <w:pPr>
                    <w:spacing w:line="240" w:lineRule="auto"/>
                    <w:jc w:val="center"/>
                    <w:rPr>
                      <w:rFonts w:hint="default"/>
                      <w:sz w:val="21"/>
                      <w:szCs w:val="21"/>
                    </w:rPr>
                  </w:pPr>
                </w:p>
              </w:tc>
              <w:tc>
                <w:tcPr>
                  <w:tcW w:w="1292" w:type="dxa"/>
                  <w:vMerge w:val="continue"/>
                  <w:noWrap w:val="0"/>
                  <w:vAlign w:val="center"/>
                </w:tcPr>
                <w:p>
                  <w:pPr>
                    <w:spacing w:line="240" w:lineRule="auto"/>
                    <w:jc w:val="center"/>
                    <w:rPr>
                      <w:rFonts w:hint="default"/>
                      <w:sz w:val="21"/>
                      <w:szCs w:val="21"/>
                    </w:rPr>
                  </w:pPr>
                </w:p>
              </w:tc>
              <w:tc>
                <w:tcPr>
                  <w:tcW w:w="1243" w:type="dxa"/>
                  <w:vMerge w:val="continue"/>
                  <w:noWrap w:val="0"/>
                  <w:vAlign w:val="center"/>
                </w:tcPr>
                <w:p>
                  <w:pPr>
                    <w:spacing w:line="240" w:lineRule="auto"/>
                    <w:jc w:val="center"/>
                    <w:rPr>
                      <w:rFonts w:hint="default"/>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20" w:hRule="atLeast"/>
              </w:trPr>
              <w:tc>
                <w:tcPr>
                  <w:tcW w:w="1100" w:type="dxa"/>
                  <w:gridSpan w:val="2"/>
                  <w:vMerge w:val="restart"/>
                  <w:noWrap w:val="0"/>
                  <w:vAlign w:val="center"/>
                </w:tcPr>
                <w:p>
                  <w:pPr>
                    <w:spacing w:line="240" w:lineRule="auto"/>
                    <w:jc w:val="center"/>
                    <w:rPr>
                      <w:rFonts w:hint="default"/>
                      <w:sz w:val="21"/>
                      <w:szCs w:val="21"/>
                    </w:rPr>
                  </w:pPr>
                  <w:r>
                    <w:rPr>
                      <w:rFonts w:hint="default"/>
                      <w:sz w:val="21"/>
                      <w:szCs w:val="21"/>
                    </w:rPr>
                    <w:t>生活污水</w:t>
                  </w:r>
                </w:p>
              </w:tc>
              <w:tc>
                <w:tcPr>
                  <w:tcW w:w="1086" w:type="dxa"/>
                  <w:noWrap w:val="0"/>
                  <w:vAlign w:val="center"/>
                </w:tcPr>
                <w:p>
                  <w:pPr>
                    <w:spacing w:line="240" w:lineRule="auto"/>
                    <w:jc w:val="center"/>
                    <w:rPr>
                      <w:rFonts w:hint="default"/>
                      <w:sz w:val="21"/>
                      <w:szCs w:val="21"/>
                    </w:rPr>
                  </w:pPr>
                  <w:r>
                    <w:rPr>
                      <w:rFonts w:hint="default"/>
                      <w:sz w:val="21"/>
                      <w:szCs w:val="21"/>
                    </w:rPr>
                    <w:t>排水量</w:t>
                  </w:r>
                </w:p>
              </w:tc>
              <w:tc>
                <w:tcPr>
                  <w:tcW w:w="883" w:type="dxa"/>
                  <w:noWrap w:val="0"/>
                  <w:vAlign w:val="center"/>
                </w:tcPr>
                <w:p>
                  <w:pPr>
                    <w:spacing w:line="240" w:lineRule="auto"/>
                    <w:jc w:val="center"/>
                    <w:rPr>
                      <w:rFonts w:hint="default"/>
                      <w:sz w:val="21"/>
                      <w:szCs w:val="21"/>
                      <w:lang w:val="en-US" w:eastAsia="zh-CN"/>
                    </w:rPr>
                  </w:pPr>
                  <w:r>
                    <w:rPr>
                      <w:rFonts w:hint="eastAsia"/>
                      <w:sz w:val="21"/>
                      <w:szCs w:val="21"/>
                      <w:lang w:val="en-US" w:eastAsia="zh-CN"/>
                    </w:rPr>
                    <w:t>260</w:t>
                  </w:r>
                </w:p>
              </w:tc>
              <w:tc>
                <w:tcPr>
                  <w:tcW w:w="837" w:type="dxa"/>
                  <w:noWrap w:val="0"/>
                  <w:vAlign w:val="center"/>
                </w:tcPr>
                <w:p>
                  <w:pPr>
                    <w:spacing w:line="240" w:lineRule="auto"/>
                    <w:jc w:val="center"/>
                    <w:rPr>
                      <w:rFonts w:hint="default" w:eastAsia="宋体"/>
                      <w:sz w:val="21"/>
                      <w:szCs w:val="21"/>
                      <w:lang w:val="en-US" w:eastAsia="zh-CN"/>
                    </w:rPr>
                  </w:pPr>
                  <w:r>
                    <w:rPr>
                      <w:rFonts w:hint="eastAsia"/>
                      <w:sz w:val="21"/>
                      <w:szCs w:val="21"/>
                      <w:lang w:val="en-US" w:eastAsia="zh-CN"/>
                    </w:rPr>
                    <w:t>456</w:t>
                  </w:r>
                </w:p>
              </w:tc>
              <w:tc>
                <w:tcPr>
                  <w:tcW w:w="837" w:type="dxa"/>
                  <w:noWrap w:val="0"/>
                  <w:vAlign w:val="center"/>
                </w:tcPr>
                <w:p>
                  <w:pPr>
                    <w:spacing w:line="240" w:lineRule="auto"/>
                    <w:jc w:val="center"/>
                    <w:rPr>
                      <w:rFonts w:hint="eastAsia" w:eastAsia="宋体"/>
                      <w:sz w:val="21"/>
                      <w:szCs w:val="21"/>
                      <w:lang w:val="en-US" w:eastAsia="zh-CN"/>
                    </w:rPr>
                  </w:pPr>
                  <w:r>
                    <w:rPr>
                      <w:rFonts w:hint="eastAsia"/>
                      <w:sz w:val="21"/>
                      <w:szCs w:val="21"/>
                      <w:lang w:val="en-US" w:eastAsia="zh-CN"/>
                    </w:rPr>
                    <w:t>0</w:t>
                  </w:r>
                </w:p>
              </w:tc>
              <w:tc>
                <w:tcPr>
                  <w:tcW w:w="839"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456</w:t>
                  </w:r>
                </w:p>
              </w:tc>
              <w:tc>
                <w:tcPr>
                  <w:tcW w:w="923"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1292"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+456</w:t>
                  </w:r>
                </w:p>
              </w:tc>
              <w:tc>
                <w:tcPr>
                  <w:tcW w:w="1243" w:type="dxa"/>
                  <w:noWrap w:val="0"/>
                  <w:vAlign w:val="center"/>
                </w:tcPr>
                <w:p>
                  <w:pPr>
                    <w:spacing w:line="24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716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20" w:hRule="atLeast"/>
              </w:trPr>
              <w:tc>
                <w:tcPr>
                  <w:tcW w:w="1100" w:type="dxa"/>
                  <w:gridSpan w:val="2"/>
                  <w:vMerge w:val="continue"/>
                  <w:noWrap w:val="0"/>
                  <w:vAlign w:val="center"/>
                </w:tcPr>
                <w:p>
                  <w:pPr>
                    <w:spacing w:line="240" w:lineRule="auto"/>
                    <w:jc w:val="center"/>
                    <w:rPr>
                      <w:rFonts w:hint="default"/>
                      <w:sz w:val="21"/>
                      <w:szCs w:val="21"/>
                    </w:rPr>
                  </w:pPr>
                </w:p>
              </w:tc>
              <w:tc>
                <w:tcPr>
                  <w:tcW w:w="1086" w:type="dxa"/>
                  <w:noWrap w:val="0"/>
                  <w:vAlign w:val="center"/>
                </w:tcPr>
                <w:p>
                  <w:pPr>
                    <w:spacing w:line="240" w:lineRule="auto"/>
                    <w:jc w:val="center"/>
                    <w:rPr>
                      <w:rFonts w:hint="default"/>
                      <w:sz w:val="21"/>
                      <w:szCs w:val="21"/>
                    </w:rPr>
                  </w:pPr>
                  <w:r>
                    <w:rPr>
                      <w:rFonts w:hint="default"/>
                      <w:sz w:val="21"/>
                      <w:szCs w:val="21"/>
                    </w:rPr>
                    <w:t>COD</w:t>
                  </w:r>
                </w:p>
              </w:tc>
              <w:tc>
                <w:tcPr>
                  <w:tcW w:w="883" w:type="dxa"/>
                  <w:noWrap w:val="0"/>
                  <w:vAlign w:val="center"/>
                </w:tcPr>
                <w:p>
                  <w:pPr>
                    <w:pStyle w:val="2"/>
                    <w:spacing w:line="240" w:lineRule="auto"/>
                    <w:ind w:firstLine="0" w:firstLineChars="0"/>
                    <w:jc w:val="center"/>
                    <w:rPr>
                      <w:rFonts w:hint="default"/>
                      <w:sz w:val="21"/>
                      <w:szCs w:val="21"/>
                      <w:lang w:val="en-US" w:eastAsia="zh-CN"/>
                    </w:rPr>
                  </w:pPr>
                  <w:r>
                    <w:rPr>
                      <w:rFonts w:hint="eastAsia"/>
                      <w:sz w:val="21"/>
                      <w:szCs w:val="21"/>
                      <w:lang w:val="en-US" w:eastAsia="zh-CN"/>
                    </w:rPr>
                    <w:t>0.098</w:t>
                  </w:r>
                </w:p>
              </w:tc>
              <w:tc>
                <w:tcPr>
                  <w:tcW w:w="837"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0.2052</w:t>
                  </w:r>
                </w:p>
              </w:tc>
              <w:tc>
                <w:tcPr>
                  <w:tcW w:w="837" w:type="dxa"/>
                  <w:noWrap w:val="0"/>
                  <w:vAlign w:val="center"/>
                </w:tcPr>
                <w:p>
                  <w:pPr>
                    <w:spacing w:line="240" w:lineRule="auto"/>
                    <w:jc w:val="center"/>
                    <w:rPr>
                      <w:rFonts w:hint="eastAsia" w:eastAsia="宋体"/>
                      <w:sz w:val="21"/>
                      <w:szCs w:val="21"/>
                      <w:lang w:val="en-US" w:eastAsia="zh-CN"/>
                    </w:rPr>
                  </w:pPr>
                  <w:r>
                    <w:rPr>
                      <w:rFonts w:hint="eastAsia"/>
                      <w:sz w:val="21"/>
                      <w:szCs w:val="21"/>
                      <w:lang w:val="en-US" w:eastAsia="zh-CN"/>
                    </w:rPr>
                    <w:t>0</w:t>
                  </w:r>
                </w:p>
              </w:tc>
              <w:tc>
                <w:tcPr>
                  <w:tcW w:w="839"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0.2052</w:t>
                  </w:r>
                </w:p>
              </w:tc>
              <w:tc>
                <w:tcPr>
                  <w:tcW w:w="923"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1292"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+0.2052</w:t>
                  </w:r>
                </w:p>
              </w:tc>
              <w:tc>
                <w:tcPr>
                  <w:tcW w:w="1243"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0.3032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20" w:hRule="atLeast"/>
              </w:trPr>
              <w:tc>
                <w:tcPr>
                  <w:tcW w:w="1100" w:type="dxa"/>
                  <w:gridSpan w:val="2"/>
                  <w:vMerge w:val="continue"/>
                  <w:noWrap w:val="0"/>
                  <w:vAlign w:val="center"/>
                </w:tcPr>
                <w:p>
                  <w:pPr>
                    <w:spacing w:line="240" w:lineRule="auto"/>
                    <w:jc w:val="center"/>
                    <w:rPr>
                      <w:rFonts w:hint="default"/>
                      <w:sz w:val="21"/>
                      <w:szCs w:val="21"/>
                    </w:rPr>
                  </w:pPr>
                </w:p>
              </w:tc>
              <w:tc>
                <w:tcPr>
                  <w:tcW w:w="1086" w:type="dxa"/>
                  <w:noWrap w:val="0"/>
                  <w:vAlign w:val="center"/>
                </w:tcPr>
                <w:p>
                  <w:pPr>
                    <w:spacing w:line="240" w:lineRule="auto"/>
                    <w:jc w:val="center"/>
                    <w:rPr>
                      <w:rFonts w:hint="default"/>
                      <w:sz w:val="21"/>
                      <w:szCs w:val="21"/>
                    </w:rPr>
                  </w:pPr>
                  <w:r>
                    <w:rPr>
                      <w:rFonts w:hint="default"/>
                      <w:sz w:val="21"/>
                      <w:szCs w:val="21"/>
                    </w:rPr>
                    <w:t>SS</w:t>
                  </w:r>
                </w:p>
              </w:tc>
              <w:tc>
                <w:tcPr>
                  <w:tcW w:w="883" w:type="dxa"/>
                  <w:noWrap w:val="0"/>
                  <w:vAlign w:val="center"/>
                </w:tcPr>
                <w:p>
                  <w:pPr>
                    <w:pStyle w:val="2"/>
                    <w:spacing w:line="240" w:lineRule="auto"/>
                    <w:ind w:firstLine="0" w:firstLineChars="0"/>
                    <w:jc w:val="center"/>
                    <w:rPr>
                      <w:rFonts w:hint="default"/>
                      <w:sz w:val="21"/>
                      <w:szCs w:val="21"/>
                      <w:lang w:val="en-US" w:eastAsia="zh-CN"/>
                    </w:rPr>
                  </w:pPr>
                  <w:r>
                    <w:rPr>
                      <w:rFonts w:hint="eastAsia"/>
                      <w:sz w:val="21"/>
                      <w:szCs w:val="21"/>
                      <w:lang w:val="en-US" w:eastAsia="zh-CN"/>
                    </w:rPr>
                    <w:t>0.05</w:t>
                  </w:r>
                </w:p>
              </w:tc>
              <w:tc>
                <w:tcPr>
                  <w:tcW w:w="837"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0.1368</w:t>
                  </w:r>
                </w:p>
              </w:tc>
              <w:tc>
                <w:tcPr>
                  <w:tcW w:w="837" w:type="dxa"/>
                  <w:noWrap w:val="0"/>
                  <w:vAlign w:val="center"/>
                </w:tcPr>
                <w:p>
                  <w:pPr>
                    <w:spacing w:line="240" w:lineRule="auto"/>
                    <w:jc w:val="center"/>
                    <w:rPr>
                      <w:rFonts w:hint="default"/>
                      <w:sz w:val="21"/>
                      <w:szCs w:val="21"/>
                      <w:lang w:val="en-US" w:eastAsia="zh-CN"/>
                    </w:rPr>
                  </w:pPr>
                  <w:r>
                    <w:rPr>
                      <w:rFonts w:hint="eastAsia"/>
                      <w:sz w:val="21"/>
                      <w:szCs w:val="21"/>
                      <w:lang w:val="en-US" w:eastAsia="zh-CN"/>
                    </w:rPr>
                    <w:t>0</w:t>
                  </w:r>
                </w:p>
              </w:tc>
              <w:tc>
                <w:tcPr>
                  <w:tcW w:w="839"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0.1368</w:t>
                  </w:r>
                </w:p>
              </w:tc>
              <w:tc>
                <w:tcPr>
                  <w:tcW w:w="923"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1292"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+0.1368</w:t>
                  </w:r>
                </w:p>
              </w:tc>
              <w:tc>
                <w:tcPr>
                  <w:tcW w:w="1243"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0.1868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20" w:hRule="atLeast"/>
              </w:trPr>
              <w:tc>
                <w:tcPr>
                  <w:tcW w:w="1100" w:type="dxa"/>
                  <w:gridSpan w:val="2"/>
                  <w:vMerge w:val="continue"/>
                  <w:noWrap w:val="0"/>
                  <w:vAlign w:val="center"/>
                </w:tcPr>
                <w:p>
                  <w:pPr>
                    <w:spacing w:line="240" w:lineRule="auto"/>
                    <w:jc w:val="center"/>
                    <w:rPr>
                      <w:rFonts w:hint="default"/>
                      <w:sz w:val="21"/>
                      <w:szCs w:val="21"/>
                    </w:rPr>
                  </w:pPr>
                </w:p>
              </w:tc>
              <w:tc>
                <w:tcPr>
                  <w:tcW w:w="1086" w:type="dxa"/>
                  <w:noWrap w:val="0"/>
                  <w:vAlign w:val="center"/>
                </w:tcPr>
                <w:p>
                  <w:pPr>
                    <w:spacing w:line="240" w:lineRule="auto"/>
                    <w:jc w:val="center"/>
                    <w:rPr>
                      <w:rFonts w:hint="default"/>
                      <w:sz w:val="21"/>
                      <w:szCs w:val="21"/>
                    </w:rPr>
                  </w:pPr>
                  <w:r>
                    <w:rPr>
                      <w:rFonts w:hint="default"/>
                      <w:sz w:val="21"/>
                      <w:szCs w:val="21"/>
                    </w:rPr>
                    <w:t>氨氮</w:t>
                  </w:r>
                </w:p>
              </w:tc>
              <w:tc>
                <w:tcPr>
                  <w:tcW w:w="883" w:type="dxa"/>
                  <w:noWrap w:val="0"/>
                  <w:vAlign w:val="center"/>
                </w:tcPr>
                <w:p>
                  <w:pPr>
                    <w:pStyle w:val="2"/>
                    <w:spacing w:line="240" w:lineRule="auto"/>
                    <w:ind w:firstLine="0" w:firstLineChars="0"/>
                    <w:jc w:val="center"/>
                    <w:rPr>
                      <w:rFonts w:hint="default"/>
                      <w:sz w:val="21"/>
                      <w:szCs w:val="21"/>
                      <w:lang w:val="en-US" w:eastAsia="zh-CN"/>
                    </w:rPr>
                  </w:pPr>
                  <w:r>
                    <w:rPr>
                      <w:rFonts w:hint="eastAsia"/>
                      <w:sz w:val="21"/>
                      <w:szCs w:val="21"/>
                      <w:lang w:val="en-US" w:eastAsia="zh-CN"/>
                    </w:rPr>
                    <w:t>0.0072</w:t>
                  </w:r>
                </w:p>
              </w:tc>
              <w:tc>
                <w:tcPr>
                  <w:tcW w:w="837"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0.01596</w:t>
                  </w:r>
                </w:p>
              </w:tc>
              <w:tc>
                <w:tcPr>
                  <w:tcW w:w="837" w:type="dxa"/>
                  <w:noWrap w:val="0"/>
                  <w:vAlign w:val="center"/>
                </w:tcPr>
                <w:p>
                  <w:pPr>
                    <w:spacing w:line="240" w:lineRule="auto"/>
                    <w:jc w:val="center"/>
                    <w:rPr>
                      <w:rFonts w:hint="eastAsia" w:eastAsia="宋体"/>
                      <w:sz w:val="21"/>
                      <w:szCs w:val="21"/>
                      <w:lang w:val="en-US" w:eastAsia="zh-CN"/>
                    </w:rPr>
                  </w:pPr>
                  <w:r>
                    <w:rPr>
                      <w:rFonts w:hint="eastAsia"/>
                      <w:sz w:val="21"/>
                      <w:szCs w:val="21"/>
                      <w:lang w:val="en-US" w:eastAsia="zh-CN"/>
                    </w:rPr>
                    <w:t>0</w:t>
                  </w:r>
                </w:p>
              </w:tc>
              <w:tc>
                <w:tcPr>
                  <w:tcW w:w="839"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0.01596</w:t>
                  </w:r>
                </w:p>
              </w:tc>
              <w:tc>
                <w:tcPr>
                  <w:tcW w:w="923"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1292"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+0.01596</w:t>
                  </w:r>
                </w:p>
              </w:tc>
              <w:tc>
                <w:tcPr>
                  <w:tcW w:w="1243"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0.02316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20" w:hRule="atLeast"/>
              </w:trPr>
              <w:tc>
                <w:tcPr>
                  <w:tcW w:w="1100" w:type="dxa"/>
                  <w:gridSpan w:val="2"/>
                  <w:vMerge w:val="continue"/>
                  <w:noWrap w:val="0"/>
                  <w:vAlign w:val="center"/>
                </w:tcPr>
                <w:p>
                  <w:pPr>
                    <w:spacing w:line="240" w:lineRule="auto"/>
                    <w:jc w:val="center"/>
                    <w:rPr>
                      <w:rFonts w:hint="default"/>
                      <w:sz w:val="21"/>
                      <w:szCs w:val="21"/>
                    </w:rPr>
                  </w:pPr>
                </w:p>
              </w:tc>
              <w:tc>
                <w:tcPr>
                  <w:tcW w:w="1086" w:type="dxa"/>
                  <w:noWrap w:val="0"/>
                  <w:vAlign w:val="center"/>
                </w:tcPr>
                <w:p>
                  <w:pPr>
                    <w:spacing w:line="240" w:lineRule="auto"/>
                    <w:jc w:val="center"/>
                    <w:rPr>
                      <w:rFonts w:hint="default"/>
                      <w:sz w:val="21"/>
                      <w:szCs w:val="21"/>
                    </w:rPr>
                  </w:pPr>
                  <w:r>
                    <w:rPr>
                      <w:rFonts w:hint="default"/>
                      <w:sz w:val="21"/>
                      <w:szCs w:val="21"/>
                    </w:rPr>
                    <w:t>总磷</w:t>
                  </w:r>
                </w:p>
              </w:tc>
              <w:tc>
                <w:tcPr>
                  <w:tcW w:w="883" w:type="dxa"/>
                  <w:noWrap w:val="0"/>
                  <w:vAlign w:val="center"/>
                </w:tcPr>
                <w:p>
                  <w:pPr>
                    <w:pStyle w:val="2"/>
                    <w:spacing w:line="240" w:lineRule="auto"/>
                    <w:ind w:firstLine="0" w:firstLineChars="0"/>
                    <w:jc w:val="center"/>
                    <w:rPr>
                      <w:rFonts w:hint="default"/>
                      <w:sz w:val="21"/>
                      <w:szCs w:val="21"/>
                      <w:lang w:val="en-US" w:eastAsia="zh-CN"/>
                    </w:rPr>
                  </w:pPr>
                  <w:r>
                    <w:rPr>
                      <w:rFonts w:hint="eastAsia"/>
                      <w:sz w:val="21"/>
                      <w:szCs w:val="21"/>
                      <w:lang w:val="en-US" w:eastAsia="zh-CN"/>
                    </w:rPr>
                    <w:t>0.00096</w:t>
                  </w:r>
                </w:p>
              </w:tc>
              <w:tc>
                <w:tcPr>
                  <w:tcW w:w="837"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sz w:val="21"/>
                      <w:szCs w:val="21"/>
                      <w:lang w:val="en-US" w:eastAsia="zh-CN"/>
                    </w:rPr>
                    <w:t>0.003648</w:t>
                  </w:r>
                </w:p>
              </w:tc>
              <w:tc>
                <w:tcPr>
                  <w:tcW w:w="837" w:type="dxa"/>
                  <w:noWrap w:val="0"/>
                  <w:vAlign w:val="center"/>
                </w:tcPr>
                <w:p>
                  <w:pPr>
                    <w:spacing w:line="240" w:lineRule="auto"/>
                    <w:jc w:val="center"/>
                    <w:rPr>
                      <w:rFonts w:hint="eastAsia" w:eastAsia="宋体"/>
                      <w:sz w:val="21"/>
                      <w:szCs w:val="21"/>
                      <w:lang w:val="en-US" w:eastAsia="zh-CN"/>
                    </w:rPr>
                  </w:pPr>
                  <w:r>
                    <w:rPr>
                      <w:rFonts w:hint="eastAsia"/>
                      <w:sz w:val="21"/>
                      <w:szCs w:val="21"/>
                      <w:lang w:val="en-US" w:eastAsia="zh-CN"/>
                    </w:rPr>
                    <w:t>0</w:t>
                  </w:r>
                </w:p>
              </w:tc>
              <w:tc>
                <w:tcPr>
                  <w:tcW w:w="839"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sz w:val="21"/>
                      <w:szCs w:val="21"/>
                      <w:lang w:val="en-US" w:eastAsia="zh-CN"/>
                    </w:rPr>
                    <w:t>0.003648</w:t>
                  </w:r>
                </w:p>
              </w:tc>
              <w:tc>
                <w:tcPr>
                  <w:tcW w:w="923"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1292"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w:t>
                  </w:r>
                  <w:r>
                    <w:rPr>
                      <w:rFonts w:hint="default"/>
                      <w:sz w:val="21"/>
                      <w:szCs w:val="21"/>
                      <w:lang w:val="en-US" w:eastAsia="zh-CN"/>
                    </w:rPr>
                    <w:t>0.003648</w:t>
                  </w:r>
                </w:p>
              </w:tc>
              <w:tc>
                <w:tcPr>
                  <w:tcW w:w="1243"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0.004608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20" w:hRule="atLeast"/>
              </w:trPr>
              <w:tc>
                <w:tcPr>
                  <w:tcW w:w="378" w:type="dxa"/>
                  <w:vMerge w:val="restart"/>
                  <w:noWrap w:val="0"/>
                  <w:vAlign w:val="center"/>
                </w:tcPr>
                <w:p>
                  <w:pPr>
                    <w:spacing w:line="240" w:lineRule="auto"/>
                    <w:jc w:val="center"/>
                    <w:rPr>
                      <w:rFonts w:hint="default"/>
                      <w:sz w:val="21"/>
                      <w:szCs w:val="21"/>
                    </w:rPr>
                  </w:pPr>
                  <w:r>
                    <w:rPr>
                      <w:rFonts w:hint="default"/>
                      <w:sz w:val="21"/>
                      <w:szCs w:val="21"/>
                    </w:rPr>
                    <w:t>废气</w:t>
                  </w:r>
                </w:p>
              </w:tc>
              <w:tc>
                <w:tcPr>
                  <w:tcW w:w="722" w:type="dxa"/>
                  <w:vMerge w:val="restart"/>
                  <w:noWrap w:val="0"/>
                  <w:vAlign w:val="center"/>
                </w:tcPr>
                <w:p>
                  <w:pPr>
                    <w:spacing w:line="240" w:lineRule="auto"/>
                    <w:jc w:val="center"/>
                    <w:rPr>
                      <w:rFonts w:hint="default"/>
                      <w:sz w:val="21"/>
                      <w:szCs w:val="21"/>
                    </w:rPr>
                  </w:pPr>
                  <w:r>
                    <w:rPr>
                      <w:rFonts w:hint="default"/>
                      <w:sz w:val="21"/>
                      <w:szCs w:val="21"/>
                    </w:rPr>
                    <w:t>有组织</w:t>
                  </w:r>
                </w:p>
              </w:tc>
              <w:tc>
                <w:tcPr>
                  <w:tcW w:w="1086" w:type="dxa"/>
                  <w:noWrap w:val="0"/>
                  <w:vAlign w:val="center"/>
                </w:tcPr>
                <w:p>
                  <w:pPr>
                    <w:spacing w:line="240" w:lineRule="auto"/>
                    <w:jc w:val="center"/>
                    <w:rPr>
                      <w:rFonts w:hint="default" w:eastAsia="宋体"/>
                      <w:sz w:val="21"/>
                      <w:szCs w:val="21"/>
                      <w:lang w:val="en-US" w:eastAsia="zh-CN"/>
                    </w:rPr>
                  </w:pPr>
                  <w:r>
                    <w:rPr>
                      <w:rFonts w:hint="eastAsia"/>
                      <w:sz w:val="21"/>
                      <w:szCs w:val="21"/>
                      <w:lang w:val="en-US" w:eastAsia="zh-CN"/>
                    </w:rPr>
                    <w:t>废气量m</w:t>
                  </w:r>
                  <w:r>
                    <w:rPr>
                      <w:rFonts w:hint="eastAsia"/>
                      <w:sz w:val="21"/>
                      <w:szCs w:val="21"/>
                      <w:vertAlign w:val="superscript"/>
                      <w:lang w:val="en-US" w:eastAsia="zh-CN"/>
                    </w:rPr>
                    <w:t>3</w:t>
                  </w:r>
                  <w:r>
                    <w:rPr>
                      <w:rFonts w:hint="eastAsia"/>
                      <w:sz w:val="21"/>
                      <w:szCs w:val="21"/>
                      <w:lang w:val="en-US" w:eastAsia="zh-CN"/>
                    </w:rPr>
                    <w:t>/a</w:t>
                  </w:r>
                </w:p>
              </w:tc>
              <w:tc>
                <w:tcPr>
                  <w:tcW w:w="883"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960万</w:t>
                  </w:r>
                </w:p>
              </w:tc>
              <w:tc>
                <w:tcPr>
                  <w:tcW w:w="837" w:type="dxa"/>
                  <w:noWrap w:val="0"/>
                  <w:vAlign w:val="center"/>
                </w:tcPr>
                <w:p>
                  <w:pPr>
                    <w:spacing w:line="240" w:lineRule="auto"/>
                    <w:jc w:val="center"/>
                    <w:rPr>
                      <w:rFonts w:hint="default"/>
                      <w:sz w:val="21"/>
                      <w:szCs w:val="21"/>
                      <w:lang w:val="en-US" w:eastAsia="zh-CN"/>
                    </w:rPr>
                  </w:pPr>
                  <w:r>
                    <w:rPr>
                      <w:rFonts w:hint="eastAsia" w:cs="Times New Roman"/>
                      <w:kern w:val="2"/>
                      <w:sz w:val="21"/>
                      <w:szCs w:val="21"/>
                      <w:lang w:val="en-US" w:eastAsia="zh-CN" w:bidi="ar-SA"/>
                    </w:rPr>
                    <w:t>960万</w:t>
                  </w:r>
                </w:p>
              </w:tc>
              <w:tc>
                <w:tcPr>
                  <w:tcW w:w="837"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839" w:type="dxa"/>
                  <w:noWrap w:val="0"/>
                  <w:vAlign w:val="center"/>
                </w:tcPr>
                <w:p>
                  <w:pPr>
                    <w:spacing w:line="240" w:lineRule="auto"/>
                    <w:jc w:val="center"/>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960万</w:t>
                  </w:r>
                </w:p>
              </w:tc>
              <w:tc>
                <w:tcPr>
                  <w:tcW w:w="923" w:type="dxa"/>
                  <w:noWrap w:val="0"/>
                  <w:vAlign w:val="center"/>
                </w:tcPr>
                <w:p>
                  <w:pPr>
                    <w:spacing w:line="240" w:lineRule="auto"/>
                    <w:jc w:val="center"/>
                    <w:rPr>
                      <w:rFonts w:hint="default"/>
                      <w:sz w:val="21"/>
                      <w:szCs w:val="21"/>
                      <w:lang w:val="en-US" w:eastAsia="zh-CN"/>
                    </w:rPr>
                  </w:pPr>
                  <w:r>
                    <w:rPr>
                      <w:rFonts w:hint="eastAsia"/>
                      <w:sz w:val="21"/>
                      <w:szCs w:val="21"/>
                      <w:lang w:val="en-US" w:eastAsia="zh-CN"/>
                    </w:rPr>
                    <w:t>0</w:t>
                  </w:r>
                </w:p>
              </w:tc>
              <w:tc>
                <w:tcPr>
                  <w:tcW w:w="1292" w:type="dxa"/>
                  <w:noWrap w:val="0"/>
                  <w:vAlign w:val="center"/>
                </w:tcPr>
                <w:p>
                  <w:pPr>
                    <w:spacing w:line="240" w:lineRule="auto"/>
                    <w:jc w:val="center"/>
                    <w:rPr>
                      <w:rFonts w:hint="default"/>
                      <w:sz w:val="21"/>
                      <w:szCs w:val="21"/>
                      <w:lang w:val="en-US" w:eastAsia="zh-CN"/>
                    </w:rPr>
                  </w:pPr>
                  <w:r>
                    <w:rPr>
                      <w:rFonts w:hint="eastAsia"/>
                      <w:sz w:val="21"/>
                      <w:szCs w:val="21"/>
                      <w:lang w:val="en-US" w:eastAsia="zh-CN"/>
                    </w:rPr>
                    <w:t>+960万</w:t>
                  </w:r>
                </w:p>
              </w:tc>
              <w:tc>
                <w:tcPr>
                  <w:tcW w:w="1243" w:type="dxa"/>
                  <w:noWrap w:val="0"/>
                  <w:vAlign w:val="center"/>
                </w:tcPr>
                <w:p>
                  <w:pPr>
                    <w:spacing w:line="240" w:lineRule="auto"/>
                    <w:jc w:val="center"/>
                    <w:rPr>
                      <w:rFonts w:hint="default"/>
                      <w:sz w:val="21"/>
                      <w:szCs w:val="21"/>
                      <w:lang w:val="en-US" w:eastAsia="zh-CN"/>
                    </w:rPr>
                  </w:pPr>
                  <w:r>
                    <w:rPr>
                      <w:rFonts w:hint="eastAsia"/>
                      <w:sz w:val="21"/>
                      <w:szCs w:val="21"/>
                      <w:lang w:val="en-US" w:eastAsia="zh-CN"/>
                    </w:rPr>
                    <w:t>1920万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20" w:hRule="atLeast"/>
              </w:trPr>
              <w:tc>
                <w:tcPr>
                  <w:tcW w:w="378" w:type="dxa"/>
                  <w:vMerge w:val="continue"/>
                  <w:noWrap w:val="0"/>
                  <w:vAlign w:val="center"/>
                </w:tcPr>
                <w:p>
                  <w:pPr>
                    <w:spacing w:line="240" w:lineRule="auto"/>
                    <w:jc w:val="center"/>
                    <w:rPr>
                      <w:rFonts w:hint="default"/>
                      <w:sz w:val="21"/>
                      <w:szCs w:val="21"/>
                    </w:rPr>
                  </w:pPr>
                </w:p>
              </w:tc>
              <w:tc>
                <w:tcPr>
                  <w:tcW w:w="722" w:type="dxa"/>
                  <w:vMerge w:val="continue"/>
                  <w:noWrap w:val="0"/>
                  <w:vAlign w:val="center"/>
                </w:tcPr>
                <w:p>
                  <w:pPr>
                    <w:spacing w:line="240" w:lineRule="auto"/>
                    <w:jc w:val="center"/>
                    <w:rPr>
                      <w:rFonts w:hint="default"/>
                      <w:sz w:val="21"/>
                      <w:szCs w:val="21"/>
                    </w:rPr>
                  </w:pPr>
                </w:p>
              </w:tc>
              <w:tc>
                <w:tcPr>
                  <w:tcW w:w="1086"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sz w:val="21"/>
                      <w:szCs w:val="21"/>
                    </w:rPr>
                    <w:t>非甲烷总烃</w:t>
                  </w:r>
                </w:p>
              </w:tc>
              <w:tc>
                <w:tcPr>
                  <w:tcW w:w="883" w:type="dxa"/>
                  <w:noWrap w:val="0"/>
                  <w:vAlign w:val="center"/>
                </w:tcPr>
                <w:p>
                  <w:pPr>
                    <w:spacing w:line="240" w:lineRule="auto"/>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0.41</w:t>
                  </w:r>
                </w:p>
              </w:tc>
              <w:tc>
                <w:tcPr>
                  <w:tcW w:w="837"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1.5</w:t>
                  </w:r>
                </w:p>
              </w:tc>
              <w:tc>
                <w:tcPr>
                  <w:tcW w:w="837"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1.365</w:t>
                  </w:r>
                </w:p>
              </w:tc>
              <w:tc>
                <w:tcPr>
                  <w:tcW w:w="839"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0.135</w:t>
                  </w:r>
                </w:p>
              </w:tc>
              <w:tc>
                <w:tcPr>
                  <w:tcW w:w="923"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0.14</w:t>
                  </w:r>
                </w:p>
              </w:tc>
              <w:tc>
                <w:tcPr>
                  <w:tcW w:w="1292"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-0.14</w:t>
                  </w:r>
                </w:p>
              </w:tc>
              <w:tc>
                <w:tcPr>
                  <w:tcW w:w="1243"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0.27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20" w:hRule="atLeast"/>
              </w:trPr>
              <w:tc>
                <w:tcPr>
                  <w:tcW w:w="378" w:type="dxa"/>
                  <w:vMerge w:val="continue"/>
                  <w:noWrap w:val="0"/>
                  <w:vAlign w:val="center"/>
                </w:tcPr>
                <w:p>
                  <w:pPr>
                    <w:spacing w:line="240" w:lineRule="auto"/>
                    <w:jc w:val="center"/>
                    <w:rPr>
                      <w:rFonts w:hint="default"/>
                      <w:sz w:val="21"/>
                      <w:szCs w:val="21"/>
                    </w:rPr>
                  </w:pPr>
                </w:p>
              </w:tc>
              <w:tc>
                <w:tcPr>
                  <w:tcW w:w="722" w:type="dxa"/>
                  <w:vMerge w:val="restart"/>
                  <w:noWrap w:val="0"/>
                  <w:vAlign w:val="center"/>
                </w:tcPr>
                <w:p>
                  <w:pPr>
                    <w:spacing w:line="240" w:lineRule="auto"/>
                    <w:jc w:val="center"/>
                    <w:rPr>
                      <w:rFonts w:hint="default"/>
                      <w:sz w:val="21"/>
                      <w:szCs w:val="21"/>
                    </w:rPr>
                  </w:pPr>
                  <w:r>
                    <w:rPr>
                      <w:rFonts w:hint="default"/>
                      <w:sz w:val="21"/>
                      <w:szCs w:val="21"/>
                    </w:rPr>
                    <w:t>无组织</w:t>
                  </w:r>
                </w:p>
              </w:tc>
              <w:tc>
                <w:tcPr>
                  <w:tcW w:w="1086" w:type="dxa"/>
                  <w:noWrap w:val="0"/>
                  <w:vAlign w:val="center"/>
                </w:tcPr>
                <w:p>
                  <w:pPr>
                    <w:spacing w:line="240" w:lineRule="auto"/>
                    <w:jc w:val="center"/>
                    <w:rPr>
                      <w:rFonts w:hint="default"/>
                      <w:sz w:val="21"/>
                      <w:szCs w:val="21"/>
                    </w:rPr>
                  </w:pPr>
                  <w:r>
                    <w:rPr>
                      <w:rFonts w:hint="default"/>
                      <w:sz w:val="21"/>
                      <w:szCs w:val="21"/>
                    </w:rPr>
                    <w:t>非甲烷总烃</w:t>
                  </w:r>
                </w:p>
              </w:tc>
              <w:tc>
                <w:tcPr>
                  <w:tcW w:w="883"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0.15</w:t>
                  </w:r>
                </w:p>
              </w:tc>
              <w:tc>
                <w:tcPr>
                  <w:tcW w:w="837" w:type="dxa"/>
                  <w:noWrap w:val="0"/>
                  <w:vAlign w:val="center"/>
                </w:tcPr>
                <w:p>
                  <w:pPr>
                    <w:spacing w:line="240" w:lineRule="auto"/>
                    <w:jc w:val="center"/>
                    <w:rPr>
                      <w:rFonts w:hint="default"/>
                      <w:sz w:val="21"/>
                      <w:szCs w:val="21"/>
                      <w:lang w:val="en-US" w:eastAsia="zh-CN"/>
                    </w:rPr>
                  </w:pPr>
                  <w:r>
                    <w:rPr>
                      <w:rFonts w:hint="eastAsia"/>
                      <w:sz w:val="21"/>
                      <w:szCs w:val="21"/>
                      <w:lang w:val="en-US" w:eastAsia="zh-CN"/>
                    </w:rPr>
                    <w:t>0.15</w:t>
                  </w:r>
                </w:p>
              </w:tc>
              <w:tc>
                <w:tcPr>
                  <w:tcW w:w="837"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0</w:t>
                  </w:r>
                </w:p>
              </w:tc>
              <w:tc>
                <w:tcPr>
                  <w:tcW w:w="839"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0.15</w:t>
                  </w:r>
                </w:p>
              </w:tc>
              <w:tc>
                <w:tcPr>
                  <w:tcW w:w="923" w:type="dxa"/>
                  <w:noWrap w:val="0"/>
                  <w:vAlign w:val="center"/>
                </w:tcPr>
                <w:p>
                  <w:pPr>
                    <w:spacing w:line="240" w:lineRule="auto"/>
                    <w:jc w:val="center"/>
                    <w:rPr>
                      <w:rFonts w:hint="default"/>
                      <w:sz w:val="21"/>
                      <w:szCs w:val="21"/>
                      <w:lang w:val="en-US" w:eastAsia="zh-CN"/>
                    </w:rPr>
                  </w:pPr>
                  <w:r>
                    <w:rPr>
                      <w:rFonts w:hint="eastAsia"/>
                      <w:sz w:val="21"/>
                      <w:szCs w:val="21"/>
                      <w:lang w:val="en-US" w:eastAsia="zh-CN"/>
                    </w:rPr>
                    <w:t>0</w:t>
                  </w:r>
                </w:p>
              </w:tc>
              <w:tc>
                <w:tcPr>
                  <w:tcW w:w="1292" w:type="dxa"/>
                  <w:noWrap w:val="0"/>
                  <w:vAlign w:val="center"/>
                </w:tcPr>
                <w:p>
                  <w:pPr>
                    <w:spacing w:line="240" w:lineRule="auto"/>
                    <w:jc w:val="center"/>
                    <w:rPr>
                      <w:rFonts w:hint="default"/>
                      <w:sz w:val="21"/>
                      <w:szCs w:val="21"/>
                      <w:lang w:val="en-US" w:eastAsia="zh-CN"/>
                    </w:rPr>
                  </w:pPr>
                  <w:r>
                    <w:rPr>
                      <w:rFonts w:hint="eastAsia"/>
                      <w:sz w:val="21"/>
                      <w:szCs w:val="21"/>
                      <w:lang w:val="en-US" w:eastAsia="zh-CN"/>
                    </w:rPr>
                    <w:t>+0.15</w:t>
                  </w:r>
                </w:p>
              </w:tc>
              <w:tc>
                <w:tcPr>
                  <w:tcW w:w="1243" w:type="dxa"/>
                  <w:noWrap w:val="0"/>
                  <w:vAlign w:val="center"/>
                </w:tcPr>
                <w:p>
                  <w:pPr>
                    <w:spacing w:line="240" w:lineRule="auto"/>
                    <w:jc w:val="center"/>
                    <w:rPr>
                      <w:rFonts w:hint="default"/>
                      <w:sz w:val="21"/>
                      <w:szCs w:val="21"/>
                      <w:lang w:val="en-US" w:eastAsia="zh-CN"/>
                    </w:rPr>
                  </w:pPr>
                  <w:r>
                    <w:rPr>
                      <w:rFonts w:hint="eastAsia"/>
                      <w:sz w:val="21"/>
                      <w:szCs w:val="21"/>
                      <w:lang w:val="en-US" w:eastAsia="zh-CN"/>
                    </w:rPr>
                    <w:t>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378" w:type="dxa"/>
                  <w:vMerge w:val="continue"/>
                  <w:noWrap w:val="0"/>
                  <w:vAlign w:val="center"/>
                </w:tcPr>
                <w:p>
                  <w:pPr>
                    <w:spacing w:line="240" w:lineRule="auto"/>
                    <w:jc w:val="center"/>
                    <w:rPr>
                      <w:rFonts w:hint="default"/>
                      <w:sz w:val="21"/>
                      <w:szCs w:val="21"/>
                    </w:rPr>
                  </w:pPr>
                </w:p>
              </w:tc>
              <w:tc>
                <w:tcPr>
                  <w:tcW w:w="722" w:type="dxa"/>
                  <w:vMerge w:val="continue"/>
                  <w:noWrap w:val="0"/>
                  <w:vAlign w:val="center"/>
                </w:tcPr>
                <w:p>
                  <w:pPr>
                    <w:spacing w:line="240" w:lineRule="auto"/>
                    <w:jc w:val="center"/>
                    <w:rPr>
                      <w:rFonts w:hint="default"/>
                      <w:sz w:val="21"/>
                      <w:szCs w:val="21"/>
                    </w:rPr>
                  </w:pPr>
                </w:p>
              </w:tc>
              <w:tc>
                <w:tcPr>
                  <w:tcW w:w="1086" w:type="dxa"/>
                  <w:noWrap w:val="0"/>
                  <w:vAlign w:val="center"/>
                </w:tcPr>
                <w:p>
                  <w:pPr>
                    <w:spacing w:line="240" w:lineRule="auto"/>
                    <w:jc w:val="center"/>
                    <w:rPr>
                      <w:rFonts w:hint="default"/>
                      <w:sz w:val="21"/>
                      <w:szCs w:val="21"/>
                    </w:rPr>
                  </w:pPr>
                  <w:r>
                    <w:rPr>
                      <w:rFonts w:hint="default"/>
                      <w:sz w:val="21"/>
                      <w:szCs w:val="21"/>
                    </w:rPr>
                    <w:t>颗粒物</w:t>
                  </w:r>
                </w:p>
              </w:tc>
              <w:tc>
                <w:tcPr>
                  <w:tcW w:w="883" w:type="dxa"/>
                  <w:noWrap w:val="0"/>
                  <w:vAlign w:val="center"/>
                </w:tcPr>
                <w:p>
                  <w:pPr>
                    <w:spacing w:line="240" w:lineRule="auto"/>
                    <w:jc w:val="center"/>
                    <w:rPr>
                      <w:rFonts w:hint="default"/>
                      <w:sz w:val="21"/>
                      <w:szCs w:val="21"/>
                      <w:lang w:val="en-US" w:eastAsia="zh-CN"/>
                    </w:rPr>
                  </w:pPr>
                  <w:r>
                    <w:rPr>
                      <w:rFonts w:hint="eastAsia"/>
                      <w:sz w:val="21"/>
                      <w:szCs w:val="21"/>
                      <w:lang w:val="en-US" w:eastAsia="zh-CN"/>
                    </w:rPr>
                    <w:t>/</w:t>
                  </w:r>
                </w:p>
              </w:tc>
              <w:tc>
                <w:tcPr>
                  <w:tcW w:w="837" w:type="dxa"/>
                  <w:noWrap w:val="0"/>
                  <w:vAlign w:val="center"/>
                </w:tcPr>
                <w:p>
                  <w:pPr>
                    <w:spacing w:line="240" w:lineRule="auto"/>
                    <w:jc w:val="center"/>
                    <w:rPr>
                      <w:rFonts w:hint="default"/>
                      <w:sz w:val="21"/>
                      <w:szCs w:val="21"/>
                      <w:lang w:val="en-US" w:eastAsia="zh-CN"/>
                    </w:rPr>
                  </w:pPr>
                  <w:r>
                    <w:rPr>
                      <w:rFonts w:hint="eastAsia"/>
                      <w:sz w:val="21"/>
                      <w:szCs w:val="21"/>
                      <w:lang w:val="en-US" w:eastAsia="zh-CN"/>
                    </w:rPr>
                    <w:t>0.3</w:t>
                  </w:r>
                </w:p>
              </w:tc>
              <w:tc>
                <w:tcPr>
                  <w:tcW w:w="837"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0.2673</w:t>
                  </w:r>
                </w:p>
              </w:tc>
              <w:tc>
                <w:tcPr>
                  <w:tcW w:w="839" w:type="dxa"/>
                  <w:noWrap w:val="0"/>
                  <w:vAlign w:val="center"/>
                </w:tcPr>
                <w:p>
                  <w:pPr>
                    <w:spacing w:line="240" w:lineRule="auto"/>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0.0327</w:t>
                  </w:r>
                </w:p>
              </w:tc>
              <w:tc>
                <w:tcPr>
                  <w:tcW w:w="923" w:type="dxa"/>
                  <w:noWrap w:val="0"/>
                  <w:vAlign w:val="center"/>
                </w:tcPr>
                <w:p>
                  <w:pPr>
                    <w:spacing w:line="240" w:lineRule="auto"/>
                    <w:jc w:val="center"/>
                    <w:rPr>
                      <w:rFonts w:hint="default"/>
                      <w:sz w:val="21"/>
                      <w:szCs w:val="21"/>
                      <w:lang w:val="en-US" w:eastAsia="zh-CN"/>
                    </w:rPr>
                  </w:pPr>
                  <w:r>
                    <w:rPr>
                      <w:rFonts w:hint="eastAsia"/>
                      <w:sz w:val="21"/>
                      <w:szCs w:val="21"/>
                      <w:lang w:val="en-US" w:eastAsia="zh-CN"/>
                    </w:rPr>
                    <w:t>0</w:t>
                  </w:r>
                </w:p>
              </w:tc>
              <w:tc>
                <w:tcPr>
                  <w:tcW w:w="1292" w:type="dxa"/>
                  <w:noWrap w:val="0"/>
                  <w:vAlign w:val="center"/>
                </w:tcPr>
                <w:p>
                  <w:pPr>
                    <w:spacing w:line="240" w:lineRule="auto"/>
                    <w:jc w:val="center"/>
                    <w:rPr>
                      <w:rFonts w:hint="default"/>
                      <w:sz w:val="21"/>
                      <w:szCs w:val="21"/>
                      <w:lang w:val="en-US" w:eastAsia="zh-CN"/>
                    </w:rPr>
                  </w:pPr>
                  <w:r>
                    <w:rPr>
                      <w:rFonts w:hint="eastAsia"/>
                      <w:sz w:val="21"/>
                      <w:szCs w:val="21"/>
                      <w:lang w:val="en-US" w:eastAsia="zh-CN"/>
                    </w:rPr>
                    <w:t>+0.0327</w:t>
                  </w:r>
                </w:p>
              </w:tc>
              <w:tc>
                <w:tcPr>
                  <w:tcW w:w="1243" w:type="dxa"/>
                  <w:noWrap w:val="0"/>
                  <w:vAlign w:val="center"/>
                </w:tcPr>
                <w:p>
                  <w:pPr>
                    <w:spacing w:line="240" w:lineRule="auto"/>
                    <w:jc w:val="center"/>
                    <w:rPr>
                      <w:rFonts w:hint="default"/>
                      <w:sz w:val="21"/>
                      <w:szCs w:val="21"/>
                      <w:lang w:val="en-US" w:eastAsia="zh-CN"/>
                    </w:rPr>
                  </w:pPr>
                  <w:r>
                    <w:rPr>
                      <w:rFonts w:hint="eastAsia"/>
                      <w:sz w:val="21"/>
                      <w:szCs w:val="21"/>
                      <w:lang w:val="en-US" w:eastAsia="zh-CN"/>
                    </w:rPr>
                    <w:t>0.0327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378" w:type="dxa"/>
                  <w:vMerge w:val="restart"/>
                  <w:noWrap w:val="0"/>
                  <w:vAlign w:val="center"/>
                </w:tcPr>
                <w:p>
                  <w:pPr>
                    <w:snapToGrid w:val="0"/>
                    <w:spacing w:line="240" w:lineRule="auto"/>
                    <w:ind w:left="-120" w:leftChars="-50" w:right="-120" w:rightChars="-50"/>
                    <w:jc w:val="center"/>
                    <w:rPr>
                      <w:sz w:val="21"/>
                      <w:szCs w:val="21"/>
                    </w:rPr>
                  </w:pPr>
                  <w:r>
                    <w:rPr>
                      <w:sz w:val="21"/>
                      <w:szCs w:val="21"/>
                    </w:rPr>
                    <w:t>固</w:t>
                  </w:r>
                </w:p>
                <w:p>
                  <w:pPr>
                    <w:snapToGrid w:val="0"/>
                    <w:spacing w:line="240" w:lineRule="auto"/>
                    <w:ind w:left="-120" w:leftChars="-50" w:right="-120" w:rightChars="-50"/>
                    <w:jc w:val="center"/>
                    <w:rPr>
                      <w:sz w:val="21"/>
                      <w:szCs w:val="21"/>
                    </w:rPr>
                  </w:pPr>
                  <w:r>
                    <w:rPr>
                      <w:sz w:val="21"/>
                      <w:szCs w:val="21"/>
                    </w:rPr>
                    <w:t>体</w:t>
                  </w:r>
                </w:p>
                <w:p>
                  <w:pPr>
                    <w:snapToGrid w:val="0"/>
                    <w:spacing w:line="240" w:lineRule="auto"/>
                    <w:ind w:left="-120" w:leftChars="-50" w:right="-120" w:rightChars="-50"/>
                    <w:jc w:val="center"/>
                    <w:rPr>
                      <w:sz w:val="21"/>
                      <w:szCs w:val="21"/>
                    </w:rPr>
                  </w:pPr>
                  <w:r>
                    <w:rPr>
                      <w:sz w:val="21"/>
                      <w:szCs w:val="21"/>
                    </w:rPr>
                    <w:t>废</w:t>
                  </w:r>
                </w:p>
                <w:p>
                  <w:pPr>
                    <w:snapToGrid w:val="0"/>
                    <w:spacing w:line="240" w:lineRule="auto"/>
                    <w:ind w:left="-120" w:leftChars="-50" w:right="-120" w:rightChars="-50"/>
                    <w:jc w:val="center"/>
                    <w:rPr>
                      <w:rFonts w:hint="default" w:ascii="Times New Roman" w:hAnsi="Times New Roman" w:eastAsia="宋体" w:cs="Times New Roman"/>
                      <w:kern w:val="2"/>
                      <w:sz w:val="21"/>
                      <w:szCs w:val="21"/>
                      <w:lang w:val="en-US" w:eastAsia="zh-CN" w:bidi="ar-SA"/>
                    </w:rPr>
                  </w:pPr>
                  <w:r>
                    <w:rPr>
                      <w:sz w:val="21"/>
                      <w:szCs w:val="21"/>
                    </w:rPr>
                    <w:t>物</w:t>
                  </w:r>
                </w:p>
              </w:tc>
              <w:tc>
                <w:tcPr>
                  <w:tcW w:w="722" w:type="dxa"/>
                  <w:vMerge w:val="restart"/>
                  <w:noWrap w:val="0"/>
                  <w:vAlign w:val="center"/>
                </w:tcPr>
                <w:p>
                  <w:pPr>
                    <w:snapToGrid w:val="0"/>
                    <w:spacing w:line="240" w:lineRule="auto"/>
                    <w:ind w:left="-120" w:leftChars="-50" w:right="-120" w:rightChars="-50"/>
                    <w:jc w:val="center"/>
                    <w:rPr>
                      <w:rFonts w:hint="eastAsia"/>
                      <w:sz w:val="21"/>
                      <w:szCs w:val="21"/>
                      <w:lang w:val="en-US" w:eastAsia="zh-CN"/>
                    </w:rPr>
                  </w:pPr>
                  <w:r>
                    <w:rPr>
                      <w:rFonts w:hint="eastAsia"/>
                      <w:sz w:val="21"/>
                      <w:szCs w:val="21"/>
                      <w:lang w:val="en-US" w:eastAsia="zh-CN"/>
                    </w:rPr>
                    <w:t>一般</w:t>
                  </w:r>
                </w:p>
                <w:p>
                  <w:pPr>
                    <w:snapToGrid w:val="0"/>
                    <w:spacing w:line="240" w:lineRule="auto"/>
                    <w:ind w:left="-120" w:leftChars="-50" w:right="-120" w:rightChars="-50"/>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固废</w:t>
                  </w:r>
                </w:p>
              </w:tc>
              <w:tc>
                <w:tcPr>
                  <w:tcW w:w="1086" w:type="dxa"/>
                  <w:noWrap w:val="0"/>
                  <w:vAlign w:val="center"/>
                </w:tcPr>
                <w:p>
                  <w:pPr>
                    <w:snapToGrid w:val="0"/>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废包装</w:t>
                  </w:r>
                </w:p>
              </w:tc>
              <w:tc>
                <w:tcPr>
                  <w:tcW w:w="883" w:type="dxa"/>
                  <w:noWrap w:val="0"/>
                  <w:vAlign w:val="center"/>
                </w:tcPr>
                <w:p>
                  <w:pPr>
                    <w:spacing w:line="240" w:lineRule="auto"/>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0</w:t>
                  </w:r>
                </w:p>
              </w:tc>
              <w:tc>
                <w:tcPr>
                  <w:tcW w:w="837" w:type="dxa"/>
                  <w:noWrap w:val="0"/>
                  <w:vAlign w:val="center"/>
                </w:tcPr>
                <w:p>
                  <w:pPr>
                    <w:widowControl/>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3</w:t>
                  </w:r>
                </w:p>
              </w:tc>
              <w:tc>
                <w:tcPr>
                  <w:tcW w:w="837" w:type="dxa"/>
                  <w:noWrap w:val="0"/>
                  <w:vAlign w:val="center"/>
                </w:tcPr>
                <w:p>
                  <w:pPr>
                    <w:widowControl/>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3</w:t>
                  </w:r>
                </w:p>
              </w:tc>
              <w:tc>
                <w:tcPr>
                  <w:tcW w:w="839"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923"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1292"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1243"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378" w:type="dxa"/>
                  <w:vMerge w:val="continue"/>
                </w:tcPr>
                <w:p>
                  <w:pPr>
                    <w:spacing w:line="240" w:lineRule="auto"/>
                    <w:jc w:val="center"/>
                    <w:rPr>
                      <w:rFonts w:hint="default"/>
                      <w:sz w:val="21"/>
                      <w:szCs w:val="21"/>
                    </w:rPr>
                  </w:pPr>
                </w:p>
              </w:tc>
              <w:tc>
                <w:tcPr>
                  <w:tcW w:w="722" w:type="dxa"/>
                  <w:vMerge w:val="continue"/>
                </w:tcPr>
                <w:p>
                  <w:pPr>
                    <w:spacing w:line="240" w:lineRule="auto"/>
                    <w:jc w:val="center"/>
                    <w:rPr>
                      <w:rFonts w:hint="default"/>
                      <w:sz w:val="21"/>
                      <w:szCs w:val="21"/>
                    </w:rPr>
                  </w:pPr>
                </w:p>
              </w:tc>
              <w:tc>
                <w:tcPr>
                  <w:tcW w:w="0" w:type="auto"/>
                  <w:vAlign w:val="center"/>
                </w:tcPr>
                <w:p>
                  <w:pPr>
                    <w:snapToGrid w:val="0"/>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不合格品</w:t>
                  </w:r>
                </w:p>
              </w:tc>
              <w:tc>
                <w:tcPr>
                  <w:tcW w:w="0" w:type="auto"/>
                  <w:vAlign w:val="center"/>
                </w:tcPr>
                <w:p>
                  <w:pPr>
                    <w:spacing w:line="240" w:lineRule="auto"/>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0</w:t>
                  </w:r>
                </w:p>
              </w:tc>
              <w:tc>
                <w:tcPr>
                  <w:tcW w:w="0" w:type="auto"/>
                  <w:vAlign w:val="center"/>
                </w:tcPr>
                <w:p>
                  <w:pPr>
                    <w:widowControl/>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0.3</w:t>
                  </w:r>
                </w:p>
              </w:tc>
              <w:tc>
                <w:tcPr>
                  <w:tcW w:w="837" w:type="dxa"/>
                  <w:vAlign w:val="center"/>
                </w:tcPr>
                <w:p>
                  <w:pPr>
                    <w:widowControl/>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0.3</w:t>
                  </w:r>
                </w:p>
              </w:tc>
              <w:tc>
                <w:tcPr>
                  <w:tcW w:w="839" w:type="dxa"/>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0" w:type="auto"/>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0" w:type="auto"/>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0" w:type="auto"/>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90" w:hRule="atLeast"/>
              </w:trPr>
              <w:tc>
                <w:tcPr>
                  <w:tcW w:w="378" w:type="dxa"/>
                  <w:vMerge w:val="continue"/>
                </w:tcPr>
                <w:p>
                  <w:pPr>
                    <w:spacing w:line="240" w:lineRule="auto"/>
                    <w:jc w:val="center"/>
                    <w:rPr>
                      <w:rFonts w:hint="default"/>
                      <w:sz w:val="21"/>
                      <w:szCs w:val="21"/>
                    </w:rPr>
                  </w:pPr>
                </w:p>
              </w:tc>
              <w:tc>
                <w:tcPr>
                  <w:tcW w:w="722" w:type="dxa"/>
                  <w:vMerge w:val="continue"/>
                </w:tcPr>
                <w:p>
                  <w:pPr>
                    <w:spacing w:line="240" w:lineRule="auto"/>
                    <w:jc w:val="center"/>
                    <w:rPr>
                      <w:rFonts w:hint="default"/>
                      <w:sz w:val="21"/>
                      <w:szCs w:val="21"/>
                    </w:rPr>
                  </w:pPr>
                </w:p>
              </w:tc>
              <w:tc>
                <w:tcPr>
                  <w:tcW w:w="0" w:type="auto"/>
                  <w:vAlign w:val="center"/>
                </w:tcPr>
                <w:p>
                  <w:pPr>
                    <w:snapToGrid w:val="0"/>
                    <w:spacing w:line="240" w:lineRule="auto"/>
                    <w:jc w:val="center"/>
                    <w:rPr>
                      <w:rFonts w:hint="eastAsia"/>
                      <w:sz w:val="21"/>
                      <w:szCs w:val="21"/>
                      <w:lang w:val="en-US" w:eastAsia="zh-CN"/>
                    </w:rPr>
                  </w:pPr>
                  <w:r>
                    <w:rPr>
                      <w:rFonts w:hint="eastAsia"/>
                      <w:sz w:val="21"/>
                      <w:szCs w:val="21"/>
                      <w:lang w:val="en-US" w:eastAsia="zh-CN"/>
                    </w:rPr>
                    <w:t>布袋收尘</w:t>
                  </w:r>
                </w:p>
              </w:tc>
              <w:tc>
                <w:tcPr>
                  <w:tcW w:w="0" w:type="auto"/>
                  <w:vAlign w:val="center"/>
                </w:tcPr>
                <w:p>
                  <w:pPr>
                    <w:spacing w:line="240" w:lineRule="auto"/>
                    <w:jc w:val="center"/>
                    <w:rPr>
                      <w:rFonts w:hint="default"/>
                      <w:sz w:val="21"/>
                      <w:szCs w:val="21"/>
                      <w:lang w:val="en-US" w:eastAsia="zh-CN"/>
                    </w:rPr>
                  </w:pPr>
                  <w:r>
                    <w:rPr>
                      <w:rFonts w:hint="eastAsia"/>
                      <w:sz w:val="21"/>
                      <w:szCs w:val="21"/>
                      <w:lang w:val="en-US" w:eastAsia="zh-CN"/>
                    </w:rPr>
                    <w:t>0</w:t>
                  </w:r>
                </w:p>
              </w:tc>
              <w:tc>
                <w:tcPr>
                  <w:tcW w:w="0" w:type="auto"/>
                  <w:vAlign w:val="center"/>
                </w:tcPr>
                <w:p>
                  <w:pPr>
                    <w:widowControl/>
                    <w:spacing w:line="240" w:lineRule="auto"/>
                    <w:jc w:val="center"/>
                    <w:textAlignment w:val="center"/>
                    <w:rPr>
                      <w:rFonts w:hint="default" w:cs="Times New Roman"/>
                      <w:kern w:val="2"/>
                      <w:sz w:val="21"/>
                      <w:szCs w:val="21"/>
                      <w:lang w:val="en-US" w:eastAsia="zh-CN" w:bidi="ar-SA"/>
                    </w:rPr>
                  </w:pPr>
                  <w:r>
                    <w:rPr>
                      <w:rFonts w:hint="eastAsia" w:cs="Times New Roman"/>
                      <w:kern w:val="2"/>
                      <w:sz w:val="21"/>
                      <w:szCs w:val="21"/>
                      <w:lang w:val="en-US" w:eastAsia="zh-CN" w:bidi="ar-SA"/>
                    </w:rPr>
                    <w:t>0.2673</w:t>
                  </w:r>
                </w:p>
              </w:tc>
              <w:tc>
                <w:tcPr>
                  <w:tcW w:w="837" w:type="dxa"/>
                  <w:vAlign w:val="center"/>
                </w:tcPr>
                <w:p>
                  <w:pPr>
                    <w:widowControl/>
                    <w:spacing w:line="240" w:lineRule="auto"/>
                    <w:jc w:val="center"/>
                    <w:textAlignment w:val="center"/>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0.2673</w:t>
                  </w:r>
                </w:p>
              </w:tc>
              <w:tc>
                <w:tcPr>
                  <w:tcW w:w="839" w:type="dxa"/>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0" w:type="auto"/>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0" w:type="auto"/>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0" w:type="auto"/>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378" w:type="dxa"/>
                  <w:vMerge w:val="continue"/>
                </w:tcPr>
                <w:p>
                  <w:pPr>
                    <w:spacing w:line="240" w:lineRule="auto"/>
                    <w:jc w:val="center"/>
                    <w:rPr>
                      <w:rFonts w:hint="default"/>
                      <w:sz w:val="21"/>
                      <w:szCs w:val="21"/>
                    </w:rPr>
                  </w:pPr>
                </w:p>
              </w:tc>
              <w:tc>
                <w:tcPr>
                  <w:tcW w:w="0" w:type="auto"/>
                  <w:vAlign w:val="center"/>
                </w:tcPr>
                <w:p>
                  <w:pPr>
                    <w:snapToGrid w:val="0"/>
                    <w:spacing w:line="240" w:lineRule="auto"/>
                    <w:ind w:left="-120" w:leftChars="-50" w:right="-120" w:rightChars="-50"/>
                    <w:jc w:val="center"/>
                    <w:rPr>
                      <w:rFonts w:hint="eastAsia"/>
                      <w:sz w:val="21"/>
                      <w:szCs w:val="21"/>
                      <w:lang w:val="en-US" w:eastAsia="zh-CN"/>
                    </w:rPr>
                  </w:pPr>
                  <w:r>
                    <w:rPr>
                      <w:rFonts w:hint="eastAsia"/>
                      <w:sz w:val="21"/>
                      <w:szCs w:val="21"/>
                      <w:lang w:val="en-US" w:eastAsia="zh-CN"/>
                    </w:rPr>
                    <w:t>危险</w:t>
                  </w:r>
                </w:p>
                <w:p>
                  <w:pPr>
                    <w:snapToGrid w:val="0"/>
                    <w:spacing w:line="240" w:lineRule="auto"/>
                    <w:ind w:left="-120" w:leftChars="-50" w:right="-120" w:rightChars="-50"/>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固废</w:t>
                  </w:r>
                </w:p>
              </w:tc>
              <w:tc>
                <w:tcPr>
                  <w:tcW w:w="0" w:type="auto"/>
                  <w:vAlign w:val="center"/>
                </w:tcPr>
                <w:p>
                  <w:pPr>
                    <w:snapToGrid w:val="0"/>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废活性炭</w:t>
                  </w:r>
                </w:p>
              </w:tc>
              <w:tc>
                <w:tcPr>
                  <w:tcW w:w="0" w:type="auto"/>
                  <w:vAlign w:val="center"/>
                </w:tcPr>
                <w:p>
                  <w:pPr>
                    <w:spacing w:line="240" w:lineRule="auto"/>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0</w:t>
                  </w:r>
                </w:p>
              </w:tc>
              <w:tc>
                <w:tcPr>
                  <w:tcW w:w="0" w:type="auto"/>
                  <w:vAlign w:val="center"/>
                </w:tcPr>
                <w:p>
                  <w:pPr>
                    <w:widowControl/>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w:t>
                  </w:r>
                </w:p>
              </w:tc>
              <w:tc>
                <w:tcPr>
                  <w:tcW w:w="837" w:type="dxa"/>
                  <w:vAlign w:val="center"/>
                </w:tcPr>
                <w:p>
                  <w:pPr>
                    <w:widowControl/>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w:t>
                  </w:r>
                </w:p>
              </w:tc>
              <w:tc>
                <w:tcPr>
                  <w:tcW w:w="839" w:type="dxa"/>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0" w:type="auto"/>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0" w:type="auto"/>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0" w:type="auto"/>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378" w:type="dxa"/>
                  <w:vMerge w:val="continue"/>
                </w:tcPr>
                <w:p>
                  <w:pPr>
                    <w:spacing w:line="240" w:lineRule="auto"/>
                    <w:jc w:val="center"/>
                    <w:rPr>
                      <w:rFonts w:hint="default"/>
                      <w:sz w:val="21"/>
                      <w:szCs w:val="21"/>
                    </w:rPr>
                  </w:pPr>
                </w:p>
              </w:tc>
              <w:tc>
                <w:tcPr>
                  <w:tcW w:w="1808" w:type="dxa"/>
                  <w:gridSpan w:val="2"/>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生活垃圾</w:t>
                  </w:r>
                </w:p>
              </w:tc>
              <w:tc>
                <w:tcPr>
                  <w:tcW w:w="0" w:type="auto"/>
                  <w:vAlign w:val="center"/>
                </w:tcPr>
                <w:p>
                  <w:pPr>
                    <w:widowControl/>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0" w:type="auto"/>
                  <w:vAlign w:val="center"/>
                </w:tcPr>
                <w:p>
                  <w:pPr>
                    <w:widowControl/>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6</w:t>
                  </w:r>
                </w:p>
              </w:tc>
              <w:tc>
                <w:tcPr>
                  <w:tcW w:w="837" w:type="dxa"/>
                  <w:vAlign w:val="center"/>
                </w:tcPr>
                <w:p>
                  <w:pPr>
                    <w:spacing w:line="240" w:lineRule="auto"/>
                    <w:jc w:val="center"/>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6</w:t>
                  </w:r>
                </w:p>
              </w:tc>
              <w:tc>
                <w:tcPr>
                  <w:tcW w:w="839" w:type="dxa"/>
                  <w:vAlign w:val="center"/>
                </w:tcPr>
                <w:p>
                  <w:pPr>
                    <w:widowControl/>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0" w:type="auto"/>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0" w:type="auto"/>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0" w:type="auto"/>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r>
          </w:tbl>
          <w:p>
            <w:pPr>
              <w:widowControl/>
              <w:ind w:firstLine="420" w:firstLineChars="200"/>
              <w:jc w:val="left"/>
              <w:rPr>
                <w:kern w:val="0"/>
                <w:sz w:val="21"/>
                <w:szCs w:val="18"/>
              </w:rPr>
            </w:pPr>
            <w:r>
              <w:rPr>
                <w:kern w:val="0"/>
                <w:sz w:val="21"/>
                <w:szCs w:val="18"/>
              </w:rPr>
              <w:t>*注：本项目VOCs为非甲烷总烃。</w:t>
            </w:r>
          </w:p>
          <w:p>
            <w:pPr>
              <w:widowControl/>
              <w:ind w:firstLine="480" w:firstLineChars="200"/>
              <w:jc w:val="left"/>
              <w:rPr>
                <w:kern w:val="0"/>
              </w:rPr>
            </w:pPr>
            <w:r>
              <w:rPr>
                <w:kern w:val="0"/>
              </w:rPr>
              <w:t>2、总量控制途径</w:t>
            </w:r>
          </w:p>
          <w:p>
            <w:pPr>
              <w:widowControl/>
              <w:ind w:firstLine="480" w:firstLineChars="200"/>
              <w:jc w:val="left"/>
            </w:pPr>
            <w:r>
              <w:rPr>
                <w:kern w:val="0"/>
              </w:rPr>
              <w:t>本项目生活污水经污水管</w:t>
            </w:r>
            <w:r>
              <w:t>网排入苏州高新区污水处理厂，水污染物总量在苏州高新区污水处理厂削减总量内平衡；大气污染物非甲烷总烃总量指标在苏州高新区平衡。</w:t>
            </w:r>
          </w:p>
        </w:tc>
      </w:tr>
    </w:tbl>
    <w:p>
      <w:r>
        <w:br w:type="page"/>
      </w:r>
    </w:p>
    <w:p>
      <w:pPr>
        <w:pStyle w:val="3"/>
        <w:numPr>
          <w:ilvl w:val="0"/>
          <w:numId w:val="0"/>
        </w:numPr>
        <w:rPr>
          <w:rFonts w:hint="default"/>
        </w:rPr>
      </w:pPr>
      <w:bookmarkStart w:id="8" w:name="_Toc12991"/>
      <w:r>
        <w:rPr>
          <w:rFonts w:hint="eastAsia"/>
          <w:lang w:val="en-US" w:eastAsia="zh-CN"/>
        </w:rPr>
        <w:t>五、</w:t>
      </w:r>
      <w:r>
        <w:rPr>
          <w:rFonts w:hint="default"/>
        </w:rPr>
        <w:t>建设项目工程分析</w:t>
      </w:r>
      <w:bookmarkEnd w:id="8"/>
    </w:p>
    <w:tbl>
      <w:tblPr>
        <w:tblStyle w:val="2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6" w:hRule="atLeast"/>
          <w:jc w:val="center"/>
        </w:trPr>
        <w:tc>
          <w:tcPr>
            <w:tcW w:w="9638" w:type="dxa"/>
            <w:tcBorders>
              <w:bottom w:val="single" w:color="auto" w:sz="12" w:space="0"/>
            </w:tcBorders>
            <w:noWrap w:val="0"/>
            <w:vAlign w:val="top"/>
          </w:tcPr>
          <w:p>
            <w:pPr>
              <w:rPr>
                <w:b/>
                <w:bCs/>
              </w:rPr>
            </w:pPr>
            <w:r>
              <w:rPr>
                <w:b/>
                <w:bCs/>
              </w:rPr>
              <w:t>工艺流程简述：</w:t>
            </w:r>
          </w:p>
          <w:p>
            <w:pPr>
              <w:pStyle w:val="2"/>
              <w:ind w:firstLine="0" w:firstLineChars="0"/>
              <w:rPr>
                <w:b/>
                <w:bCs/>
              </w:rPr>
            </w:pPr>
            <w:r>
              <w:rPr>
                <w:b/>
                <w:bCs/>
              </w:rPr>
              <w:t>车流维修：</w:t>
            </w:r>
          </w:p>
          <w:p>
            <w:pPr>
              <w:adjustRightInd w:val="0"/>
              <w:snapToGrid w:val="0"/>
              <w:ind w:left="-120" w:leftChars="-50" w:right="-120" w:rightChars="-50"/>
              <w:jc w:val="center"/>
              <w:rPr>
                <w:rFonts w:hint="eastAsia" w:eastAsia="宋体"/>
                <w:szCs w:val="20"/>
                <w:lang w:eastAsia="zh-CN"/>
              </w:rPr>
            </w:pPr>
            <w:r>
              <w:drawing>
                <wp:inline distT="0" distB="0" distL="114300" distR="114300">
                  <wp:extent cx="5905500" cy="876300"/>
                  <wp:effectExtent l="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0"/>
                          <a:stretch>
                            <a:fillRect/>
                          </a:stretch>
                        </pic:blipFill>
                        <pic:spPr>
                          <a:xfrm>
                            <a:off x="0" y="0"/>
                            <a:ext cx="5905500" cy="876300"/>
                          </a:xfrm>
                          <a:prstGeom prst="rect">
                            <a:avLst/>
                          </a:prstGeom>
                          <a:noFill/>
                          <a:ln>
                            <a:noFill/>
                          </a:ln>
                        </pic:spPr>
                      </pic:pic>
                    </a:graphicData>
                  </a:graphic>
                </wp:inline>
              </w:drawing>
            </w:r>
          </w:p>
          <w:p>
            <w:pPr>
              <w:spacing w:line="360" w:lineRule="auto"/>
              <w:jc w:val="center"/>
              <w:rPr>
                <w:rFonts w:hint="eastAsia"/>
                <w:b/>
                <w:bCs/>
                <w:sz w:val="21"/>
                <w:szCs w:val="21"/>
              </w:rPr>
            </w:pPr>
            <w:r>
              <w:rPr>
                <w:b/>
                <w:bCs/>
                <w:sz w:val="21"/>
                <w:szCs w:val="21"/>
              </w:rPr>
              <w:t>图5-</w:t>
            </w:r>
            <w:r>
              <w:rPr>
                <w:rFonts w:hint="eastAsia"/>
                <w:b/>
                <w:bCs/>
                <w:sz w:val="21"/>
                <w:szCs w:val="21"/>
                <w:lang w:val="en-US" w:eastAsia="zh-CN"/>
              </w:rPr>
              <w:t>1塑料制品</w:t>
            </w:r>
            <w:r>
              <w:rPr>
                <w:rFonts w:hint="eastAsia"/>
                <w:b/>
                <w:bCs/>
                <w:sz w:val="21"/>
                <w:szCs w:val="21"/>
              </w:rPr>
              <w:t>工艺流程</w:t>
            </w:r>
            <w:r>
              <w:rPr>
                <w:b/>
                <w:bCs/>
                <w:sz w:val="21"/>
                <w:szCs w:val="21"/>
              </w:rPr>
              <w:t>图</w:t>
            </w:r>
          </w:p>
          <w:p>
            <w:pPr>
              <w:adjustRightInd w:val="0"/>
              <w:snapToGrid w:val="0"/>
              <w:spacing w:before="156" w:beforeLines="50" w:line="360" w:lineRule="auto"/>
              <w:rPr>
                <w:rFonts w:hAnsi="宋体"/>
                <w:b/>
                <w:sz w:val="24"/>
              </w:rPr>
            </w:pPr>
            <w:r>
              <w:rPr>
                <w:rFonts w:hint="eastAsia" w:hAnsi="宋体"/>
                <w:b/>
                <w:sz w:val="24"/>
              </w:rPr>
              <w:t>工艺说明</w:t>
            </w:r>
            <w:r>
              <w:rPr>
                <w:rFonts w:hAnsi="宋体"/>
                <w:b/>
                <w:sz w:val="24"/>
              </w:rPr>
              <w:t>：</w:t>
            </w:r>
          </w:p>
          <w:p>
            <w:pPr>
              <w:adjustRightInd w:val="0"/>
              <w:snapToGrid w:val="0"/>
              <w:jc w:val="both"/>
              <w:rPr>
                <w:rFonts w:hint="eastAsia"/>
                <w:sz w:val="24"/>
              </w:rPr>
            </w:pPr>
            <w:r>
              <w:rPr>
                <w:rFonts w:hint="eastAsia"/>
                <w:b/>
                <w:bCs/>
                <w:sz w:val="24"/>
              </w:rPr>
              <w:t>混料：</w:t>
            </w:r>
            <w:r>
              <w:rPr>
                <w:rFonts w:hint="eastAsia"/>
                <w:sz w:val="24"/>
              </w:rPr>
              <w:t>项目首先将所需要的塑料粒子、弹性体和相应的色料母粒通过真空输送装置计量并输送入捏料机中进行混合，</w:t>
            </w:r>
            <w:r>
              <w:rPr>
                <w:rFonts w:hint="eastAsia"/>
                <w:sz w:val="24"/>
                <w:lang w:val="en-US" w:eastAsia="zh-CN"/>
              </w:rPr>
              <w:t>此过程产生颗粒物废气G1、噪声N1，产生粉尘废气集气罩收集，经布袋除尘装置，按照90%的收集率，99%的处理效率，由于排放量较小，经车间无组织排放</w:t>
            </w:r>
            <w:r>
              <w:rPr>
                <w:rFonts w:hint="eastAsia"/>
                <w:sz w:val="24"/>
              </w:rPr>
              <w:t>；</w:t>
            </w:r>
          </w:p>
          <w:p>
            <w:pPr>
              <w:adjustRightInd w:val="0"/>
              <w:snapToGrid w:val="0"/>
              <w:jc w:val="both"/>
              <w:rPr>
                <w:rFonts w:hint="eastAsia"/>
                <w:sz w:val="24"/>
              </w:rPr>
            </w:pPr>
            <w:r>
              <w:rPr>
                <w:rFonts w:hint="eastAsia"/>
                <w:b/>
                <w:bCs/>
                <w:sz w:val="24"/>
              </w:rPr>
              <w:t>挤出成型：</w:t>
            </w:r>
            <w:r>
              <w:rPr>
                <w:rFonts w:hint="eastAsia"/>
                <w:sz w:val="24"/>
              </w:rPr>
              <w:t>由于采用单螺杆挤出机，为预热后的粒子通过螺杆挤出，之后经风冷后成型。挤出过程加热、融熔、增压，温度约 120～160℃，约 0.1%的原料单体会挥发出（G1），主要为烃类气体，</w:t>
            </w:r>
            <w:r>
              <w:rPr>
                <w:rFonts w:hint="eastAsia"/>
                <w:sz w:val="24"/>
                <w:lang w:val="en-US" w:eastAsia="zh-CN"/>
              </w:rPr>
              <w:t>本项目新增塑料粒子1480t，</w:t>
            </w:r>
            <w:r>
              <w:rPr>
                <w:rFonts w:hint="eastAsia"/>
                <w:sz w:val="24"/>
              </w:rPr>
              <w:t>以非甲烷总烃计的量为</w:t>
            </w:r>
            <w:r>
              <w:rPr>
                <w:rFonts w:hint="eastAsia"/>
                <w:sz w:val="24"/>
                <w:lang w:val="en-US" w:eastAsia="zh-CN"/>
              </w:rPr>
              <w:t>1.5</w:t>
            </w:r>
            <w:r>
              <w:rPr>
                <w:rFonts w:hint="eastAsia"/>
                <w:sz w:val="24"/>
              </w:rPr>
              <w:t>t/a，经相应的吸风罩收集后集中通风，风量 4000m</w:t>
            </w:r>
            <w:r>
              <w:rPr>
                <w:rFonts w:hint="eastAsia"/>
                <w:sz w:val="24"/>
                <w:vertAlign w:val="superscript"/>
              </w:rPr>
              <w:t>3</w:t>
            </w:r>
            <w:r>
              <w:rPr>
                <w:rFonts w:hint="eastAsia"/>
                <w:sz w:val="24"/>
              </w:rPr>
              <w:t>/h，按照 90%的收集率，废气经</w:t>
            </w:r>
            <w:r>
              <w:rPr>
                <w:rFonts w:hint="eastAsia"/>
                <w:sz w:val="24"/>
                <w:lang w:val="en-US" w:eastAsia="zh-CN"/>
              </w:rPr>
              <w:t>低温等离子+</w:t>
            </w:r>
            <w:r>
              <w:rPr>
                <w:rFonts w:hint="eastAsia"/>
                <w:sz w:val="24"/>
              </w:rPr>
              <w:t xml:space="preserve">活性炭吸附处理，按照 </w:t>
            </w:r>
            <w:r>
              <w:rPr>
                <w:rFonts w:hint="eastAsia"/>
                <w:sz w:val="24"/>
                <w:lang w:val="en-US" w:eastAsia="zh-CN"/>
              </w:rPr>
              <w:t>9</w:t>
            </w:r>
            <w:r>
              <w:rPr>
                <w:rFonts w:hint="eastAsia"/>
                <w:sz w:val="24"/>
              </w:rPr>
              <w:t>0%的效率，最终达标尾气经 15 米高排气筒外排；</w:t>
            </w:r>
          </w:p>
          <w:p>
            <w:pPr>
              <w:pStyle w:val="2"/>
              <w:ind w:left="0" w:leftChars="0" w:firstLine="0" w:firstLineChars="0"/>
              <w:rPr>
                <w:rFonts w:hint="eastAsia" w:eastAsia="宋体"/>
                <w:lang w:val="en-US" w:eastAsia="zh-CN"/>
              </w:rPr>
            </w:pPr>
            <w:r>
              <w:rPr>
                <w:rFonts w:hint="eastAsia"/>
                <w:b/>
                <w:bCs/>
                <w:sz w:val="24"/>
              </w:rPr>
              <w:t>冷却</w:t>
            </w:r>
            <w:r>
              <w:rPr>
                <w:rFonts w:hint="eastAsia"/>
                <w:b/>
                <w:bCs/>
                <w:sz w:val="24"/>
                <w:lang w:eastAsia="zh-CN"/>
              </w:rPr>
              <w:t>：</w:t>
            </w:r>
            <w:r>
              <w:rPr>
                <w:rFonts w:hint="eastAsia"/>
                <w:sz w:val="24"/>
              </w:rPr>
              <w:t>项目单螺杆挤出机使用过程需要冷却水进行设备的间接冷却，冷却水经冷却塔冷却后循环回用。</w:t>
            </w:r>
          </w:p>
          <w:p>
            <w:pPr>
              <w:pStyle w:val="2"/>
              <w:ind w:firstLine="0" w:firstLineChars="0"/>
              <w:rPr>
                <w:b/>
                <w:bCs/>
              </w:rPr>
            </w:pPr>
            <w:r>
              <w:rPr>
                <w:rFonts w:hint="eastAsia"/>
                <w:b/>
                <w:bCs/>
                <w:sz w:val="24"/>
              </w:rPr>
              <w:t>检验：</w:t>
            </w:r>
            <w:r>
              <w:rPr>
                <w:rFonts w:hint="eastAsia"/>
                <w:b w:val="0"/>
                <w:bCs w:val="0"/>
                <w:sz w:val="24"/>
                <w:lang w:val="en-US" w:eastAsia="zh-CN"/>
              </w:rPr>
              <w:t>塑料管材</w:t>
            </w:r>
            <w:r>
              <w:rPr>
                <w:rFonts w:hint="eastAsia"/>
                <w:sz w:val="24"/>
              </w:rPr>
              <w:t>成型后产品经检验，合格的包装外运出厂，不合格的（S1）经回收外卖；</w:t>
            </w:r>
          </w:p>
          <w:p>
            <w:pPr>
              <w:pStyle w:val="2"/>
              <w:ind w:firstLine="0" w:firstLineChars="0"/>
              <w:rPr>
                <w:b/>
                <w:bCs/>
              </w:rPr>
            </w:pPr>
            <w:r>
              <w:rPr>
                <w:b/>
                <w:bCs/>
              </w:rPr>
              <w:t>主要污染工序：</w:t>
            </w:r>
          </w:p>
          <w:p>
            <w:pPr>
              <w:pStyle w:val="2"/>
              <w:numPr>
                <w:ilvl w:val="0"/>
                <w:numId w:val="3"/>
              </w:numPr>
              <w:ind w:firstLine="0" w:firstLineChars="0"/>
              <w:rPr>
                <w:b/>
                <w:bCs/>
              </w:rPr>
            </w:pPr>
            <w:r>
              <w:rPr>
                <w:b/>
                <w:bCs/>
              </w:rPr>
              <w:t>废水</w:t>
            </w:r>
          </w:p>
          <w:p>
            <w:pPr>
              <w:pStyle w:val="2"/>
              <w:ind w:firstLine="480"/>
            </w:pPr>
            <w:r>
              <w:t>本项目新增员工</w:t>
            </w:r>
            <w:r>
              <w:rPr>
                <w:rFonts w:hint="eastAsia"/>
                <w:lang w:val="en-US" w:eastAsia="zh-CN"/>
              </w:rPr>
              <w:t>后预计达到19</w:t>
            </w:r>
            <w:r>
              <w:t>人，年生产300天，用水量每人100L/d计算，生活用水共计</w:t>
            </w:r>
            <w:r>
              <w:rPr>
                <w:rFonts w:hint="eastAsia"/>
                <w:lang w:val="en-US" w:eastAsia="zh-CN"/>
              </w:rPr>
              <w:t>570</w:t>
            </w:r>
            <w:r>
              <w:t>t，产污系数按0.80计算，产生生活污水</w:t>
            </w:r>
            <w:r>
              <w:rPr>
                <w:rFonts w:hint="eastAsia"/>
                <w:lang w:val="en-US" w:eastAsia="zh-CN"/>
              </w:rPr>
              <w:t>456</w:t>
            </w:r>
            <w:r>
              <w:t>t/a，主要污染因子为COD、SS、NH</w:t>
            </w:r>
            <w:r>
              <w:rPr>
                <w:vertAlign w:val="subscript"/>
              </w:rPr>
              <w:t>3</w:t>
            </w:r>
            <w:r>
              <w:t>-N、TP、TN。</w:t>
            </w:r>
          </w:p>
          <w:p>
            <w:pPr>
              <w:pStyle w:val="2"/>
              <w:ind w:firstLine="0" w:firstLineChars="0"/>
              <w:jc w:val="center"/>
              <w:rPr>
                <w:b/>
                <w:bCs/>
                <w:sz w:val="21"/>
                <w:szCs w:val="21"/>
              </w:rPr>
            </w:pPr>
            <w:r>
              <w:rPr>
                <w:b/>
                <w:bCs/>
                <w:sz w:val="21"/>
                <w:szCs w:val="21"/>
              </w:rPr>
              <w:t>表5-1 水污染物产生和排放情况</w:t>
            </w:r>
          </w:p>
          <w:tbl>
            <w:tblPr>
              <w:tblStyle w:val="26"/>
              <w:tblW w:w="9422" w:type="dxa"/>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66"/>
              <w:gridCol w:w="750"/>
              <w:gridCol w:w="930"/>
              <w:gridCol w:w="1233"/>
              <w:gridCol w:w="1233"/>
              <w:gridCol w:w="1233"/>
              <w:gridCol w:w="1236"/>
              <w:gridCol w:w="194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866" w:type="dxa"/>
                  <w:vMerge w:val="restart"/>
                  <w:tcBorders>
                    <w:top w:val="single" w:color="auto" w:sz="12" w:space="0"/>
                  </w:tcBorders>
                  <w:noWrap w:val="0"/>
                  <w:vAlign w:val="center"/>
                </w:tcPr>
                <w:p>
                  <w:pPr>
                    <w:pStyle w:val="2"/>
                    <w:spacing w:line="240" w:lineRule="auto"/>
                    <w:ind w:firstLine="0" w:firstLineChars="0"/>
                    <w:jc w:val="center"/>
                    <w:rPr>
                      <w:sz w:val="21"/>
                      <w:szCs w:val="21"/>
                    </w:rPr>
                  </w:pPr>
                  <w:r>
                    <w:rPr>
                      <w:sz w:val="21"/>
                      <w:szCs w:val="21"/>
                    </w:rPr>
                    <w:t>污染源</w:t>
                  </w:r>
                </w:p>
                <w:p>
                  <w:pPr>
                    <w:pStyle w:val="2"/>
                    <w:spacing w:line="240" w:lineRule="auto"/>
                    <w:ind w:firstLine="0" w:firstLineChars="0"/>
                    <w:jc w:val="center"/>
                    <w:rPr>
                      <w:sz w:val="21"/>
                      <w:szCs w:val="21"/>
                    </w:rPr>
                  </w:pPr>
                  <w:r>
                    <w:rPr>
                      <w:sz w:val="21"/>
                      <w:szCs w:val="21"/>
                    </w:rPr>
                    <w:t>名称</w:t>
                  </w:r>
                </w:p>
              </w:tc>
              <w:tc>
                <w:tcPr>
                  <w:tcW w:w="750" w:type="dxa"/>
                  <w:vMerge w:val="restart"/>
                  <w:tcBorders>
                    <w:top w:val="single" w:color="auto" w:sz="12" w:space="0"/>
                  </w:tcBorders>
                  <w:noWrap w:val="0"/>
                  <w:vAlign w:val="center"/>
                </w:tcPr>
                <w:p>
                  <w:pPr>
                    <w:pStyle w:val="2"/>
                    <w:spacing w:line="240" w:lineRule="auto"/>
                    <w:ind w:firstLine="0" w:firstLineChars="0"/>
                    <w:jc w:val="center"/>
                    <w:rPr>
                      <w:sz w:val="21"/>
                      <w:szCs w:val="21"/>
                    </w:rPr>
                  </w:pPr>
                  <w:r>
                    <w:rPr>
                      <w:sz w:val="21"/>
                      <w:szCs w:val="21"/>
                    </w:rPr>
                    <w:t>水量</w:t>
                  </w:r>
                </w:p>
                <w:p>
                  <w:pPr>
                    <w:pStyle w:val="2"/>
                    <w:spacing w:line="240" w:lineRule="auto"/>
                    <w:ind w:firstLine="0" w:firstLineChars="0"/>
                    <w:jc w:val="center"/>
                    <w:rPr>
                      <w:sz w:val="21"/>
                      <w:szCs w:val="21"/>
                    </w:rPr>
                  </w:pPr>
                  <w:r>
                    <w:rPr>
                      <w:sz w:val="21"/>
                      <w:szCs w:val="21"/>
                    </w:rPr>
                    <w:t>（t/a）</w:t>
                  </w:r>
                </w:p>
              </w:tc>
              <w:tc>
                <w:tcPr>
                  <w:tcW w:w="930" w:type="dxa"/>
                  <w:vMerge w:val="restart"/>
                  <w:tcBorders>
                    <w:top w:val="single" w:color="auto" w:sz="12" w:space="0"/>
                  </w:tcBorders>
                  <w:noWrap w:val="0"/>
                  <w:vAlign w:val="center"/>
                </w:tcPr>
                <w:p>
                  <w:pPr>
                    <w:pStyle w:val="2"/>
                    <w:spacing w:line="240" w:lineRule="auto"/>
                    <w:ind w:firstLine="0" w:firstLineChars="0"/>
                    <w:jc w:val="center"/>
                    <w:rPr>
                      <w:sz w:val="21"/>
                      <w:szCs w:val="21"/>
                    </w:rPr>
                  </w:pPr>
                  <w:r>
                    <w:rPr>
                      <w:sz w:val="21"/>
                      <w:szCs w:val="21"/>
                    </w:rPr>
                    <w:t>污染物名称</w:t>
                  </w:r>
                </w:p>
              </w:tc>
              <w:tc>
                <w:tcPr>
                  <w:tcW w:w="2466" w:type="dxa"/>
                  <w:gridSpan w:val="2"/>
                  <w:tcBorders>
                    <w:top w:val="single" w:color="auto" w:sz="12" w:space="0"/>
                  </w:tcBorders>
                  <w:noWrap w:val="0"/>
                  <w:vAlign w:val="center"/>
                </w:tcPr>
                <w:p>
                  <w:pPr>
                    <w:pStyle w:val="2"/>
                    <w:spacing w:line="240" w:lineRule="auto"/>
                    <w:ind w:firstLine="0" w:firstLineChars="0"/>
                    <w:jc w:val="center"/>
                    <w:rPr>
                      <w:sz w:val="21"/>
                      <w:szCs w:val="21"/>
                    </w:rPr>
                  </w:pPr>
                  <w:r>
                    <w:rPr>
                      <w:sz w:val="21"/>
                      <w:szCs w:val="21"/>
                    </w:rPr>
                    <w:t>产生情况</w:t>
                  </w:r>
                </w:p>
              </w:tc>
              <w:tc>
                <w:tcPr>
                  <w:tcW w:w="2469" w:type="dxa"/>
                  <w:gridSpan w:val="2"/>
                  <w:tcBorders>
                    <w:top w:val="single" w:color="auto" w:sz="12" w:space="0"/>
                  </w:tcBorders>
                  <w:noWrap w:val="0"/>
                  <w:vAlign w:val="center"/>
                </w:tcPr>
                <w:p>
                  <w:pPr>
                    <w:pStyle w:val="2"/>
                    <w:spacing w:line="240" w:lineRule="auto"/>
                    <w:ind w:firstLine="0" w:firstLineChars="0"/>
                    <w:jc w:val="center"/>
                    <w:rPr>
                      <w:sz w:val="21"/>
                      <w:szCs w:val="21"/>
                    </w:rPr>
                  </w:pPr>
                  <w:r>
                    <w:rPr>
                      <w:sz w:val="21"/>
                      <w:szCs w:val="21"/>
                    </w:rPr>
                    <w:t>排放情况</w:t>
                  </w:r>
                </w:p>
              </w:tc>
              <w:tc>
                <w:tcPr>
                  <w:tcW w:w="1941" w:type="dxa"/>
                  <w:vMerge w:val="restart"/>
                  <w:tcBorders>
                    <w:top w:val="single" w:color="auto" w:sz="12" w:space="0"/>
                    <w:bottom w:val="single" w:color="auto" w:sz="12" w:space="0"/>
                  </w:tcBorders>
                  <w:noWrap w:val="0"/>
                  <w:vAlign w:val="center"/>
                </w:tcPr>
                <w:p>
                  <w:pPr>
                    <w:pStyle w:val="2"/>
                    <w:spacing w:line="240" w:lineRule="auto"/>
                    <w:ind w:firstLine="0" w:firstLineChars="0"/>
                    <w:jc w:val="center"/>
                    <w:rPr>
                      <w:sz w:val="21"/>
                      <w:szCs w:val="21"/>
                    </w:rPr>
                  </w:pPr>
                  <w:r>
                    <w:rPr>
                      <w:sz w:val="21"/>
                      <w:szCs w:val="21"/>
                    </w:rPr>
                    <w:t>排放去向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66" w:type="dxa"/>
                  <w:vMerge w:val="continue"/>
                  <w:tcBorders>
                    <w:bottom w:val="single" w:color="auto" w:sz="12" w:space="0"/>
                  </w:tcBorders>
                  <w:noWrap w:val="0"/>
                  <w:vAlign w:val="center"/>
                </w:tcPr>
                <w:p>
                  <w:pPr>
                    <w:pStyle w:val="2"/>
                    <w:spacing w:line="240" w:lineRule="auto"/>
                    <w:jc w:val="center"/>
                    <w:rPr>
                      <w:sz w:val="21"/>
                      <w:szCs w:val="21"/>
                    </w:rPr>
                  </w:pPr>
                </w:p>
              </w:tc>
              <w:tc>
                <w:tcPr>
                  <w:tcW w:w="750" w:type="dxa"/>
                  <w:vMerge w:val="continue"/>
                  <w:tcBorders>
                    <w:bottom w:val="single" w:color="auto" w:sz="12" w:space="0"/>
                  </w:tcBorders>
                  <w:noWrap w:val="0"/>
                  <w:vAlign w:val="center"/>
                </w:tcPr>
                <w:p>
                  <w:pPr>
                    <w:pStyle w:val="2"/>
                    <w:spacing w:line="240" w:lineRule="auto"/>
                    <w:jc w:val="center"/>
                    <w:rPr>
                      <w:sz w:val="21"/>
                      <w:szCs w:val="21"/>
                    </w:rPr>
                  </w:pPr>
                </w:p>
              </w:tc>
              <w:tc>
                <w:tcPr>
                  <w:tcW w:w="930" w:type="dxa"/>
                  <w:vMerge w:val="continue"/>
                  <w:tcBorders>
                    <w:bottom w:val="single" w:color="auto" w:sz="12" w:space="0"/>
                  </w:tcBorders>
                  <w:noWrap w:val="0"/>
                  <w:vAlign w:val="center"/>
                </w:tcPr>
                <w:p>
                  <w:pPr>
                    <w:pStyle w:val="2"/>
                    <w:spacing w:line="240" w:lineRule="auto"/>
                    <w:jc w:val="center"/>
                    <w:rPr>
                      <w:sz w:val="21"/>
                      <w:szCs w:val="21"/>
                    </w:rPr>
                  </w:pPr>
                </w:p>
              </w:tc>
              <w:tc>
                <w:tcPr>
                  <w:tcW w:w="1233" w:type="dxa"/>
                  <w:tcBorders>
                    <w:bottom w:val="single" w:color="auto" w:sz="12" w:space="0"/>
                  </w:tcBorders>
                  <w:noWrap w:val="0"/>
                  <w:vAlign w:val="center"/>
                </w:tcPr>
                <w:p>
                  <w:pPr>
                    <w:pStyle w:val="2"/>
                    <w:spacing w:line="240" w:lineRule="auto"/>
                    <w:ind w:firstLine="0" w:firstLineChars="0"/>
                    <w:jc w:val="center"/>
                    <w:rPr>
                      <w:sz w:val="21"/>
                      <w:szCs w:val="21"/>
                    </w:rPr>
                  </w:pPr>
                  <w:r>
                    <w:rPr>
                      <w:sz w:val="21"/>
                      <w:szCs w:val="21"/>
                    </w:rPr>
                    <w:t>浓度mg/L</w:t>
                  </w:r>
                </w:p>
              </w:tc>
              <w:tc>
                <w:tcPr>
                  <w:tcW w:w="1233" w:type="dxa"/>
                  <w:tcBorders>
                    <w:bottom w:val="single" w:color="auto" w:sz="12" w:space="0"/>
                  </w:tcBorders>
                  <w:noWrap w:val="0"/>
                  <w:vAlign w:val="center"/>
                </w:tcPr>
                <w:p>
                  <w:pPr>
                    <w:pStyle w:val="2"/>
                    <w:spacing w:line="240" w:lineRule="auto"/>
                    <w:ind w:firstLine="0" w:firstLineChars="0"/>
                    <w:jc w:val="center"/>
                    <w:rPr>
                      <w:sz w:val="21"/>
                      <w:szCs w:val="21"/>
                    </w:rPr>
                  </w:pPr>
                  <w:r>
                    <w:rPr>
                      <w:sz w:val="21"/>
                      <w:szCs w:val="21"/>
                    </w:rPr>
                    <w:t>产生量t/a</w:t>
                  </w:r>
                </w:p>
              </w:tc>
              <w:tc>
                <w:tcPr>
                  <w:tcW w:w="1233" w:type="dxa"/>
                  <w:tcBorders>
                    <w:bottom w:val="single" w:color="auto" w:sz="12" w:space="0"/>
                  </w:tcBorders>
                  <w:noWrap w:val="0"/>
                  <w:vAlign w:val="center"/>
                </w:tcPr>
                <w:p>
                  <w:pPr>
                    <w:pStyle w:val="2"/>
                    <w:spacing w:line="240" w:lineRule="auto"/>
                    <w:ind w:firstLine="0" w:firstLineChars="0"/>
                    <w:jc w:val="center"/>
                    <w:rPr>
                      <w:sz w:val="21"/>
                      <w:szCs w:val="21"/>
                    </w:rPr>
                  </w:pPr>
                  <w:r>
                    <w:rPr>
                      <w:sz w:val="21"/>
                      <w:szCs w:val="21"/>
                    </w:rPr>
                    <w:t>浓度mg/L</w:t>
                  </w:r>
                </w:p>
              </w:tc>
              <w:tc>
                <w:tcPr>
                  <w:tcW w:w="1236" w:type="dxa"/>
                  <w:tcBorders>
                    <w:bottom w:val="single" w:color="auto" w:sz="12" w:space="0"/>
                  </w:tcBorders>
                  <w:noWrap w:val="0"/>
                  <w:vAlign w:val="center"/>
                </w:tcPr>
                <w:p>
                  <w:pPr>
                    <w:pStyle w:val="2"/>
                    <w:spacing w:line="240" w:lineRule="auto"/>
                    <w:ind w:firstLine="0" w:firstLineChars="0"/>
                    <w:jc w:val="center"/>
                    <w:rPr>
                      <w:sz w:val="21"/>
                      <w:szCs w:val="21"/>
                    </w:rPr>
                  </w:pPr>
                  <w:r>
                    <w:rPr>
                      <w:sz w:val="21"/>
                      <w:szCs w:val="21"/>
                    </w:rPr>
                    <w:t>产生量t/a</w:t>
                  </w:r>
                </w:p>
              </w:tc>
              <w:tc>
                <w:tcPr>
                  <w:tcW w:w="1941" w:type="dxa"/>
                  <w:vMerge w:val="continue"/>
                  <w:tcBorders>
                    <w:top w:val="single" w:color="auto" w:sz="12" w:space="0"/>
                    <w:bottom w:val="single" w:color="auto" w:sz="12" w:space="0"/>
                  </w:tcBorders>
                  <w:noWrap w:val="0"/>
                  <w:vAlign w:val="center"/>
                </w:tcPr>
                <w:p>
                  <w:pPr>
                    <w:pStyle w:val="2"/>
                    <w:spacing w:line="240" w:lineRule="auto"/>
                    <w:jc w:val="center"/>
                    <w:rPr>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66" w:type="dxa"/>
                  <w:vMerge w:val="restart"/>
                  <w:tcBorders>
                    <w:top w:val="single" w:color="auto" w:sz="12" w:space="0"/>
                  </w:tcBorders>
                  <w:noWrap w:val="0"/>
                  <w:vAlign w:val="center"/>
                </w:tcPr>
                <w:p>
                  <w:pPr>
                    <w:pStyle w:val="2"/>
                    <w:spacing w:line="240" w:lineRule="auto"/>
                    <w:ind w:firstLine="0" w:firstLineChars="0"/>
                    <w:jc w:val="center"/>
                    <w:rPr>
                      <w:sz w:val="21"/>
                      <w:szCs w:val="21"/>
                    </w:rPr>
                  </w:pPr>
                  <w:r>
                    <w:rPr>
                      <w:sz w:val="21"/>
                      <w:szCs w:val="21"/>
                    </w:rPr>
                    <w:t>生活污水</w:t>
                  </w:r>
                </w:p>
              </w:tc>
              <w:tc>
                <w:tcPr>
                  <w:tcW w:w="750" w:type="dxa"/>
                  <w:vMerge w:val="restart"/>
                  <w:tcBorders>
                    <w:top w:val="single" w:color="auto" w:sz="12" w:space="0"/>
                  </w:tcBorders>
                  <w:noWrap w:val="0"/>
                  <w:vAlign w:val="center"/>
                </w:tcPr>
                <w:p>
                  <w:pPr>
                    <w:pStyle w:val="2"/>
                    <w:spacing w:line="240" w:lineRule="auto"/>
                    <w:ind w:firstLine="0" w:firstLineChars="0"/>
                    <w:jc w:val="center"/>
                    <w:rPr>
                      <w:rFonts w:hint="default" w:eastAsia="宋体"/>
                      <w:sz w:val="21"/>
                      <w:szCs w:val="21"/>
                      <w:lang w:val="en-US" w:eastAsia="zh-CN"/>
                    </w:rPr>
                  </w:pPr>
                  <w:r>
                    <w:rPr>
                      <w:rFonts w:hint="eastAsia"/>
                      <w:sz w:val="21"/>
                      <w:szCs w:val="21"/>
                      <w:lang w:val="en-US" w:eastAsia="zh-CN"/>
                    </w:rPr>
                    <w:t>456</w:t>
                  </w:r>
                </w:p>
              </w:tc>
              <w:tc>
                <w:tcPr>
                  <w:tcW w:w="930" w:type="dxa"/>
                  <w:tcBorders>
                    <w:top w:val="single" w:color="auto" w:sz="12" w:space="0"/>
                  </w:tcBorders>
                  <w:noWrap w:val="0"/>
                  <w:vAlign w:val="center"/>
                </w:tcPr>
                <w:p>
                  <w:pPr>
                    <w:pStyle w:val="2"/>
                    <w:spacing w:line="240" w:lineRule="auto"/>
                    <w:ind w:firstLine="0" w:firstLineChars="0"/>
                    <w:jc w:val="center"/>
                    <w:rPr>
                      <w:sz w:val="21"/>
                      <w:szCs w:val="21"/>
                    </w:rPr>
                  </w:pPr>
                  <w:r>
                    <w:rPr>
                      <w:sz w:val="21"/>
                      <w:szCs w:val="21"/>
                    </w:rPr>
                    <w:t>COD</w:t>
                  </w:r>
                </w:p>
              </w:tc>
              <w:tc>
                <w:tcPr>
                  <w:tcW w:w="1233" w:type="dxa"/>
                  <w:tcBorders>
                    <w:top w:val="single" w:color="auto" w:sz="12" w:space="0"/>
                  </w:tcBorders>
                  <w:noWrap w:val="0"/>
                  <w:vAlign w:val="center"/>
                </w:tcPr>
                <w:p>
                  <w:pPr>
                    <w:pStyle w:val="2"/>
                    <w:spacing w:line="240" w:lineRule="auto"/>
                    <w:ind w:firstLine="0" w:firstLineChars="0"/>
                    <w:jc w:val="center"/>
                    <w:rPr>
                      <w:sz w:val="21"/>
                      <w:szCs w:val="21"/>
                    </w:rPr>
                  </w:pPr>
                  <w:r>
                    <w:rPr>
                      <w:sz w:val="21"/>
                      <w:szCs w:val="21"/>
                    </w:rPr>
                    <w:t>450</w:t>
                  </w:r>
                </w:p>
              </w:tc>
              <w:tc>
                <w:tcPr>
                  <w:tcW w:w="1233" w:type="dxa"/>
                  <w:tcBorders>
                    <w:top w:val="single" w:color="auto" w:sz="12" w:space="0"/>
                  </w:tcBorders>
                  <w:noWrap w:val="0"/>
                  <w:vAlign w:val="center"/>
                </w:tcPr>
                <w:p>
                  <w:pPr>
                    <w:pStyle w:val="2"/>
                    <w:spacing w:line="240" w:lineRule="auto"/>
                    <w:ind w:firstLine="0" w:firstLineChars="0"/>
                    <w:jc w:val="center"/>
                    <w:rPr>
                      <w:rFonts w:hint="default" w:eastAsia="宋体"/>
                      <w:sz w:val="21"/>
                      <w:szCs w:val="21"/>
                      <w:lang w:val="en-US" w:eastAsia="zh-CN"/>
                    </w:rPr>
                  </w:pPr>
                  <w:r>
                    <w:rPr>
                      <w:rFonts w:hint="eastAsia"/>
                      <w:sz w:val="21"/>
                      <w:szCs w:val="21"/>
                      <w:lang w:val="en-US" w:eastAsia="zh-CN"/>
                    </w:rPr>
                    <w:t>0.2052</w:t>
                  </w:r>
                </w:p>
              </w:tc>
              <w:tc>
                <w:tcPr>
                  <w:tcW w:w="1233" w:type="dxa"/>
                  <w:tcBorders>
                    <w:top w:val="single" w:color="auto" w:sz="12" w:space="0"/>
                  </w:tcBorders>
                  <w:noWrap w:val="0"/>
                  <w:vAlign w:val="center"/>
                </w:tcPr>
                <w:p>
                  <w:pPr>
                    <w:pStyle w:val="2"/>
                    <w:spacing w:line="240" w:lineRule="auto"/>
                    <w:ind w:firstLine="0" w:firstLineChars="0"/>
                    <w:jc w:val="center"/>
                    <w:rPr>
                      <w:sz w:val="21"/>
                      <w:szCs w:val="21"/>
                    </w:rPr>
                  </w:pPr>
                  <w:r>
                    <w:rPr>
                      <w:sz w:val="21"/>
                      <w:szCs w:val="21"/>
                    </w:rPr>
                    <w:t>450</w:t>
                  </w:r>
                </w:p>
              </w:tc>
              <w:tc>
                <w:tcPr>
                  <w:tcW w:w="1236" w:type="dxa"/>
                  <w:tcBorders>
                    <w:top w:val="single" w:color="auto" w:sz="12" w:space="0"/>
                  </w:tcBorders>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0.2052</w:t>
                  </w:r>
                </w:p>
              </w:tc>
              <w:tc>
                <w:tcPr>
                  <w:tcW w:w="1941" w:type="dxa"/>
                  <w:vMerge w:val="restart"/>
                  <w:tcBorders>
                    <w:top w:val="single" w:color="auto" w:sz="12" w:space="0"/>
                    <w:bottom w:val="single" w:color="auto" w:sz="12" w:space="0"/>
                  </w:tcBorders>
                  <w:noWrap w:val="0"/>
                  <w:vAlign w:val="center"/>
                </w:tcPr>
                <w:p>
                  <w:pPr>
                    <w:pStyle w:val="2"/>
                    <w:spacing w:line="240" w:lineRule="auto"/>
                    <w:ind w:firstLine="0" w:firstLineChars="0"/>
                    <w:jc w:val="center"/>
                    <w:rPr>
                      <w:sz w:val="21"/>
                      <w:szCs w:val="21"/>
                    </w:rPr>
                  </w:pPr>
                  <w:r>
                    <w:rPr>
                      <w:kern w:val="0"/>
                      <w:sz w:val="21"/>
                      <w:szCs w:val="18"/>
                    </w:rPr>
                    <w:t>苏州高新区</w:t>
                  </w:r>
                  <w:r>
                    <w:rPr>
                      <w:rFonts w:hint="eastAsia"/>
                      <w:kern w:val="0"/>
                      <w:sz w:val="21"/>
                      <w:szCs w:val="18"/>
                      <w:lang w:val="en-US" w:eastAsia="zh-CN"/>
                    </w:rPr>
                    <w:t>白荡水质净化厂</w:t>
                  </w:r>
                  <w:r>
                    <w:rPr>
                      <w:kern w:val="0"/>
                      <w:sz w:val="21"/>
                      <w:szCs w:val="18"/>
                    </w:rPr>
                    <w:t>处理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66" w:type="dxa"/>
                  <w:vMerge w:val="continue"/>
                  <w:noWrap w:val="0"/>
                  <w:vAlign w:val="center"/>
                </w:tcPr>
                <w:p>
                  <w:pPr>
                    <w:pStyle w:val="2"/>
                    <w:spacing w:line="240" w:lineRule="auto"/>
                    <w:ind w:firstLine="0" w:firstLineChars="0"/>
                    <w:jc w:val="center"/>
                    <w:rPr>
                      <w:sz w:val="21"/>
                      <w:szCs w:val="21"/>
                    </w:rPr>
                  </w:pPr>
                </w:p>
              </w:tc>
              <w:tc>
                <w:tcPr>
                  <w:tcW w:w="750" w:type="dxa"/>
                  <w:vMerge w:val="continue"/>
                  <w:noWrap w:val="0"/>
                  <w:vAlign w:val="center"/>
                </w:tcPr>
                <w:p>
                  <w:pPr>
                    <w:pStyle w:val="2"/>
                    <w:spacing w:line="240" w:lineRule="auto"/>
                    <w:ind w:firstLine="0" w:firstLineChars="0"/>
                    <w:jc w:val="center"/>
                    <w:rPr>
                      <w:sz w:val="21"/>
                      <w:szCs w:val="21"/>
                    </w:rPr>
                  </w:pPr>
                </w:p>
              </w:tc>
              <w:tc>
                <w:tcPr>
                  <w:tcW w:w="930" w:type="dxa"/>
                  <w:noWrap w:val="0"/>
                  <w:vAlign w:val="center"/>
                </w:tcPr>
                <w:p>
                  <w:pPr>
                    <w:pStyle w:val="2"/>
                    <w:spacing w:line="240" w:lineRule="auto"/>
                    <w:ind w:firstLine="0" w:firstLineChars="0"/>
                    <w:jc w:val="center"/>
                    <w:rPr>
                      <w:sz w:val="21"/>
                      <w:szCs w:val="21"/>
                    </w:rPr>
                  </w:pPr>
                  <w:r>
                    <w:rPr>
                      <w:sz w:val="21"/>
                      <w:szCs w:val="21"/>
                    </w:rPr>
                    <w:t>SS</w:t>
                  </w:r>
                </w:p>
              </w:tc>
              <w:tc>
                <w:tcPr>
                  <w:tcW w:w="1233" w:type="dxa"/>
                  <w:noWrap w:val="0"/>
                  <w:vAlign w:val="center"/>
                </w:tcPr>
                <w:p>
                  <w:pPr>
                    <w:pStyle w:val="2"/>
                    <w:spacing w:line="240" w:lineRule="auto"/>
                    <w:ind w:firstLine="0" w:firstLineChars="0"/>
                    <w:jc w:val="center"/>
                    <w:rPr>
                      <w:sz w:val="21"/>
                      <w:szCs w:val="21"/>
                    </w:rPr>
                  </w:pPr>
                  <w:r>
                    <w:rPr>
                      <w:sz w:val="21"/>
                      <w:szCs w:val="21"/>
                    </w:rPr>
                    <w:t>300</w:t>
                  </w:r>
                </w:p>
              </w:tc>
              <w:tc>
                <w:tcPr>
                  <w:tcW w:w="1233" w:type="dxa"/>
                  <w:noWrap w:val="0"/>
                  <w:vAlign w:val="center"/>
                </w:tcPr>
                <w:p>
                  <w:pPr>
                    <w:pStyle w:val="2"/>
                    <w:spacing w:line="240" w:lineRule="auto"/>
                    <w:ind w:firstLine="0" w:firstLineChars="0"/>
                    <w:jc w:val="center"/>
                    <w:rPr>
                      <w:rFonts w:hint="default" w:eastAsia="宋体"/>
                      <w:sz w:val="21"/>
                      <w:szCs w:val="21"/>
                      <w:lang w:val="en-US" w:eastAsia="zh-CN"/>
                    </w:rPr>
                  </w:pPr>
                  <w:r>
                    <w:rPr>
                      <w:rFonts w:hint="eastAsia"/>
                      <w:sz w:val="21"/>
                      <w:szCs w:val="21"/>
                      <w:lang w:val="en-US" w:eastAsia="zh-CN"/>
                    </w:rPr>
                    <w:t>0.1368</w:t>
                  </w:r>
                </w:p>
              </w:tc>
              <w:tc>
                <w:tcPr>
                  <w:tcW w:w="1233" w:type="dxa"/>
                  <w:noWrap w:val="0"/>
                  <w:vAlign w:val="center"/>
                </w:tcPr>
                <w:p>
                  <w:pPr>
                    <w:pStyle w:val="2"/>
                    <w:spacing w:line="240" w:lineRule="auto"/>
                    <w:ind w:firstLine="0" w:firstLineChars="0"/>
                    <w:jc w:val="center"/>
                    <w:rPr>
                      <w:sz w:val="21"/>
                      <w:szCs w:val="21"/>
                    </w:rPr>
                  </w:pPr>
                  <w:r>
                    <w:rPr>
                      <w:sz w:val="21"/>
                      <w:szCs w:val="21"/>
                    </w:rPr>
                    <w:t>300</w:t>
                  </w:r>
                </w:p>
              </w:tc>
              <w:tc>
                <w:tcPr>
                  <w:tcW w:w="1236"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0.1368</w:t>
                  </w:r>
                </w:p>
              </w:tc>
              <w:tc>
                <w:tcPr>
                  <w:tcW w:w="1941" w:type="dxa"/>
                  <w:vMerge w:val="continue"/>
                  <w:tcBorders>
                    <w:top w:val="single" w:color="auto" w:sz="12" w:space="0"/>
                    <w:bottom w:val="single" w:color="auto" w:sz="12" w:space="0"/>
                  </w:tcBorders>
                  <w:noWrap w:val="0"/>
                  <w:vAlign w:val="center"/>
                </w:tcPr>
                <w:p>
                  <w:pPr>
                    <w:pStyle w:val="2"/>
                    <w:spacing w:line="240" w:lineRule="auto"/>
                    <w:ind w:firstLine="0" w:firstLineChars="0"/>
                    <w:jc w:val="center"/>
                    <w:rPr>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66" w:type="dxa"/>
                  <w:vMerge w:val="continue"/>
                  <w:noWrap w:val="0"/>
                  <w:vAlign w:val="center"/>
                </w:tcPr>
                <w:p>
                  <w:pPr>
                    <w:pStyle w:val="2"/>
                    <w:spacing w:line="240" w:lineRule="auto"/>
                    <w:ind w:firstLine="0" w:firstLineChars="0"/>
                    <w:jc w:val="center"/>
                    <w:rPr>
                      <w:sz w:val="21"/>
                      <w:szCs w:val="21"/>
                    </w:rPr>
                  </w:pPr>
                </w:p>
              </w:tc>
              <w:tc>
                <w:tcPr>
                  <w:tcW w:w="750" w:type="dxa"/>
                  <w:vMerge w:val="continue"/>
                  <w:noWrap w:val="0"/>
                  <w:vAlign w:val="center"/>
                </w:tcPr>
                <w:p>
                  <w:pPr>
                    <w:pStyle w:val="2"/>
                    <w:spacing w:line="240" w:lineRule="auto"/>
                    <w:ind w:firstLine="0" w:firstLineChars="0"/>
                    <w:jc w:val="center"/>
                    <w:rPr>
                      <w:sz w:val="21"/>
                      <w:szCs w:val="21"/>
                    </w:rPr>
                  </w:pPr>
                </w:p>
              </w:tc>
              <w:tc>
                <w:tcPr>
                  <w:tcW w:w="930" w:type="dxa"/>
                  <w:noWrap w:val="0"/>
                  <w:vAlign w:val="center"/>
                </w:tcPr>
                <w:p>
                  <w:pPr>
                    <w:pStyle w:val="2"/>
                    <w:spacing w:line="240" w:lineRule="auto"/>
                    <w:ind w:firstLine="0" w:firstLineChars="0"/>
                    <w:jc w:val="center"/>
                    <w:rPr>
                      <w:sz w:val="21"/>
                      <w:szCs w:val="21"/>
                    </w:rPr>
                  </w:pPr>
                  <w:r>
                    <w:rPr>
                      <w:sz w:val="21"/>
                      <w:szCs w:val="21"/>
                    </w:rPr>
                    <w:t>氨氮</w:t>
                  </w:r>
                </w:p>
              </w:tc>
              <w:tc>
                <w:tcPr>
                  <w:tcW w:w="1233" w:type="dxa"/>
                  <w:noWrap w:val="0"/>
                  <w:vAlign w:val="center"/>
                </w:tcPr>
                <w:p>
                  <w:pPr>
                    <w:pStyle w:val="2"/>
                    <w:spacing w:line="240" w:lineRule="auto"/>
                    <w:ind w:firstLine="0" w:firstLineChars="0"/>
                    <w:jc w:val="center"/>
                    <w:rPr>
                      <w:sz w:val="21"/>
                      <w:szCs w:val="21"/>
                    </w:rPr>
                  </w:pPr>
                  <w:r>
                    <w:rPr>
                      <w:sz w:val="21"/>
                      <w:szCs w:val="21"/>
                    </w:rPr>
                    <w:t>35</w:t>
                  </w:r>
                </w:p>
              </w:tc>
              <w:tc>
                <w:tcPr>
                  <w:tcW w:w="1233" w:type="dxa"/>
                  <w:noWrap w:val="0"/>
                  <w:vAlign w:val="center"/>
                </w:tcPr>
                <w:p>
                  <w:pPr>
                    <w:pStyle w:val="2"/>
                    <w:spacing w:line="240" w:lineRule="auto"/>
                    <w:ind w:firstLine="0" w:firstLineChars="0"/>
                    <w:jc w:val="center"/>
                    <w:rPr>
                      <w:rFonts w:hint="default" w:eastAsia="宋体"/>
                      <w:sz w:val="21"/>
                      <w:szCs w:val="21"/>
                      <w:lang w:val="en-US" w:eastAsia="zh-CN"/>
                    </w:rPr>
                  </w:pPr>
                  <w:r>
                    <w:rPr>
                      <w:rFonts w:hint="eastAsia"/>
                      <w:sz w:val="21"/>
                      <w:szCs w:val="21"/>
                      <w:lang w:val="en-US" w:eastAsia="zh-CN"/>
                    </w:rPr>
                    <w:t>0.01596</w:t>
                  </w:r>
                </w:p>
              </w:tc>
              <w:tc>
                <w:tcPr>
                  <w:tcW w:w="1233" w:type="dxa"/>
                  <w:noWrap w:val="0"/>
                  <w:vAlign w:val="center"/>
                </w:tcPr>
                <w:p>
                  <w:pPr>
                    <w:pStyle w:val="2"/>
                    <w:spacing w:line="240" w:lineRule="auto"/>
                    <w:ind w:firstLine="0" w:firstLineChars="0"/>
                    <w:jc w:val="center"/>
                    <w:rPr>
                      <w:sz w:val="21"/>
                      <w:szCs w:val="21"/>
                    </w:rPr>
                  </w:pPr>
                  <w:r>
                    <w:rPr>
                      <w:sz w:val="21"/>
                      <w:szCs w:val="21"/>
                    </w:rPr>
                    <w:t>35</w:t>
                  </w:r>
                </w:p>
              </w:tc>
              <w:tc>
                <w:tcPr>
                  <w:tcW w:w="1236"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0.01596</w:t>
                  </w:r>
                </w:p>
              </w:tc>
              <w:tc>
                <w:tcPr>
                  <w:tcW w:w="1941" w:type="dxa"/>
                  <w:vMerge w:val="continue"/>
                  <w:tcBorders>
                    <w:top w:val="single" w:color="auto" w:sz="12" w:space="0"/>
                    <w:bottom w:val="single" w:color="auto" w:sz="12" w:space="0"/>
                  </w:tcBorders>
                  <w:noWrap w:val="0"/>
                  <w:vAlign w:val="center"/>
                </w:tcPr>
                <w:p>
                  <w:pPr>
                    <w:pStyle w:val="2"/>
                    <w:spacing w:line="240" w:lineRule="auto"/>
                    <w:ind w:firstLine="0" w:firstLineChars="0"/>
                    <w:jc w:val="center"/>
                    <w:rPr>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66" w:type="dxa"/>
                  <w:vMerge w:val="continue"/>
                  <w:tcBorders>
                    <w:bottom w:val="single" w:color="auto" w:sz="12" w:space="0"/>
                  </w:tcBorders>
                  <w:noWrap w:val="0"/>
                  <w:vAlign w:val="center"/>
                </w:tcPr>
                <w:p>
                  <w:pPr>
                    <w:pStyle w:val="2"/>
                    <w:spacing w:line="240" w:lineRule="auto"/>
                    <w:ind w:firstLine="0" w:firstLineChars="0"/>
                    <w:jc w:val="center"/>
                    <w:rPr>
                      <w:sz w:val="21"/>
                      <w:szCs w:val="21"/>
                    </w:rPr>
                  </w:pPr>
                </w:p>
              </w:tc>
              <w:tc>
                <w:tcPr>
                  <w:tcW w:w="750" w:type="dxa"/>
                  <w:vMerge w:val="continue"/>
                  <w:tcBorders>
                    <w:bottom w:val="single" w:color="auto" w:sz="12" w:space="0"/>
                  </w:tcBorders>
                  <w:noWrap w:val="0"/>
                  <w:vAlign w:val="center"/>
                </w:tcPr>
                <w:p>
                  <w:pPr>
                    <w:pStyle w:val="2"/>
                    <w:spacing w:line="240" w:lineRule="auto"/>
                    <w:ind w:firstLine="0" w:firstLineChars="0"/>
                    <w:jc w:val="center"/>
                    <w:rPr>
                      <w:sz w:val="21"/>
                      <w:szCs w:val="21"/>
                    </w:rPr>
                  </w:pPr>
                </w:p>
              </w:tc>
              <w:tc>
                <w:tcPr>
                  <w:tcW w:w="930" w:type="dxa"/>
                  <w:tcBorders>
                    <w:bottom w:val="single" w:color="auto" w:sz="12" w:space="0"/>
                  </w:tcBorders>
                  <w:noWrap w:val="0"/>
                  <w:vAlign w:val="center"/>
                </w:tcPr>
                <w:p>
                  <w:pPr>
                    <w:pStyle w:val="2"/>
                    <w:spacing w:line="240" w:lineRule="auto"/>
                    <w:ind w:firstLine="0" w:firstLineChars="0"/>
                    <w:jc w:val="center"/>
                    <w:rPr>
                      <w:sz w:val="21"/>
                      <w:szCs w:val="21"/>
                    </w:rPr>
                  </w:pPr>
                  <w:r>
                    <w:rPr>
                      <w:sz w:val="21"/>
                      <w:szCs w:val="21"/>
                    </w:rPr>
                    <w:t>TP</w:t>
                  </w:r>
                </w:p>
              </w:tc>
              <w:tc>
                <w:tcPr>
                  <w:tcW w:w="1233" w:type="dxa"/>
                  <w:tcBorders>
                    <w:bottom w:val="single" w:color="auto" w:sz="12" w:space="0"/>
                  </w:tcBorders>
                  <w:noWrap w:val="0"/>
                  <w:vAlign w:val="center"/>
                </w:tcPr>
                <w:p>
                  <w:pPr>
                    <w:pStyle w:val="2"/>
                    <w:spacing w:line="240" w:lineRule="auto"/>
                    <w:ind w:firstLine="0" w:firstLineChars="0"/>
                    <w:jc w:val="center"/>
                    <w:rPr>
                      <w:sz w:val="21"/>
                      <w:szCs w:val="21"/>
                    </w:rPr>
                  </w:pPr>
                  <w:r>
                    <w:rPr>
                      <w:sz w:val="21"/>
                      <w:szCs w:val="21"/>
                    </w:rPr>
                    <w:t>8</w:t>
                  </w:r>
                </w:p>
              </w:tc>
              <w:tc>
                <w:tcPr>
                  <w:tcW w:w="1233" w:type="dxa"/>
                  <w:tcBorders>
                    <w:bottom w:val="single" w:color="auto" w:sz="12" w:space="0"/>
                  </w:tcBorders>
                  <w:noWrap w:val="0"/>
                  <w:vAlign w:val="center"/>
                </w:tcPr>
                <w:p>
                  <w:pPr>
                    <w:pStyle w:val="2"/>
                    <w:spacing w:line="240" w:lineRule="auto"/>
                    <w:ind w:firstLine="0" w:firstLineChars="0"/>
                    <w:jc w:val="center"/>
                    <w:rPr>
                      <w:rFonts w:hint="default" w:eastAsia="宋体"/>
                      <w:sz w:val="21"/>
                      <w:szCs w:val="21"/>
                      <w:lang w:val="en-US" w:eastAsia="zh-CN"/>
                    </w:rPr>
                  </w:pPr>
                  <w:r>
                    <w:rPr>
                      <w:rFonts w:hint="eastAsia"/>
                      <w:sz w:val="21"/>
                      <w:szCs w:val="21"/>
                      <w:lang w:val="en-US" w:eastAsia="zh-CN"/>
                    </w:rPr>
                    <w:t>0.003648</w:t>
                  </w:r>
                </w:p>
              </w:tc>
              <w:tc>
                <w:tcPr>
                  <w:tcW w:w="1233" w:type="dxa"/>
                  <w:tcBorders>
                    <w:bottom w:val="single" w:color="auto" w:sz="12" w:space="0"/>
                  </w:tcBorders>
                  <w:noWrap w:val="0"/>
                  <w:vAlign w:val="center"/>
                </w:tcPr>
                <w:p>
                  <w:pPr>
                    <w:pStyle w:val="2"/>
                    <w:spacing w:line="240" w:lineRule="auto"/>
                    <w:ind w:firstLine="0" w:firstLineChars="0"/>
                    <w:jc w:val="center"/>
                    <w:rPr>
                      <w:sz w:val="21"/>
                      <w:szCs w:val="21"/>
                    </w:rPr>
                  </w:pPr>
                  <w:r>
                    <w:rPr>
                      <w:sz w:val="21"/>
                      <w:szCs w:val="21"/>
                    </w:rPr>
                    <w:t>8</w:t>
                  </w:r>
                </w:p>
              </w:tc>
              <w:tc>
                <w:tcPr>
                  <w:tcW w:w="1236" w:type="dxa"/>
                  <w:tcBorders>
                    <w:bottom w:val="single" w:color="auto" w:sz="12" w:space="0"/>
                  </w:tcBorders>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0.003648</w:t>
                  </w:r>
                </w:p>
              </w:tc>
              <w:tc>
                <w:tcPr>
                  <w:tcW w:w="1941" w:type="dxa"/>
                  <w:vMerge w:val="continue"/>
                  <w:tcBorders>
                    <w:top w:val="single" w:color="auto" w:sz="12" w:space="0"/>
                    <w:bottom w:val="single" w:color="auto" w:sz="12" w:space="0"/>
                  </w:tcBorders>
                  <w:noWrap w:val="0"/>
                  <w:vAlign w:val="center"/>
                </w:tcPr>
                <w:p>
                  <w:pPr>
                    <w:pStyle w:val="2"/>
                    <w:spacing w:line="240" w:lineRule="auto"/>
                    <w:ind w:firstLine="0" w:firstLineChars="0"/>
                    <w:jc w:val="center"/>
                    <w:rPr>
                      <w:sz w:val="21"/>
                      <w:szCs w:val="21"/>
                    </w:rPr>
                  </w:pPr>
                </w:p>
              </w:tc>
            </w:tr>
          </w:tbl>
          <w:p>
            <w:pPr>
              <w:pStyle w:val="2"/>
              <w:ind w:firstLine="0" w:firstLineChars="0"/>
              <w:jc w:val="center"/>
              <w:rPr>
                <w:rFonts w:hint="eastAsia" w:eastAsia="宋体"/>
                <w:lang w:eastAsia="zh-CN"/>
              </w:rPr>
            </w:pPr>
            <w:r>
              <w:rPr>
                <w:rFonts w:hint="eastAsia" w:eastAsia="宋体"/>
                <w:lang w:eastAsia="zh-CN"/>
              </w:rPr>
              <w:drawing>
                <wp:inline distT="0" distB="0" distL="114300" distR="114300">
                  <wp:extent cx="4048125" cy="1609725"/>
                  <wp:effectExtent l="0" t="0" r="0" b="8890"/>
                  <wp:docPr id="1" name="图片 1" descr="水平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水平衡"/>
                          <pic:cNvPicPr>
                            <a:picLocks noChangeAspect="1"/>
                          </pic:cNvPicPr>
                        </pic:nvPicPr>
                        <pic:blipFill>
                          <a:blip r:embed="rId11"/>
                          <a:stretch>
                            <a:fillRect/>
                          </a:stretch>
                        </pic:blipFill>
                        <pic:spPr>
                          <a:xfrm>
                            <a:off x="0" y="0"/>
                            <a:ext cx="4048125" cy="1609725"/>
                          </a:xfrm>
                          <a:prstGeom prst="rect">
                            <a:avLst/>
                          </a:prstGeom>
                        </pic:spPr>
                      </pic:pic>
                    </a:graphicData>
                  </a:graphic>
                </wp:inline>
              </w:drawing>
            </w:r>
          </w:p>
          <w:p>
            <w:pPr>
              <w:pStyle w:val="2"/>
              <w:ind w:firstLine="0" w:firstLineChars="0"/>
              <w:jc w:val="center"/>
            </w:pPr>
            <w:r>
              <w:rPr>
                <w:b/>
                <w:bCs/>
                <w:sz w:val="21"/>
                <w:szCs w:val="21"/>
              </w:rPr>
              <w:t xml:space="preserve">图5-3 </w:t>
            </w:r>
            <w:r>
              <w:rPr>
                <w:rFonts w:hint="eastAsia"/>
                <w:b/>
                <w:bCs/>
                <w:sz w:val="21"/>
                <w:szCs w:val="21"/>
                <w:lang w:eastAsia="zh-CN"/>
              </w:rPr>
              <w:t>本</w:t>
            </w:r>
            <w:r>
              <w:rPr>
                <w:b/>
                <w:bCs/>
                <w:sz w:val="21"/>
                <w:szCs w:val="21"/>
              </w:rPr>
              <w:t>项目水平衡</w:t>
            </w:r>
          </w:p>
          <w:p>
            <w:pPr>
              <w:rPr>
                <w:b/>
                <w:bCs/>
              </w:rPr>
            </w:pPr>
            <w:r>
              <w:rPr>
                <w:b/>
                <w:bCs/>
              </w:rPr>
              <w:t>2、废气</w:t>
            </w:r>
          </w:p>
          <w:p>
            <w:pPr>
              <w:pStyle w:val="2"/>
              <w:ind w:left="0" w:leftChars="0" w:firstLine="480" w:firstLineChars="200"/>
              <w:jc w:val="left"/>
              <w:rPr>
                <w:rFonts w:hint="default" w:eastAsia="宋体"/>
                <w:lang w:val="en-US" w:eastAsia="zh-CN"/>
              </w:rPr>
            </w:pPr>
            <w:r>
              <w:rPr>
                <w:rFonts w:hint="eastAsia"/>
                <w:lang w:val="en-US" w:eastAsia="zh-CN"/>
              </w:rPr>
              <w:t>塑料粒子在混料过程中会有颗粒物产生，主要是因为CaCO</w:t>
            </w:r>
            <w:r>
              <w:rPr>
                <w:rFonts w:hint="eastAsia"/>
                <w:vertAlign w:val="subscript"/>
                <w:lang w:val="en-US" w:eastAsia="zh-CN"/>
              </w:rPr>
              <w:t>3</w:t>
            </w:r>
            <w:r>
              <w:rPr>
                <w:rFonts w:hint="eastAsia"/>
                <w:lang w:val="en-US" w:eastAsia="zh-CN"/>
              </w:rPr>
              <w:t>、增塑剂、色母为粉状，在投料口会逸散，根据同类项目类比，产生量约为原料用量的0.1%，本项目塑料粒子均为大颗粒，填充物CaCO</w:t>
            </w:r>
            <w:r>
              <w:rPr>
                <w:rFonts w:hint="eastAsia"/>
                <w:vertAlign w:val="subscript"/>
                <w:lang w:val="en-US" w:eastAsia="zh-CN"/>
              </w:rPr>
              <w:t>3</w:t>
            </w:r>
            <w:r>
              <w:rPr>
                <w:rFonts w:hint="eastAsia"/>
                <w:lang w:val="en-US" w:eastAsia="zh-CN"/>
              </w:rPr>
              <w:t>为粉尘，填充物共计300t/a，则混料工序产生的颗粒物粉尘量约为0.3t/a，设有布袋除尘装置（收集效率按90%计，除尘效率按99%计），则无组织排放量为0.0327t/a，布袋收尘量为0.2673t/a。</w:t>
            </w:r>
          </w:p>
          <w:p>
            <w:pPr>
              <w:pStyle w:val="2"/>
              <w:ind w:left="0" w:leftChars="0" w:firstLine="480" w:firstLineChars="200"/>
              <w:jc w:val="left"/>
              <w:rPr>
                <w:rFonts w:hint="eastAsia"/>
              </w:rPr>
            </w:pPr>
            <w:r>
              <w:rPr>
                <w:rFonts w:hint="eastAsia"/>
              </w:rPr>
              <w:t>项目挤出成型过程在加热、融熔、增压，温度约 120～160℃，有少量塑料粒子中的低分子成分高温受热分解，由于原料均为聚合物大分子，根据经验数据，约 0.1%的有机物会挥发出（G1），以非甲烷总烃计，产生量为</w:t>
            </w:r>
            <w:r>
              <w:rPr>
                <w:rFonts w:hint="eastAsia"/>
                <w:lang w:val="en-US" w:eastAsia="zh-CN"/>
              </w:rPr>
              <w:t>1.5</w:t>
            </w:r>
            <w:r>
              <w:rPr>
                <w:rFonts w:hint="eastAsia"/>
              </w:rPr>
              <w:t>t/a，经</w:t>
            </w:r>
            <w:r>
              <w:rPr>
                <w:rFonts w:hint="eastAsia"/>
                <w:lang w:val="en-US" w:eastAsia="zh-CN"/>
              </w:rPr>
              <w:t>新增</w:t>
            </w:r>
            <w:r>
              <w:rPr>
                <w:rFonts w:hint="eastAsia"/>
              </w:rPr>
              <w:t>吸风罩收集后集中通风，</w:t>
            </w:r>
            <w:r>
              <w:rPr>
                <w:rFonts w:hint="eastAsia"/>
                <w:lang w:val="en-US" w:eastAsia="zh-CN"/>
              </w:rPr>
              <w:t>集气罩</w:t>
            </w:r>
            <w:r>
              <w:rPr>
                <w:rFonts w:hint="eastAsia"/>
              </w:rPr>
              <w:t>风量</w:t>
            </w:r>
            <w:r>
              <w:rPr>
                <w:rFonts w:hint="eastAsia"/>
                <w:lang w:val="en-US" w:eastAsia="zh-CN"/>
              </w:rPr>
              <w:t>4</w:t>
            </w:r>
            <w:r>
              <w:rPr>
                <w:rFonts w:hint="eastAsia"/>
              </w:rPr>
              <w:t>000m</w:t>
            </w:r>
            <w:r>
              <w:rPr>
                <w:rFonts w:hint="eastAsia"/>
                <w:vertAlign w:val="superscript"/>
              </w:rPr>
              <w:t>3</w:t>
            </w:r>
            <w:r>
              <w:rPr>
                <w:rFonts w:hint="eastAsia"/>
              </w:rPr>
              <w:t>/h，按照 90%的收集率，</w:t>
            </w:r>
            <w:r>
              <w:rPr>
                <w:rFonts w:hint="eastAsia"/>
                <w:lang w:val="en-US" w:eastAsia="zh-CN"/>
              </w:rPr>
              <w:t>有组织</w:t>
            </w:r>
            <w:r>
              <w:rPr>
                <w:rFonts w:hint="eastAsia"/>
              </w:rPr>
              <w:t>废气的产生量和产生浓度为</w:t>
            </w:r>
            <w:r>
              <w:rPr>
                <w:rFonts w:hint="eastAsia"/>
                <w:lang w:val="en-US" w:eastAsia="zh-CN"/>
              </w:rPr>
              <w:t>1.35</w:t>
            </w:r>
            <w:r>
              <w:rPr>
                <w:rFonts w:hint="eastAsia"/>
              </w:rPr>
              <w:t>/a（</w:t>
            </w:r>
            <w:r>
              <w:rPr>
                <w:rFonts w:hint="eastAsia"/>
                <w:lang w:val="en-US" w:eastAsia="zh-CN"/>
              </w:rPr>
              <w:t>0.56</w:t>
            </w:r>
            <w:r>
              <w:rPr>
                <w:rFonts w:hint="eastAsia"/>
              </w:rPr>
              <w:t>kg/h）、</w:t>
            </w:r>
            <w:r>
              <w:rPr>
                <w:rFonts w:hint="eastAsia"/>
                <w:lang w:val="en-US" w:eastAsia="zh-CN"/>
              </w:rPr>
              <w:t>141</w:t>
            </w:r>
            <w:r>
              <w:rPr>
                <w:rFonts w:hint="eastAsia"/>
              </w:rPr>
              <w:t>mg/m</w:t>
            </w:r>
            <w:r>
              <w:rPr>
                <w:rFonts w:hint="eastAsia"/>
                <w:vertAlign w:val="superscript"/>
              </w:rPr>
              <w:t>3</w:t>
            </w:r>
            <w:r>
              <w:rPr>
                <w:rFonts w:hint="eastAsia"/>
              </w:rPr>
              <w:t>，之后经</w:t>
            </w:r>
            <w:r>
              <w:rPr>
                <w:rFonts w:hint="eastAsia"/>
                <w:lang w:val="en-US" w:eastAsia="zh-CN"/>
              </w:rPr>
              <w:t>低温等离子+</w:t>
            </w:r>
            <w:r>
              <w:t>活性炭吸附</w:t>
            </w:r>
            <w:r>
              <w:rPr>
                <w:rFonts w:hint="eastAsia"/>
                <w:lang w:val="en-US" w:eastAsia="zh-CN"/>
              </w:rPr>
              <w:t>二级</w:t>
            </w:r>
            <w:r>
              <w:rPr>
                <w:rFonts w:hint="eastAsia"/>
              </w:rPr>
              <w:t>处理，按照</w:t>
            </w:r>
            <w:r>
              <w:rPr>
                <w:rFonts w:hint="eastAsia"/>
                <w:lang w:val="en-US" w:eastAsia="zh-CN"/>
              </w:rPr>
              <w:t>9</w:t>
            </w:r>
            <w:r>
              <w:rPr>
                <w:rFonts w:hint="eastAsia"/>
              </w:rPr>
              <w:t>0%的效率，最终非甲烷总烃的外排量和外排浓度为</w:t>
            </w:r>
            <w:r>
              <w:rPr>
                <w:rFonts w:hint="eastAsia"/>
                <w:lang w:val="en-US" w:eastAsia="zh-CN"/>
              </w:rPr>
              <w:t>0.135</w:t>
            </w:r>
            <w:r>
              <w:rPr>
                <w:rFonts w:hint="eastAsia"/>
              </w:rPr>
              <w:t>t/a（</w:t>
            </w:r>
            <w:r>
              <w:rPr>
                <w:rFonts w:hint="eastAsia"/>
                <w:lang w:val="en-US" w:eastAsia="zh-CN"/>
              </w:rPr>
              <w:t>0.056</w:t>
            </w:r>
            <w:r>
              <w:rPr>
                <w:rFonts w:hint="eastAsia"/>
              </w:rPr>
              <w:t>kg/h）、</w:t>
            </w:r>
            <w:r>
              <w:rPr>
                <w:rFonts w:hint="eastAsia"/>
                <w:lang w:val="en-US" w:eastAsia="zh-CN"/>
              </w:rPr>
              <w:t>14.1</w:t>
            </w:r>
            <w:r>
              <w:rPr>
                <w:rFonts w:hint="eastAsia"/>
              </w:rPr>
              <w:t>mg/m</w:t>
            </w:r>
            <w:r>
              <w:rPr>
                <w:rFonts w:hint="eastAsia"/>
                <w:vertAlign w:val="superscript"/>
              </w:rPr>
              <w:t>3</w:t>
            </w:r>
            <w:r>
              <w:rPr>
                <w:rFonts w:hint="eastAsia"/>
              </w:rPr>
              <w:t>，经1根15米高排气筒外排。</w:t>
            </w:r>
          </w:p>
          <w:p>
            <w:pPr>
              <w:pStyle w:val="2"/>
              <w:ind w:firstLine="480"/>
              <w:jc w:val="left"/>
            </w:pPr>
            <w:r>
              <w:rPr>
                <w:rFonts w:hint="eastAsia"/>
              </w:rPr>
              <w:t>剩余</w:t>
            </w:r>
            <w:r>
              <w:rPr>
                <w:rFonts w:hint="eastAsia"/>
                <w:lang w:val="en-US" w:eastAsia="zh-CN"/>
              </w:rPr>
              <w:t>未捕集及</w:t>
            </w:r>
            <w:r>
              <w:rPr>
                <w:rFonts w:hint="eastAsia"/>
              </w:rPr>
              <w:t>的 0.</w:t>
            </w:r>
            <w:r>
              <w:rPr>
                <w:rFonts w:hint="eastAsia"/>
                <w:lang w:val="en-US" w:eastAsia="zh-CN"/>
              </w:rPr>
              <w:t>3</w:t>
            </w:r>
            <w:r>
              <w:rPr>
                <w:rFonts w:hint="eastAsia"/>
              </w:rPr>
              <w:t>t/a 的非甲烷总烃经车间通风后无组织外排。</w:t>
            </w:r>
          </w:p>
          <w:p>
            <w:pPr>
              <w:adjustRightInd w:val="0"/>
              <w:snapToGrid w:val="0"/>
              <w:ind w:firstLine="422" w:firstLineChars="200"/>
              <w:jc w:val="center"/>
              <w:rPr>
                <w:b/>
                <w:color w:val="FF0000"/>
                <w:sz w:val="21"/>
                <w:szCs w:val="18"/>
              </w:rPr>
            </w:pPr>
            <w:r>
              <w:rPr>
                <w:b/>
                <w:sz w:val="21"/>
                <w:szCs w:val="18"/>
              </w:rPr>
              <w:t>表5-2  本项目有组织废气源强一览表</w:t>
            </w:r>
          </w:p>
          <w:tbl>
            <w:tblPr>
              <w:tblStyle w:val="26"/>
              <w:tblW w:w="0" w:type="auto"/>
              <w:tblInd w:w="0" w:type="dxa"/>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41"/>
              <w:gridCol w:w="447"/>
              <w:gridCol w:w="681"/>
              <w:gridCol w:w="598"/>
              <w:gridCol w:w="802"/>
              <w:gridCol w:w="770"/>
              <w:gridCol w:w="678"/>
              <w:gridCol w:w="741"/>
              <w:gridCol w:w="491"/>
              <w:gridCol w:w="765"/>
              <w:gridCol w:w="735"/>
              <w:gridCol w:w="695"/>
              <w:gridCol w:w="545"/>
              <w:gridCol w:w="605"/>
              <w:gridCol w:w="428"/>
            </w:tblGrid>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441" w:type="dxa"/>
                  <w:vMerge w:val="restart"/>
                  <w:tcBorders>
                    <w:top w:val="single" w:color="auto" w:sz="12" w:space="0"/>
                  </w:tcBorders>
                  <w:noWrap w:val="0"/>
                  <w:vAlign w:val="center"/>
                </w:tcPr>
                <w:p>
                  <w:pPr>
                    <w:widowControl/>
                    <w:spacing w:line="240" w:lineRule="auto"/>
                    <w:jc w:val="center"/>
                    <w:rPr>
                      <w:bCs/>
                      <w:sz w:val="18"/>
                      <w:szCs w:val="18"/>
                    </w:rPr>
                  </w:pPr>
                  <w:r>
                    <w:rPr>
                      <w:bCs/>
                      <w:sz w:val="18"/>
                      <w:szCs w:val="18"/>
                    </w:rPr>
                    <w:t>排气筒编号</w:t>
                  </w:r>
                </w:p>
              </w:tc>
              <w:tc>
                <w:tcPr>
                  <w:tcW w:w="447" w:type="dxa"/>
                  <w:vMerge w:val="restart"/>
                  <w:tcBorders>
                    <w:top w:val="single" w:color="auto" w:sz="12" w:space="0"/>
                  </w:tcBorders>
                  <w:noWrap w:val="0"/>
                  <w:vAlign w:val="center"/>
                </w:tcPr>
                <w:p>
                  <w:pPr>
                    <w:widowControl/>
                    <w:spacing w:line="240" w:lineRule="auto"/>
                    <w:jc w:val="center"/>
                    <w:rPr>
                      <w:bCs/>
                      <w:sz w:val="18"/>
                      <w:szCs w:val="18"/>
                    </w:rPr>
                  </w:pPr>
                  <w:r>
                    <w:rPr>
                      <w:bCs/>
                      <w:sz w:val="18"/>
                      <w:szCs w:val="18"/>
                    </w:rPr>
                    <w:t>废气编号</w:t>
                  </w:r>
                </w:p>
              </w:tc>
              <w:tc>
                <w:tcPr>
                  <w:tcW w:w="681" w:type="dxa"/>
                  <w:vMerge w:val="restart"/>
                  <w:tcBorders>
                    <w:top w:val="single" w:color="auto" w:sz="12" w:space="0"/>
                  </w:tcBorders>
                  <w:noWrap w:val="0"/>
                  <w:vAlign w:val="center"/>
                </w:tcPr>
                <w:p>
                  <w:pPr>
                    <w:widowControl/>
                    <w:spacing w:line="240" w:lineRule="auto"/>
                    <w:jc w:val="center"/>
                    <w:rPr>
                      <w:bCs/>
                      <w:sz w:val="18"/>
                      <w:szCs w:val="18"/>
                    </w:rPr>
                  </w:pPr>
                  <w:r>
                    <w:rPr>
                      <w:bCs/>
                      <w:sz w:val="18"/>
                      <w:szCs w:val="18"/>
                    </w:rPr>
                    <w:t>排气量m</w:t>
                  </w:r>
                  <w:r>
                    <w:rPr>
                      <w:bCs/>
                      <w:sz w:val="18"/>
                      <w:szCs w:val="18"/>
                      <w:vertAlign w:val="superscript"/>
                    </w:rPr>
                    <w:t>3</w:t>
                  </w:r>
                  <w:r>
                    <w:rPr>
                      <w:bCs/>
                      <w:sz w:val="18"/>
                      <w:szCs w:val="18"/>
                    </w:rPr>
                    <w:t>/h</w:t>
                  </w:r>
                </w:p>
              </w:tc>
              <w:tc>
                <w:tcPr>
                  <w:tcW w:w="598" w:type="dxa"/>
                  <w:vMerge w:val="restart"/>
                  <w:tcBorders>
                    <w:top w:val="single" w:color="auto" w:sz="12" w:space="0"/>
                  </w:tcBorders>
                  <w:noWrap w:val="0"/>
                  <w:vAlign w:val="center"/>
                </w:tcPr>
                <w:p>
                  <w:pPr>
                    <w:widowControl/>
                    <w:spacing w:line="240" w:lineRule="auto"/>
                    <w:jc w:val="center"/>
                    <w:rPr>
                      <w:bCs/>
                      <w:sz w:val="18"/>
                      <w:szCs w:val="18"/>
                    </w:rPr>
                  </w:pPr>
                  <w:r>
                    <w:rPr>
                      <w:bCs/>
                      <w:sz w:val="18"/>
                      <w:szCs w:val="18"/>
                    </w:rPr>
                    <w:t>排放时间h/a</w:t>
                  </w:r>
                </w:p>
              </w:tc>
              <w:tc>
                <w:tcPr>
                  <w:tcW w:w="802" w:type="dxa"/>
                  <w:vMerge w:val="restart"/>
                  <w:tcBorders>
                    <w:top w:val="single" w:color="auto" w:sz="12" w:space="0"/>
                  </w:tcBorders>
                  <w:noWrap w:val="0"/>
                  <w:vAlign w:val="center"/>
                </w:tcPr>
                <w:p>
                  <w:pPr>
                    <w:widowControl/>
                    <w:spacing w:line="240" w:lineRule="auto"/>
                    <w:jc w:val="center"/>
                    <w:rPr>
                      <w:bCs/>
                      <w:sz w:val="18"/>
                      <w:szCs w:val="18"/>
                    </w:rPr>
                  </w:pPr>
                  <w:r>
                    <w:rPr>
                      <w:bCs/>
                      <w:sz w:val="18"/>
                      <w:szCs w:val="18"/>
                    </w:rPr>
                    <w:t>污染物名称</w:t>
                  </w:r>
                </w:p>
              </w:tc>
              <w:tc>
                <w:tcPr>
                  <w:tcW w:w="2189" w:type="dxa"/>
                  <w:gridSpan w:val="3"/>
                  <w:tcBorders>
                    <w:top w:val="single" w:color="auto" w:sz="12" w:space="0"/>
                  </w:tcBorders>
                  <w:noWrap w:val="0"/>
                  <w:vAlign w:val="center"/>
                </w:tcPr>
                <w:p>
                  <w:pPr>
                    <w:widowControl/>
                    <w:spacing w:line="240" w:lineRule="auto"/>
                    <w:jc w:val="center"/>
                    <w:rPr>
                      <w:bCs/>
                      <w:sz w:val="18"/>
                      <w:szCs w:val="18"/>
                    </w:rPr>
                  </w:pPr>
                  <w:r>
                    <w:rPr>
                      <w:bCs/>
                      <w:sz w:val="18"/>
                      <w:szCs w:val="18"/>
                    </w:rPr>
                    <w:t>污染物产生情况</w:t>
                  </w:r>
                </w:p>
              </w:tc>
              <w:tc>
                <w:tcPr>
                  <w:tcW w:w="491" w:type="dxa"/>
                  <w:vMerge w:val="restart"/>
                  <w:tcBorders>
                    <w:top w:val="single" w:color="auto" w:sz="12" w:space="0"/>
                  </w:tcBorders>
                  <w:noWrap w:val="0"/>
                  <w:vAlign w:val="center"/>
                </w:tcPr>
                <w:p>
                  <w:pPr>
                    <w:widowControl/>
                    <w:spacing w:line="240" w:lineRule="auto"/>
                    <w:jc w:val="center"/>
                    <w:rPr>
                      <w:bCs/>
                      <w:sz w:val="18"/>
                      <w:szCs w:val="18"/>
                    </w:rPr>
                  </w:pPr>
                  <w:r>
                    <w:rPr>
                      <w:bCs/>
                      <w:sz w:val="18"/>
                      <w:szCs w:val="18"/>
                    </w:rPr>
                    <w:t>去除率%</w:t>
                  </w:r>
                </w:p>
              </w:tc>
              <w:tc>
                <w:tcPr>
                  <w:tcW w:w="2195" w:type="dxa"/>
                  <w:gridSpan w:val="3"/>
                  <w:tcBorders>
                    <w:top w:val="single" w:color="auto" w:sz="12" w:space="0"/>
                  </w:tcBorders>
                  <w:noWrap w:val="0"/>
                  <w:vAlign w:val="center"/>
                </w:tcPr>
                <w:p>
                  <w:pPr>
                    <w:widowControl/>
                    <w:spacing w:line="240" w:lineRule="auto"/>
                    <w:jc w:val="center"/>
                    <w:rPr>
                      <w:bCs/>
                      <w:sz w:val="18"/>
                      <w:szCs w:val="18"/>
                    </w:rPr>
                  </w:pPr>
                  <w:r>
                    <w:rPr>
                      <w:bCs/>
                      <w:sz w:val="18"/>
                      <w:szCs w:val="18"/>
                    </w:rPr>
                    <w:t>排放情况</w:t>
                  </w:r>
                </w:p>
              </w:tc>
              <w:tc>
                <w:tcPr>
                  <w:tcW w:w="1150" w:type="dxa"/>
                  <w:gridSpan w:val="2"/>
                  <w:tcBorders>
                    <w:top w:val="single" w:color="auto" w:sz="12" w:space="0"/>
                  </w:tcBorders>
                  <w:noWrap w:val="0"/>
                  <w:vAlign w:val="center"/>
                </w:tcPr>
                <w:p>
                  <w:pPr>
                    <w:widowControl/>
                    <w:spacing w:line="240" w:lineRule="auto"/>
                    <w:jc w:val="center"/>
                    <w:rPr>
                      <w:bCs/>
                      <w:sz w:val="18"/>
                      <w:szCs w:val="18"/>
                    </w:rPr>
                  </w:pPr>
                  <w:r>
                    <w:rPr>
                      <w:bCs/>
                      <w:sz w:val="18"/>
                      <w:szCs w:val="18"/>
                    </w:rPr>
                    <w:t>排放标准</w:t>
                  </w:r>
                </w:p>
              </w:tc>
              <w:tc>
                <w:tcPr>
                  <w:tcW w:w="428" w:type="dxa"/>
                  <w:vMerge w:val="restart"/>
                  <w:tcBorders>
                    <w:top w:val="single" w:color="auto" w:sz="12" w:space="0"/>
                  </w:tcBorders>
                  <w:noWrap w:val="0"/>
                  <w:vAlign w:val="center"/>
                </w:tcPr>
                <w:p>
                  <w:pPr>
                    <w:widowControl/>
                    <w:spacing w:line="240" w:lineRule="auto"/>
                    <w:rPr>
                      <w:bCs/>
                      <w:sz w:val="18"/>
                      <w:szCs w:val="18"/>
                    </w:rPr>
                  </w:pPr>
                  <w:r>
                    <w:rPr>
                      <w:bCs/>
                      <w:sz w:val="18"/>
                      <w:szCs w:val="18"/>
                    </w:rPr>
                    <w:t>排气筒高度</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441" w:type="dxa"/>
                  <w:vMerge w:val="continue"/>
                  <w:tcBorders>
                    <w:bottom w:val="single" w:color="auto" w:sz="12" w:space="0"/>
                  </w:tcBorders>
                  <w:noWrap w:val="0"/>
                  <w:vAlign w:val="center"/>
                </w:tcPr>
                <w:p>
                  <w:pPr>
                    <w:widowControl/>
                    <w:spacing w:line="240" w:lineRule="auto"/>
                    <w:jc w:val="center"/>
                    <w:rPr>
                      <w:bCs/>
                      <w:sz w:val="18"/>
                      <w:szCs w:val="18"/>
                    </w:rPr>
                  </w:pPr>
                </w:p>
              </w:tc>
              <w:tc>
                <w:tcPr>
                  <w:tcW w:w="447" w:type="dxa"/>
                  <w:vMerge w:val="continue"/>
                  <w:tcBorders>
                    <w:bottom w:val="single" w:color="auto" w:sz="12" w:space="0"/>
                  </w:tcBorders>
                  <w:noWrap w:val="0"/>
                  <w:vAlign w:val="center"/>
                </w:tcPr>
                <w:p>
                  <w:pPr>
                    <w:widowControl/>
                    <w:spacing w:line="240" w:lineRule="auto"/>
                    <w:jc w:val="center"/>
                    <w:rPr>
                      <w:bCs/>
                      <w:sz w:val="18"/>
                      <w:szCs w:val="18"/>
                    </w:rPr>
                  </w:pPr>
                </w:p>
              </w:tc>
              <w:tc>
                <w:tcPr>
                  <w:tcW w:w="681" w:type="dxa"/>
                  <w:vMerge w:val="continue"/>
                  <w:tcBorders>
                    <w:bottom w:val="single" w:color="auto" w:sz="12" w:space="0"/>
                  </w:tcBorders>
                  <w:noWrap w:val="0"/>
                  <w:vAlign w:val="center"/>
                </w:tcPr>
                <w:p>
                  <w:pPr>
                    <w:widowControl/>
                    <w:spacing w:line="240" w:lineRule="auto"/>
                    <w:jc w:val="center"/>
                    <w:rPr>
                      <w:bCs/>
                      <w:sz w:val="18"/>
                      <w:szCs w:val="18"/>
                    </w:rPr>
                  </w:pPr>
                </w:p>
              </w:tc>
              <w:tc>
                <w:tcPr>
                  <w:tcW w:w="598" w:type="dxa"/>
                  <w:vMerge w:val="continue"/>
                  <w:tcBorders>
                    <w:bottom w:val="single" w:color="auto" w:sz="12" w:space="0"/>
                  </w:tcBorders>
                  <w:noWrap w:val="0"/>
                  <w:vAlign w:val="center"/>
                </w:tcPr>
                <w:p>
                  <w:pPr>
                    <w:widowControl/>
                    <w:spacing w:line="240" w:lineRule="auto"/>
                    <w:jc w:val="center"/>
                    <w:rPr>
                      <w:bCs/>
                      <w:sz w:val="18"/>
                      <w:szCs w:val="18"/>
                    </w:rPr>
                  </w:pPr>
                </w:p>
              </w:tc>
              <w:tc>
                <w:tcPr>
                  <w:tcW w:w="802" w:type="dxa"/>
                  <w:vMerge w:val="continue"/>
                  <w:tcBorders>
                    <w:bottom w:val="single" w:color="auto" w:sz="12" w:space="0"/>
                  </w:tcBorders>
                  <w:noWrap w:val="0"/>
                  <w:vAlign w:val="center"/>
                </w:tcPr>
                <w:p>
                  <w:pPr>
                    <w:widowControl/>
                    <w:spacing w:line="240" w:lineRule="auto"/>
                    <w:jc w:val="center"/>
                    <w:rPr>
                      <w:bCs/>
                      <w:sz w:val="18"/>
                      <w:szCs w:val="18"/>
                    </w:rPr>
                  </w:pPr>
                </w:p>
              </w:tc>
              <w:tc>
                <w:tcPr>
                  <w:tcW w:w="770" w:type="dxa"/>
                  <w:tcBorders>
                    <w:bottom w:val="single" w:color="auto" w:sz="12" w:space="0"/>
                  </w:tcBorders>
                  <w:noWrap w:val="0"/>
                  <w:vAlign w:val="center"/>
                </w:tcPr>
                <w:p>
                  <w:pPr>
                    <w:widowControl/>
                    <w:spacing w:line="240" w:lineRule="auto"/>
                    <w:jc w:val="center"/>
                    <w:rPr>
                      <w:bCs/>
                      <w:sz w:val="18"/>
                      <w:szCs w:val="18"/>
                    </w:rPr>
                  </w:pPr>
                  <w:r>
                    <w:rPr>
                      <w:bCs/>
                      <w:sz w:val="18"/>
                      <w:szCs w:val="18"/>
                    </w:rPr>
                    <w:t>浓度mg/m</w:t>
                  </w:r>
                  <w:r>
                    <w:rPr>
                      <w:bCs/>
                      <w:sz w:val="18"/>
                      <w:szCs w:val="18"/>
                      <w:vertAlign w:val="superscript"/>
                    </w:rPr>
                    <w:t>3</w:t>
                  </w:r>
                </w:p>
              </w:tc>
              <w:tc>
                <w:tcPr>
                  <w:tcW w:w="678" w:type="dxa"/>
                  <w:tcBorders>
                    <w:bottom w:val="single" w:color="auto" w:sz="12" w:space="0"/>
                  </w:tcBorders>
                  <w:noWrap w:val="0"/>
                  <w:vAlign w:val="center"/>
                </w:tcPr>
                <w:p>
                  <w:pPr>
                    <w:widowControl/>
                    <w:spacing w:line="240" w:lineRule="auto"/>
                    <w:jc w:val="center"/>
                    <w:rPr>
                      <w:bCs/>
                      <w:sz w:val="18"/>
                      <w:szCs w:val="18"/>
                    </w:rPr>
                  </w:pPr>
                  <w:r>
                    <w:rPr>
                      <w:bCs/>
                      <w:sz w:val="18"/>
                      <w:szCs w:val="18"/>
                    </w:rPr>
                    <w:t>速率kg/h</w:t>
                  </w:r>
                </w:p>
              </w:tc>
              <w:tc>
                <w:tcPr>
                  <w:tcW w:w="741" w:type="dxa"/>
                  <w:tcBorders>
                    <w:bottom w:val="single" w:color="auto" w:sz="12" w:space="0"/>
                  </w:tcBorders>
                  <w:noWrap w:val="0"/>
                  <w:vAlign w:val="center"/>
                </w:tcPr>
                <w:p>
                  <w:pPr>
                    <w:widowControl/>
                    <w:spacing w:line="240" w:lineRule="auto"/>
                    <w:jc w:val="center"/>
                    <w:rPr>
                      <w:bCs/>
                      <w:sz w:val="18"/>
                      <w:szCs w:val="18"/>
                    </w:rPr>
                  </w:pPr>
                  <w:r>
                    <w:rPr>
                      <w:bCs/>
                      <w:sz w:val="18"/>
                      <w:szCs w:val="18"/>
                    </w:rPr>
                    <w:t>产生量</w:t>
                  </w:r>
                </w:p>
                <w:p>
                  <w:pPr>
                    <w:widowControl/>
                    <w:spacing w:line="240" w:lineRule="auto"/>
                    <w:jc w:val="center"/>
                    <w:rPr>
                      <w:bCs/>
                      <w:sz w:val="18"/>
                      <w:szCs w:val="18"/>
                    </w:rPr>
                  </w:pPr>
                  <w:r>
                    <w:rPr>
                      <w:bCs/>
                      <w:sz w:val="18"/>
                      <w:szCs w:val="18"/>
                    </w:rPr>
                    <w:t>t/a</w:t>
                  </w:r>
                </w:p>
              </w:tc>
              <w:tc>
                <w:tcPr>
                  <w:tcW w:w="491" w:type="dxa"/>
                  <w:vMerge w:val="continue"/>
                  <w:tcBorders>
                    <w:bottom w:val="single" w:color="auto" w:sz="12" w:space="0"/>
                  </w:tcBorders>
                  <w:noWrap w:val="0"/>
                  <w:vAlign w:val="center"/>
                </w:tcPr>
                <w:p>
                  <w:pPr>
                    <w:widowControl/>
                    <w:spacing w:line="240" w:lineRule="auto"/>
                    <w:jc w:val="center"/>
                    <w:rPr>
                      <w:bCs/>
                      <w:sz w:val="18"/>
                      <w:szCs w:val="18"/>
                    </w:rPr>
                  </w:pPr>
                </w:p>
              </w:tc>
              <w:tc>
                <w:tcPr>
                  <w:tcW w:w="765" w:type="dxa"/>
                  <w:tcBorders>
                    <w:bottom w:val="single" w:color="auto" w:sz="12" w:space="0"/>
                  </w:tcBorders>
                  <w:noWrap w:val="0"/>
                  <w:vAlign w:val="center"/>
                </w:tcPr>
                <w:p>
                  <w:pPr>
                    <w:widowControl/>
                    <w:spacing w:line="240" w:lineRule="auto"/>
                    <w:jc w:val="center"/>
                    <w:rPr>
                      <w:bCs/>
                      <w:sz w:val="18"/>
                      <w:szCs w:val="18"/>
                    </w:rPr>
                  </w:pPr>
                  <w:r>
                    <w:rPr>
                      <w:bCs/>
                      <w:sz w:val="18"/>
                      <w:szCs w:val="18"/>
                    </w:rPr>
                    <w:t>浓度mg/m</w:t>
                  </w:r>
                  <w:r>
                    <w:rPr>
                      <w:bCs/>
                      <w:sz w:val="18"/>
                      <w:szCs w:val="18"/>
                      <w:vertAlign w:val="superscript"/>
                    </w:rPr>
                    <w:t>3</w:t>
                  </w:r>
                </w:p>
              </w:tc>
              <w:tc>
                <w:tcPr>
                  <w:tcW w:w="735" w:type="dxa"/>
                  <w:tcBorders>
                    <w:bottom w:val="single" w:color="auto" w:sz="12" w:space="0"/>
                  </w:tcBorders>
                  <w:noWrap w:val="0"/>
                  <w:vAlign w:val="center"/>
                </w:tcPr>
                <w:p>
                  <w:pPr>
                    <w:widowControl/>
                    <w:spacing w:line="240" w:lineRule="auto"/>
                    <w:jc w:val="center"/>
                    <w:rPr>
                      <w:bCs/>
                      <w:sz w:val="18"/>
                      <w:szCs w:val="18"/>
                    </w:rPr>
                  </w:pPr>
                  <w:r>
                    <w:rPr>
                      <w:bCs/>
                      <w:sz w:val="18"/>
                      <w:szCs w:val="18"/>
                    </w:rPr>
                    <w:t>速率kg/h</w:t>
                  </w:r>
                </w:p>
              </w:tc>
              <w:tc>
                <w:tcPr>
                  <w:tcW w:w="695" w:type="dxa"/>
                  <w:tcBorders>
                    <w:bottom w:val="single" w:color="auto" w:sz="12" w:space="0"/>
                  </w:tcBorders>
                  <w:noWrap w:val="0"/>
                  <w:vAlign w:val="center"/>
                </w:tcPr>
                <w:p>
                  <w:pPr>
                    <w:widowControl/>
                    <w:spacing w:line="240" w:lineRule="auto"/>
                    <w:jc w:val="center"/>
                    <w:rPr>
                      <w:bCs/>
                      <w:sz w:val="18"/>
                      <w:szCs w:val="18"/>
                    </w:rPr>
                  </w:pPr>
                  <w:r>
                    <w:rPr>
                      <w:bCs/>
                      <w:sz w:val="18"/>
                      <w:szCs w:val="18"/>
                    </w:rPr>
                    <w:t>排放量t/a</w:t>
                  </w:r>
                </w:p>
              </w:tc>
              <w:tc>
                <w:tcPr>
                  <w:tcW w:w="545" w:type="dxa"/>
                  <w:tcBorders>
                    <w:bottom w:val="single" w:color="auto" w:sz="12" w:space="0"/>
                  </w:tcBorders>
                  <w:noWrap w:val="0"/>
                  <w:vAlign w:val="center"/>
                </w:tcPr>
                <w:p>
                  <w:pPr>
                    <w:widowControl/>
                    <w:spacing w:line="240" w:lineRule="auto"/>
                    <w:jc w:val="center"/>
                    <w:rPr>
                      <w:bCs/>
                      <w:sz w:val="18"/>
                      <w:szCs w:val="18"/>
                    </w:rPr>
                  </w:pPr>
                  <w:r>
                    <w:rPr>
                      <w:bCs/>
                      <w:sz w:val="18"/>
                      <w:szCs w:val="18"/>
                    </w:rPr>
                    <w:t>浓度mg/m</w:t>
                  </w:r>
                  <w:r>
                    <w:rPr>
                      <w:bCs/>
                      <w:sz w:val="18"/>
                      <w:szCs w:val="18"/>
                      <w:vertAlign w:val="superscript"/>
                    </w:rPr>
                    <w:t>3</w:t>
                  </w:r>
                </w:p>
              </w:tc>
              <w:tc>
                <w:tcPr>
                  <w:tcW w:w="605" w:type="dxa"/>
                  <w:tcBorders>
                    <w:bottom w:val="single" w:color="auto" w:sz="12" w:space="0"/>
                  </w:tcBorders>
                  <w:noWrap w:val="0"/>
                  <w:vAlign w:val="center"/>
                </w:tcPr>
                <w:p>
                  <w:pPr>
                    <w:widowControl/>
                    <w:spacing w:line="240" w:lineRule="auto"/>
                    <w:jc w:val="center"/>
                    <w:rPr>
                      <w:bCs/>
                      <w:sz w:val="18"/>
                      <w:szCs w:val="18"/>
                    </w:rPr>
                  </w:pPr>
                  <w:r>
                    <w:rPr>
                      <w:bCs/>
                      <w:sz w:val="18"/>
                      <w:szCs w:val="18"/>
                    </w:rPr>
                    <w:t>速率kg/h</w:t>
                  </w:r>
                </w:p>
              </w:tc>
              <w:tc>
                <w:tcPr>
                  <w:tcW w:w="428" w:type="dxa"/>
                  <w:vMerge w:val="continue"/>
                  <w:tcBorders>
                    <w:bottom w:val="single" w:color="auto" w:sz="12" w:space="0"/>
                  </w:tcBorders>
                  <w:noWrap w:val="0"/>
                  <w:vAlign w:val="center"/>
                </w:tcPr>
                <w:p>
                  <w:pPr>
                    <w:widowControl/>
                    <w:spacing w:line="240" w:lineRule="auto"/>
                    <w:jc w:val="center"/>
                    <w:rPr>
                      <w:bCs/>
                      <w:sz w:val="18"/>
                      <w:szCs w:val="18"/>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441" w:type="dxa"/>
                  <w:tcBorders>
                    <w:top w:val="single" w:color="auto" w:sz="12" w:space="0"/>
                    <w:bottom w:val="single" w:color="auto" w:sz="12" w:space="0"/>
                  </w:tcBorders>
                  <w:noWrap w:val="0"/>
                  <w:vAlign w:val="center"/>
                </w:tcPr>
                <w:p>
                  <w:pPr>
                    <w:pStyle w:val="2"/>
                    <w:spacing w:line="240" w:lineRule="auto"/>
                    <w:ind w:firstLine="0" w:firstLineChars="0"/>
                    <w:jc w:val="center"/>
                    <w:rPr>
                      <w:sz w:val="18"/>
                      <w:szCs w:val="18"/>
                    </w:rPr>
                  </w:pPr>
                  <w:r>
                    <w:rPr>
                      <w:sz w:val="18"/>
                      <w:szCs w:val="18"/>
                    </w:rPr>
                    <w:t>P1</w:t>
                  </w:r>
                </w:p>
              </w:tc>
              <w:tc>
                <w:tcPr>
                  <w:tcW w:w="447" w:type="dxa"/>
                  <w:tcBorders>
                    <w:top w:val="single" w:color="auto" w:sz="12" w:space="0"/>
                    <w:bottom w:val="single" w:color="auto" w:sz="12" w:space="0"/>
                  </w:tcBorders>
                  <w:noWrap w:val="0"/>
                  <w:vAlign w:val="center"/>
                </w:tcPr>
                <w:p>
                  <w:pPr>
                    <w:widowControl/>
                    <w:spacing w:line="240" w:lineRule="auto"/>
                    <w:jc w:val="center"/>
                    <w:rPr>
                      <w:rFonts w:hint="default" w:eastAsia="宋体"/>
                      <w:bCs/>
                      <w:sz w:val="18"/>
                      <w:szCs w:val="18"/>
                      <w:lang w:val="en-US" w:eastAsia="zh-CN"/>
                    </w:rPr>
                  </w:pPr>
                  <w:r>
                    <w:rPr>
                      <w:bCs/>
                      <w:sz w:val="18"/>
                      <w:szCs w:val="18"/>
                    </w:rPr>
                    <w:t>G</w:t>
                  </w:r>
                  <w:r>
                    <w:rPr>
                      <w:rFonts w:hint="eastAsia"/>
                      <w:bCs/>
                      <w:sz w:val="18"/>
                      <w:szCs w:val="18"/>
                      <w:vertAlign w:val="subscript"/>
                      <w:lang w:val="en-US" w:eastAsia="zh-CN"/>
                    </w:rPr>
                    <w:t>2</w:t>
                  </w:r>
                </w:p>
              </w:tc>
              <w:tc>
                <w:tcPr>
                  <w:tcW w:w="681" w:type="dxa"/>
                  <w:tcBorders>
                    <w:top w:val="single" w:color="auto" w:sz="12" w:space="0"/>
                    <w:bottom w:val="single" w:color="auto" w:sz="12" w:space="0"/>
                  </w:tcBorders>
                  <w:noWrap w:val="0"/>
                  <w:vAlign w:val="center"/>
                </w:tcPr>
                <w:p>
                  <w:pPr>
                    <w:widowControl/>
                    <w:spacing w:line="240" w:lineRule="auto"/>
                    <w:jc w:val="center"/>
                    <w:rPr>
                      <w:rFonts w:hint="default" w:eastAsia="宋体"/>
                      <w:bCs/>
                      <w:sz w:val="18"/>
                      <w:szCs w:val="18"/>
                      <w:lang w:val="en-US" w:eastAsia="zh-CN"/>
                    </w:rPr>
                  </w:pPr>
                  <w:r>
                    <w:rPr>
                      <w:rFonts w:hint="eastAsia"/>
                      <w:bCs/>
                      <w:sz w:val="18"/>
                      <w:szCs w:val="18"/>
                      <w:lang w:val="en-US" w:eastAsia="zh-CN"/>
                    </w:rPr>
                    <w:t>4000</w:t>
                  </w:r>
                </w:p>
              </w:tc>
              <w:tc>
                <w:tcPr>
                  <w:tcW w:w="598" w:type="dxa"/>
                  <w:tcBorders>
                    <w:top w:val="single" w:color="auto" w:sz="12" w:space="0"/>
                    <w:bottom w:val="single" w:color="auto" w:sz="12" w:space="0"/>
                  </w:tcBorders>
                  <w:noWrap w:val="0"/>
                  <w:vAlign w:val="center"/>
                </w:tcPr>
                <w:p>
                  <w:pPr>
                    <w:widowControl/>
                    <w:spacing w:line="240" w:lineRule="auto"/>
                    <w:jc w:val="center"/>
                    <w:rPr>
                      <w:bCs/>
                      <w:sz w:val="18"/>
                      <w:szCs w:val="18"/>
                    </w:rPr>
                  </w:pPr>
                  <w:r>
                    <w:rPr>
                      <w:rFonts w:hint="eastAsia"/>
                      <w:bCs/>
                      <w:sz w:val="18"/>
                      <w:szCs w:val="18"/>
                      <w:lang w:val="en-US" w:eastAsia="zh-CN"/>
                    </w:rPr>
                    <w:t>24</w:t>
                  </w:r>
                  <w:r>
                    <w:rPr>
                      <w:bCs/>
                      <w:sz w:val="18"/>
                      <w:szCs w:val="18"/>
                    </w:rPr>
                    <w:t>00</w:t>
                  </w:r>
                </w:p>
              </w:tc>
              <w:tc>
                <w:tcPr>
                  <w:tcW w:w="802" w:type="dxa"/>
                  <w:tcBorders>
                    <w:top w:val="single" w:color="auto" w:sz="12" w:space="0"/>
                    <w:bottom w:val="single" w:color="auto" w:sz="12" w:space="0"/>
                  </w:tcBorders>
                  <w:noWrap w:val="0"/>
                  <w:vAlign w:val="center"/>
                </w:tcPr>
                <w:p>
                  <w:pPr>
                    <w:autoSpaceDE w:val="0"/>
                    <w:snapToGrid w:val="0"/>
                    <w:spacing w:line="240" w:lineRule="auto"/>
                    <w:jc w:val="center"/>
                    <w:rPr>
                      <w:bCs/>
                      <w:sz w:val="18"/>
                      <w:szCs w:val="18"/>
                    </w:rPr>
                  </w:pPr>
                  <w:r>
                    <w:rPr>
                      <w:kern w:val="0"/>
                      <w:sz w:val="18"/>
                      <w:szCs w:val="18"/>
                    </w:rPr>
                    <w:t>非甲烷总烃</w:t>
                  </w:r>
                </w:p>
              </w:tc>
              <w:tc>
                <w:tcPr>
                  <w:tcW w:w="770" w:type="dxa"/>
                  <w:tcBorders>
                    <w:top w:val="single" w:color="auto" w:sz="12" w:space="0"/>
                    <w:bottom w:val="single" w:color="auto" w:sz="12" w:space="0"/>
                  </w:tcBorders>
                  <w:noWrap w:val="0"/>
                  <w:vAlign w:val="center"/>
                </w:tcPr>
                <w:p>
                  <w:pPr>
                    <w:widowControl/>
                    <w:snapToGrid w:val="0"/>
                    <w:spacing w:line="240" w:lineRule="auto"/>
                    <w:jc w:val="center"/>
                    <w:textAlignment w:val="center"/>
                    <w:rPr>
                      <w:rFonts w:hint="default" w:eastAsia="宋体"/>
                      <w:bCs/>
                      <w:sz w:val="18"/>
                      <w:szCs w:val="18"/>
                      <w:lang w:val="en-US" w:eastAsia="zh-CN"/>
                    </w:rPr>
                  </w:pPr>
                  <w:r>
                    <w:rPr>
                      <w:rFonts w:hint="eastAsia" w:eastAsia="宋体"/>
                      <w:bCs/>
                      <w:sz w:val="18"/>
                      <w:szCs w:val="18"/>
                      <w:lang w:val="en-US" w:eastAsia="zh-CN"/>
                    </w:rPr>
                    <w:t>141</w:t>
                  </w:r>
                </w:p>
              </w:tc>
              <w:tc>
                <w:tcPr>
                  <w:tcW w:w="678" w:type="dxa"/>
                  <w:tcBorders>
                    <w:top w:val="single" w:color="auto" w:sz="12" w:space="0"/>
                    <w:bottom w:val="single" w:color="auto" w:sz="12" w:space="0"/>
                  </w:tcBorders>
                  <w:noWrap w:val="0"/>
                  <w:vAlign w:val="center"/>
                </w:tcPr>
                <w:p>
                  <w:pPr>
                    <w:widowControl/>
                    <w:snapToGrid w:val="0"/>
                    <w:spacing w:line="240" w:lineRule="auto"/>
                    <w:jc w:val="center"/>
                    <w:textAlignment w:val="center"/>
                    <w:rPr>
                      <w:rFonts w:hint="default" w:eastAsia="宋体"/>
                      <w:bCs/>
                      <w:sz w:val="18"/>
                      <w:szCs w:val="18"/>
                      <w:lang w:val="en-US" w:eastAsia="zh-CN"/>
                    </w:rPr>
                  </w:pPr>
                  <w:r>
                    <w:rPr>
                      <w:rFonts w:hint="eastAsia" w:eastAsia="宋体"/>
                      <w:bCs/>
                      <w:sz w:val="18"/>
                      <w:szCs w:val="18"/>
                      <w:lang w:val="en-US" w:eastAsia="zh-CN"/>
                    </w:rPr>
                    <w:t>0.56</w:t>
                  </w:r>
                </w:p>
              </w:tc>
              <w:tc>
                <w:tcPr>
                  <w:tcW w:w="741" w:type="dxa"/>
                  <w:tcBorders>
                    <w:top w:val="single" w:color="auto" w:sz="12" w:space="0"/>
                    <w:bottom w:val="single" w:color="auto" w:sz="12" w:space="0"/>
                  </w:tcBorders>
                  <w:noWrap w:val="0"/>
                  <w:vAlign w:val="center"/>
                </w:tcPr>
                <w:p>
                  <w:pPr>
                    <w:snapToGrid w:val="0"/>
                    <w:spacing w:line="240" w:lineRule="auto"/>
                    <w:jc w:val="center"/>
                    <w:rPr>
                      <w:rFonts w:hint="default" w:eastAsia="宋体"/>
                      <w:bCs/>
                      <w:sz w:val="18"/>
                      <w:szCs w:val="18"/>
                      <w:lang w:val="en-US" w:eastAsia="zh-CN"/>
                    </w:rPr>
                  </w:pPr>
                  <w:r>
                    <w:rPr>
                      <w:rFonts w:hint="eastAsia" w:eastAsia="宋体"/>
                      <w:bCs/>
                      <w:sz w:val="18"/>
                      <w:szCs w:val="18"/>
                      <w:lang w:val="en-US" w:eastAsia="zh-CN"/>
                    </w:rPr>
                    <w:t>1.35</w:t>
                  </w:r>
                </w:p>
              </w:tc>
              <w:tc>
                <w:tcPr>
                  <w:tcW w:w="491" w:type="dxa"/>
                  <w:tcBorders>
                    <w:top w:val="single" w:color="auto" w:sz="12" w:space="0"/>
                    <w:bottom w:val="single" w:color="auto" w:sz="12" w:space="0"/>
                  </w:tcBorders>
                  <w:noWrap w:val="0"/>
                  <w:vAlign w:val="center"/>
                </w:tcPr>
                <w:p>
                  <w:pPr>
                    <w:autoSpaceDE w:val="0"/>
                    <w:snapToGrid w:val="0"/>
                    <w:spacing w:line="240" w:lineRule="auto"/>
                    <w:jc w:val="center"/>
                    <w:rPr>
                      <w:bCs/>
                      <w:sz w:val="18"/>
                      <w:szCs w:val="18"/>
                    </w:rPr>
                  </w:pPr>
                  <w:r>
                    <w:rPr>
                      <w:rFonts w:hint="eastAsia"/>
                      <w:kern w:val="0"/>
                      <w:sz w:val="18"/>
                      <w:szCs w:val="18"/>
                      <w:lang w:val="en-US" w:eastAsia="zh-CN"/>
                    </w:rPr>
                    <w:t>9</w:t>
                  </w:r>
                  <w:r>
                    <w:rPr>
                      <w:kern w:val="0"/>
                      <w:sz w:val="18"/>
                      <w:szCs w:val="18"/>
                    </w:rPr>
                    <w:t>0</w:t>
                  </w:r>
                </w:p>
              </w:tc>
              <w:tc>
                <w:tcPr>
                  <w:tcW w:w="765" w:type="dxa"/>
                  <w:tcBorders>
                    <w:top w:val="single" w:color="auto" w:sz="12" w:space="0"/>
                    <w:bottom w:val="single" w:color="auto" w:sz="12" w:space="0"/>
                  </w:tcBorders>
                  <w:noWrap w:val="0"/>
                  <w:vAlign w:val="center"/>
                </w:tcPr>
                <w:p>
                  <w:pPr>
                    <w:widowControl/>
                    <w:snapToGrid w:val="0"/>
                    <w:spacing w:line="240" w:lineRule="auto"/>
                    <w:jc w:val="center"/>
                    <w:textAlignment w:val="center"/>
                    <w:rPr>
                      <w:rFonts w:hint="default" w:eastAsia="宋体"/>
                      <w:bCs/>
                      <w:sz w:val="18"/>
                      <w:szCs w:val="18"/>
                      <w:lang w:val="en-US" w:eastAsia="zh-CN"/>
                    </w:rPr>
                  </w:pPr>
                  <w:r>
                    <w:rPr>
                      <w:rFonts w:hint="eastAsia" w:eastAsia="宋体"/>
                      <w:bCs/>
                      <w:sz w:val="18"/>
                      <w:szCs w:val="18"/>
                      <w:lang w:val="en-US" w:eastAsia="zh-CN"/>
                    </w:rPr>
                    <w:t>14.1</w:t>
                  </w:r>
                </w:p>
              </w:tc>
              <w:tc>
                <w:tcPr>
                  <w:tcW w:w="735" w:type="dxa"/>
                  <w:tcBorders>
                    <w:top w:val="single" w:color="auto" w:sz="12" w:space="0"/>
                    <w:bottom w:val="single" w:color="auto" w:sz="12" w:space="0"/>
                  </w:tcBorders>
                  <w:noWrap w:val="0"/>
                  <w:vAlign w:val="center"/>
                </w:tcPr>
                <w:p>
                  <w:pPr>
                    <w:widowControl/>
                    <w:snapToGrid w:val="0"/>
                    <w:spacing w:line="240" w:lineRule="auto"/>
                    <w:jc w:val="center"/>
                    <w:textAlignment w:val="center"/>
                    <w:rPr>
                      <w:rFonts w:hint="default" w:eastAsia="宋体"/>
                      <w:bCs/>
                      <w:sz w:val="18"/>
                      <w:szCs w:val="18"/>
                      <w:lang w:val="en-US" w:eastAsia="zh-CN"/>
                    </w:rPr>
                  </w:pPr>
                  <w:r>
                    <w:rPr>
                      <w:rFonts w:hint="eastAsia" w:eastAsia="宋体"/>
                      <w:bCs/>
                      <w:sz w:val="18"/>
                      <w:szCs w:val="18"/>
                      <w:lang w:val="en-US" w:eastAsia="zh-CN"/>
                    </w:rPr>
                    <w:t>0.056</w:t>
                  </w:r>
                </w:p>
              </w:tc>
              <w:tc>
                <w:tcPr>
                  <w:tcW w:w="695" w:type="dxa"/>
                  <w:tcBorders>
                    <w:top w:val="single" w:color="auto" w:sz="12" w:space="0"/>
                    <w:bottom w:val="single" w:color="auto" w:sz="12" w:space="0"/>
                  </w:tcBorders>
                  <w:noWrap w:val="0"/>
                  <w:vAlign w:val="center"/>
                </w:tcPr>
                <w:p>
                  <w:pPr>
                    <w:snapToGrid w:val="0"/>
                    <w:spacing w:line="240" w:lineRule="auto"/>
                    <w:jc w:val="center"/>
                    <w:rPr>
                      <w:rFonts w:hint="default" w:eastAsia="宋体"/>
                      <w:bCs/>
                      <w:sz w:val="18"/>
                      <w:szCs w:val="18"/>
                      <w:lang w:val="en-US" w:eastAsia="zh-CN"/>
                    </w:rPr>
                  </w:pPr>
                  <w:r>
                    <w:rPr>
                      <w:rFonts w:hint="eastAsia" w:eastAsia="宋体"/>
                      <w:bCs/>
                      <w:sz w:val="18"/>
                      <w:szCs w:val="18"/>
                      <w:lang w:val="en-US" w:eastAsia="zh-CN"/>
                    </w:rPr>
                    <w:t>0.135</w:t>
                  </w:r>
                </w:p>
              </w:tc>
              <w:tc>
                <w:tcPr>
                  <w:tcW w:w="545" w:type="dxa"/>
                  <w:tcBorders>
                    <w:top w:val="single" w:color="auto" w:sz="12" w:space="0"/>
                    <w:bottom w:val="single" w:color="auto" w:sz="12" w:space="0"/>
                  </w:tcBorders>
                  <w:noWrap w:val="0"/>
                  <w:vAlign w:val="center"/>
                </w:tcPr>
                <w:p>
                  <w:pPr>
                    <w:snapToGrid w:val="0"/>
                    <w:spacing w:line="240" w:lineRule="auto"/>
                    <w:jc w:val="center"/>
                    <w:rPr>
                      <w:bCs/>
                      <w:sz w:val="18"/>
                      <w:szCs w:val="18"/>
                    </w:rPr>
                  </w:pPr>
                  <w:r>
                    <w:rPr>
                      <w:kern w:val="0"/>
                      <w:sz w:val="18"/>
                      <w:szCs w:val="18"/>
                    </w:rPr>
                    <w:t>70</w:t>
                  </w:r>
                </w:p>
              </w:tc>
              <w:tc>
                <w:tcPr>
                  <w:tcW w:w="605" w:type="dxa"/>
                  <w:tcBorders>
                    <w:top w:val="single" w:color="auto" w:sz="12" w:space="0"/>
                    <w:bottom w:val="single" w:color="auto" w:sz="12" w:space="0"/>
                  </w:tcBorders>
                  <w:noWrap w:val="0"/>
                  <w:vAlign w:val="center"/>
                </w:tcPr>
                <w:p>
                  <w:pPr>
                    <w:autoSpaceDE w:val="0"/>
                    <w:snapToGrid w:val="0"/>
                    <w:spacing w:line="240" w:lineRule="auto"/>
                    <w:jc w:val="center"/>
                    <w:rPr>
                      <w:bCs/>
                      <w:sz w:val="18"/>
                      <w:szCs w:val="18"/>
                    </w:rPr>
                  </w:pPr>
                  <w:r>
                    <w:rPr>
                      <w:kern w:val="0"/>
                      <w:sz w:val="18"/>
                      <w:szCs w:val="18"/>
                    </w:rPr>
                    <w:t>8</w:t>
                  </w:r>
                </w:p>
              </w:tc>
              <w:tc>
                <w:tcPr>
                  <w:tcW w:w="428" w:type="dxa"/>
                  <w:tcBorders>
                    <w:top w:val="single" w:color="auto" w:sz="12" w:space="0"/>
                    <w:bottom w:val="single" w:color="auto" w:sz="12" w:space="0"/>
                  </w:tcBorders>
                  <w:noWrap w:val="0"/>
                  <w:vAlign w:val="center"/>
                </w:tcPr>
                <w:p>
                  <w:pPr>
                    <w:autoSpaceDE w:val="0"/>
                    <w:snapToGrid w:val="0"/>
                    <w:spacing w:line="240" w:lineRule="auto"/>
                    <w:jc w:val="center"/>
                    <w:rPr>
                      <w:kern w:val="0"/>
                      <w:sz w:val="18"/>
                      <w:szCs w:val="18"/>
                    </w:rPr>
                  </w:pPr>
                  <w:r>
                    <w:rPr>
                      <w:kern w:val="0"/>
                      <w:sz w:val="18"/>
                      <w:szCs w:val="18"/>
                    </w:rPr>
                    <w:t>15m</w:t>
                  </w:r>
                </w:p>
              </w:tc>
            </w:tr>
          </w:tbl>
          <w:p>
            <w:pPr>
              <w:jc w:val="center"/>
              <w:rPr>
                <w:b/>
                <w:bCs/>
                <w:sz w:val="21"/>
                <w:szCs w:val="21"/>
              </w:rPr>
            </w:pPr>
            <w:r>
              <w:rPr>
                <w:b/>
                <w:bCs/>
                <w:sz w:val="21"/>
                <w:szCs w:val="21"/>
              </w:rPr>
              <w:t>表5-3  大气无组织排放分析表</w:t>
            </w:r>
          </w:p>
          <w:tbl>
            <w:tblPr>
              <w:tblStyle w:val="26"/>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550"/>
              <w:gridCol w:w="2153"/>
              <w:gridCol w:w="1385"/>
              <w:gridCol w:w="1385"/>
              <w:gridCol w:w="1538"/>
              <w:gridCol w:w="141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550" w:type="dxa"/>
                  <w:tcBorders>
                    <w:top w:val="single" w:color="auto" w:sz="12" w:space="0"/>
                    <w:bottom w:val="single" w:color="auto" w:sz="12" w:space="0"/>
                  </w:tcBorders>
                  <w:noWrap w:val="0"/>
                  <w:vAlign w:val="center"/>
                </w:tcPr>
                <w:p>
                  <w:pPr>
                    <w:snapToGrid w:val="0"/>
                    <w:spacing w:line="240" w:lineRule="auto"/>
                    <w:jc w:val="center"/>
                    <w:rPr>
                      <w:sz w:val="21"/>
                      <w:szCs w:val="21"/>
                    </w:rPr>
                  </w:pPr>
                  <w:r>
                    <w:rPr>
                      <w:sz w:val="21"/>
                      <w:szCs w:val="21"/>
                    </w:rPr>
                    <w:t>车间</w:t>
                  </w:r>
                </w:p>
              </w:tc>
              <w:tc>
                <w:tcPr>
                  <w:tcW w:w="2153" w:type="dxa"/>
                  <w:tcBorders>
                    <w:top w:val="single" w:color="auto" w:sz="12" w:space="0"/>
                    <w:bottom w:val="single" w:color="auto" w:sz="12" w:space="0"/>
                  </w:tcBorders>
                  <w:noWrap w:val="0"/>
                  <w:vAlign w:val="center"/>
                </w:tcPr>
                <w:p>
                  <w:pPr>
                    <w:snapToGrid w:val="0"/>
                    <w:spacing w:line="240" w:lineRule="auto"/>
                    <w:jc w:val="center"/>
                    <w:rPr>
                      <w:sz w:val="21"/>
                      <w:szCs w:val="21"/>
                    </w:rPr>
                  </w:pPr>
                  <w:r>
                    <w:rPr>
                      <w:sz w:val="21"/>
                      <w:szCs w:val="21"/>
                    </w:rPr>
                    <w:t>污染物名称</w:t>
                  </w:r>
                </w:p>
              </w:tc>
              <w:tc>
                <w:tcPr>
                  <w:tcW w:w="1385" w:type="dxa"/>
                  <w:tcBorders>
                    <w:top w:val="single" w:color="auto" w:sz="12" w:space="0"/>
                    <w:bottom w:val="single" w:color="auto" w:sz="12" w:space="0"/>
                  </w:tcBorders>
                  <w:noWrap w:val="0"/>
                  <w:vAlign w:val="center"/>
                </w:tcPr>
                <w:p>
                  <w:pPr>
                    <w:snapToGrid w:val="0"/>
                    <w:spacing w:line="240" w:lineRule="auto"/>
                    <w:jc w:val="center"/>
                    <w:rPr>
                      <w:sz w:val="21"/>
                      <w:szCs w:val="21"/>
                    </w:rPr>
                  </w:pPr>
                  <w:r>
                    <w:rPr>
                      <w:sz w:val="21"/>
                      <w:szCs w:val="21"/>
                    </w:rPr>
                    <w:t>产生量t/a</w:t>
                  </w:r>
                </w:p>
              </w:tc>
              <w:tc>
                <w:tcPr>
                  <w:tcW w:w="1385" w:type="dxa"/>
                  <w:tcBorders>
                    <w:top w:val="single" w:color="auto" w:sz="12" w:space="0"/>
                    <w:bottom w:val="single" w:color="auto" w:sz="12" w:space="0"/>
                  </w:tcBorders>
                  <w:noWrap w:val="0"/>
                  <w:vAlign w:val="center"/>
                </w:tcPr>
                <w:p>
                  <w:pPr>
                    <w:snapToGrid w:val="0"/>
                    <w:spacing w:line="240" w:lineRule="auto"/>
                    <w:jc w:val="center"/>
                    <w:rPr>
                      <w:sz w:val="21"/>
                      <w:szCs w:val="21"/>
                    </w:rPr>
                  </w:pPr>
                  <w:r>
                    <w:rPr>
                      <w:sz w:val="21"/>
                      <w:szCs w:val="21"/>
                    </w:rPr>
                    <w:t>排放量t/a</w:t>
                  </w:r>
                </w:p>
              </w:tc>
              <w:tc>
                <w:tcPr>
                  <w:tcW w:w="1538" w:type="dxa"/>
                  <w:tcBorders>
                    <w:top w:val="single" w:color="auto" w:sz="12" w:space="0"/>
                    <w:bottom w:val="single" w:color="auto" w:sz="12" w:space="0"/>
                  </w:tcBorders>
                  <w:noWrap w:val="0"/>
                  <w:vAlign w:val="center"/>
                </w:tcPr>
                <w:p>
                  <w:pPr>
                    <w:snapToGrid w:val="0"/>
                    <w:spacing w:line="240" w:lineRule="auto"/>
                    <w:jc w:val="center"/>
                    <w:rPr>
                      <w:sz w:val="21"/>
                      <w:szCs w:val="21"/>
                    </w:rPr>
                  </w:pPr>
                  <w:r>
                    <w:rPr>
                      <w:sz w:val="21"/>
                      <w:szCs w:val="21"/>
                    </w:rPr>
                    <w:t>面源面积m</w:t>
                  </w:r>
                  <w:r>
                    <w:rPr>
                      <w:sz w:val="21"/>
                      <w:szCs w:val="21"/>
                      <w:vertAlign w:val="superscript"/>
                    </w:rPr>
                    <w:t>2</w:t>
                  </w:r>
                </w:p>
              </w:tc>
              <w:tc>
                <w:tcPr>
                  <w:tcW w:w="1411" w:type="dxa"/>
                  <w:tcBorders>
                    <w:top w:val="single" w:color="auto" w:sz="12" w:space="0"/>
                    <w:bottom w:val="single" w:color="auto" w:sz="12" w:space="0"/>
                  </w:tcBorders>
                  <w:noWrap w:val="0"/>
                  <w:vAlign w:val="center"/>
                </w:tcPr>
                <w:p>
                  <w:pPr>
                    <w:snapToGrid w:val="0"/>
                    <w:spacing w:line="240" w:lineRule="auto"/>
                    <w:jc w:val="center"/>
                    <w:rPr>
                      <w:sz w:val="21"/>
                      <w:szCs w:val="21"/>
                    </w:rPr>
                  </w:pPr>
                  <w:r>
                    <w:rPr>
                      <w:sz w:val="21"/>
                      <w:szCs w:val="21"/>
                    </w:rPr>
                    <w:t>面源高度m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60" w:hRule="atLeast"/>
              </w:trPr>
              <w:tc>
                <w:tcPr>
                  <w:tcW w:w="1550" w:type="dxa"/>
                  <w:vMerge w:val="restart"/>
                  <w:tcBorders>
                    <w:top w:val="single" w:color="auto" w:sz="12" w:space="0"/>
                  </w:tcBorders>
                  <w:noWrap w:val="0"/>
                  <w:vAlign w:val="center"/>
                </w:tcPr>
                <w:p>
                  <w:pPr>
                    <w:autoSpaceDE w:val="0"/>
                    <w:snapToGrid w:val="0"/>
                    <w:spacing w:line="240" w:lineRule="auto"/>
                    <w:jc w:val="center"/>
                    <w:rPr>
                      <w:rFonts w:hint="eastAsia" w:eastAsia="宋体"/>
                      <w:kern w:val="0"/>
                      <w:sz w:val="21"/>
                      <w:szCs w:val="21"/>
                      <w:lang w:eastAsia="zh-CN"/>
                    </w:rPr>
                  </w:pPr>
                  <w:r>
                    <w:rPr>
                      <w:rFonts w:hint="eastAsia"/>
                      <w:kern w:val="0"/>
                      <w:sz w:val="21"/>
                      <w:szCs w:val="21"/>
                      <w:lang w:val="en-US" w:eastAsia="zh-CN"/>
                    </w:rPr>
                    <w:t>生产车间</w:t>
                  </w:r>
                </w:p>
              </w:tc>
              <w:tc>
                <w:tcPr>
                  <w:tcW w:w="2153" w:type="dxa"/>
                  <w:tcBorders>
                    <w:top w:val="single" w:color="auto" w:sz="12" w:space="0"/>
                    <w:bottom w:val="single" w:color="auto" w:sz="4" w:space="0"/>
                  </w:tcBorders>
                  <w:noWrap w:val="0"/>
                  <w:vAlign w:val="center"/>
                </w:tcPr>
                <w:p>
                  <w:pPr>
                    <w:autoSpaceDE w:val="0"/>
                    <w:snapToGrid w:val="0"/>
                    <w:spacing w:line="240" w:lineRule="auto"/>
                    <w:jc w:val="center"/>
                    <w:rPr>
                      <w:kern w:val="0"/>
                      <w:sz w:val="21"/>
                      <w:szCs w:val="21"/>
                    </w:rPr>
                  </w:pPr>
                  <w:r>
                    <w:rPr>
                      <w:kern w:val="0"/>
                      <w:sz w:val="21"/>
                      <w:szCs w:val="21"/>
                    </w:rPr>
                    <w:t>非甲烷总烃</w:t>
                  </w:r>
                </w:p>
              </w:tc>
              <w:tc>
                <w:tcPr>
                  <w:tcW w:w="1385" w:type="dxa"/>
                  <w:tcBorders>
                    <w:top w:val="single" w:color="auto" w:sz="12" w:space="0"/>
                    <w:bottom w:val="single" w:color="auto" w:sz="4" w:space="0"/>
                  </w:tcBorders>
                  <w:noWrap w:val="0"/>
                  <w:vAlign w:val="center"/>
                </w:tcPr>
                <w:p>
                  <w:pPr>
                    <w:snapToGrid w:val="0"/>
                    <w:spacing w:line="240" w:lineRule="auto"/>
                    <w:jc w:val="center"/>
                    <w:textAlignment w:val="center"/>
                    <w:rPr>
                      <w:rFonts w:hint="default" w:eastAsia="宋体"/>
                      <w:sz w:val="21"/>
                      <w:szCs w:val="21"/>
                      <w:lang w:val="en-US" w:eastAsia="zh-CN"/>
                    </w:rPr>
                  </w:pPr>
                  <w:r>
                    <w:rPr>
                      <w:rFonts w:hint="eastAsia"/>
                      <w:sz w:val="21"/>
                      <w:szCs w:val="21"/>
                      <w:lang w:val="en-US" w:eastAsia="zh-CN"/>
                    </w:rPr>
                    <w:t>0.15</w:t>
                  </w:r>
                </w:p>
              </w:tc>
              <w:tc>
                <w:tcPr>
                  <w:tcW w:w="1385" w:type="dxa"/>
                  <w:tcBorders>
                    <w:top w:val="single" w:color="auto" w:sz="12" w:space="0"/>
                    <w:bottom w:val="single" w:color="auto" w:sz="4" w:space="0"/>
                  </w:tcBorders>
                  <w:noWrap w:val="0"/>
                  <w:vAlign w:val="center"/>
                </w:tcPr>
                <w:p>
                  <w:pPr>
                    <w:snapToGrid w:val="0"/>
                    <w:spacing w:line="240" w:lineRule="auto"/>
                    <w:jc w:val="center"/>
                    <w:textAlignment w:val="center"/>
                    <w:rPr>
                      <w:rFonts w:hint="default" w:eastAsia="宋体"/>
                      <w:sz w:val="21"/>
                      <w:szCs w:val="21"/>
                      <w:lang w:val="en-US" w:eastAsia="zh-CN"/>
                    </w:rPr>
                  </w:pPr>
                  <w:r>
                    <w:rPr>
                      <w:rFonts w:hint="eastAsia"/>
                      <w:sz w:val="21"/>
                      <w:szCs w:val="21"/>
                      <w:lang w:val="en-US" w:eastAsia="zh-CN"/>
                    </w:rPr>
                    <w:t>0.15</w:t>
                  </w:r>
                </w:p>
              </w:tc>
              <w:tc>
                <w:tcPr>
                  <w:tcW w:w="1538" w:type="dxa"/>
                  <w:tcBorders>
                    <w:top w:val="single" w:color="auto" w:sz="12" w:space="0"/>
                    <w:bottom w:val="single" w:color="auto" w:sz="4" w:space="0"/>
                  </w:tcBorders>
                  <w:noWrap w:val="0"/>
                  <w:vAlign w:val="center"/>
                </w:tcPr>
                <w:p>
                  <w:pPr>
                    <w:snapToGrid w:val="0"/>
                    <w:spacing w:line="240" w:lineRule="auto"/>
                    <w:jc w:val="center"/>
                    <w:rPr>
                      <w:rFonts w:hint="default" w:eastAsia="宋体"/>
                      <w:sz w:val="21"/>
                      <w:szCs w:val="21"/>
                      <w:lang w:val="en-US" w:eastAsia="zh-CN"/>
                    </w:rPr>
                  </w:pPr>
                  <w:r>
                    <w:rPr>
                      <w:rFonts w:hint="eastAsia"/>
                      <w:sz w:val="21"/>
                      <w:szCs w:val="21"/>
                      <w:lang w:val="en-US" w:eastAsia="zh-CN"/>
                    </w:rPr>
                    <w:t>1200</w:t>
                  </w:r>
                </w:p>
              </w:tc>
              <w:tc>
                <w:tcPr>
                  <w:tcW w:w="1411" w:type="dxa"/>
                  <w:tcBorders>
                    <w:top w:val="single" w:color="auto" w:sz="12" w:space="0"/>
                    <w:bottom w:val="single" w:color="auto" w:sz="4" w:space="0"/>
                  </w:tcBorders>
                  <w:noWrap w:val="0"/>
                  <w:vAlign w:val="center"/>
                </w:tcPr>
                <w:p>
                  <w:pPr>
                    <w:snapToGrid w:val="0"/>
                    <w:spacing w:line="240" w:lineRule="auto"/>
                    <w:jc w:val="center"/>
                    <w:rPr>
                      <w:rFonts w:hint="eastAsia" w:eastAsia="宋体"/>
                      <w:sz w:val="21"/>
                      <w:szCs w:val="21"/>
                      <w:lang w:val="en-US" w:eastAsia="zh-CN"/>
                    </w:rPr>
                  </w:pPr>
                  <w:r>
                    <w:rPr>
                      <w:rFonts w:hint="eastAsia"/>
                      <w:sz w:val="21"/>
                      <w:szCs w:val="21"/>
                      <w:lang w:val="en-US" w:eastAsia="zh-CN"/>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18" w:hRule="atLeast"/>
              </w:trPr>
              <w:tc>
                <w:tcPr>
                  <w:tcW w:w="1550" w:type="dxa"/>
                  <w:vMerge w:val="continue"/>
                  <w:tcBorders>
                    <w:bottom w:val="single" w:color="auto" w:sz="12" w:space="0"/>
                  </w:tcBorders>
                  <w:noWrap w:val="0"/>
                  <w:vAlign w:val="center"/>
                </w:tcPr>
                <w:p>
                  <w:pPr>
                    <w:autoSpaceDE w:val="0"/>
                    <w:snapToGrid w:val="0"/>
                    <w:spacing w:line="240" w:lineRule="auto"/>
                    <w:jc w:val="center"/>
                    <w:rPr>
                      <w:rFonts w:hint="eastAsia"/>
                      <w:kern w:val="0"/>
                      <w:sz w:val="21"/>
                      <w:szCs w:val="21"/>
                      <w:lang w:val="en-US" w:eastAsia="zh-CN"/>
                    </w:rPr>
                  </w:pPr>
                </w:p>
              </w:tc>
              <w:tc>
                <w:tcPr>
                  <w:tcW w:w="2153" w:type="dxa"/>
                  <w:tcBorders>
                    <w:top w:val="single" w:color="auto" w:sz="4" w:space="0"/>
                    <w:bottom w:val="single" w:color="auto" w:sz="12" w:space="0"/>
                  </w:tcBorders>
                  <w:noWrap w:val="0"/>
                  <w:vAlign w:val="center"/>
                </w:tcPr>
                <w:p>
                  <w:pPr>
                    <w:autoSpaceDE w:val="0"/>
                    <w:snapToGrid w:val="0"/>
                    <w:spacing w:line="240" w:lineRule="auto"/>
                    <w:jc w:val="center"/>
                    <w:rPr>
                      <w:rFonts w:hint="eastAsia" w:eastAsia="宋体"/>
                      <w:kern w:val="0"/>
                      <w:sz w:val="21"/>
                      <w:szCs w:val="21"/>
                      <w:lang w:val="en-US" w:eastAsia="zh-CN"/>
                    </w:rPr>
                  </w:pPr>
                  <w:r>
                    <w:rPr>
                      <w:rFonts w:hint="eastAsia"/>
                      <w:kern w:val="0"/>
                      <w:sz w:val="21"/>
                      <w:szCs w:val="21"/>
                      <w:lang w:val="en-US" w:eastAsia="zh-CN"/>
                    </w:rPr>
                    <w:t>颗粒物</w:t>
                  </w:r>
                </w:p>
              </w:tc>
              <w:tc>
                <w:tcPr>
                  <w:tcW w:w="1385" w:type="dxa"/>
                  <w:tcBorders>
                    <w:top w:val="single" w:color="auto" w:sz="4" w:space="0"/>
                    <w:bottom w:val="single" w:color="auto" w:sz="12" w:space="0"/>
                  </w:tcBorders>
                  <w:noWrap w:val="0"/>
                  <w:vAlign w:val="center"/>
                </w:tcPr>
                <w:p>
                  <w:pPr>
                    <w:snapToGrid w:val="0"/>
                    <w:spacing w:line="240" w:lineRule="auto"/>
                    <w:jc w:val="center"/>
                    <w:textAlignment w:val="center"/>
                    <w:rPr>
                      <w:rFonts w:hint="default"/>
                      <w:sz w:val="21"/>
                      <w:szCs w:val="21"/>
                      <w:lang w:val="en-US" w:eastAsia="zh-CN"/>
                    </w:rPr>
                  </w:pPr>
                  <w:r>
                    <w:rPr>
                      <w:rFonts w:hint="eastAsia"/>
                      <w:sz w:val="21"/>
                      <w:szCs w:val="21"/>
                      <w:lang w:val="en-US" w:eastAsia="zh-CN"/>
                    </w:rPr>
                    <w:t>0.3</w:t>
                  </w:r>
                </w:p>
              </w:tc>
              <w:tc>
                <w:tcPr>
                  <w:tcW w:w="1385" w:type="dxa"/>
                  <w:tcBorders>
                    <w:top w:val="single" w:color="auto" w:sz="4" w:space="0"/>
                    <w:bottom w:val="single" w:color="auto" w:sz="12" w:space="0"/>
                  </w:tcBorders>
                  <w:noWrap w:val="0"/>
                  <w:vAlign w:val="center"/>
                </w:tcPr>
                <w:p>
                  <w:pPr>
                    <w:snapToGrid w:val="0"/>
                    <w:spacing w:line="240" w:lineRule="auto"/>
                    <w:jc w:val="center"/>
                    <w:textAlignment w:val="center"/>
                    <w:rPr>
                      <w:rFonts w:hint="default"/>
                      <w:sz w:val="21"/>
                      <w:szCs w:val="21"/>
                      <w:lang w:val="en-US" w:eastAsia="zh-CN"/>
                    </w:rPr>
                  </w:pPr>
                  <w:r>
                    <w:rPr>
                      <w:rFonts w:hint="eastAsia"/>
                      <w:sz w:val="21"/>
                      <w:szCs w:val="21"/>
                      <w:lang w:val="en-US" w:eastAsia="zh-CN"/>
                    </w:rPr>
                    <w:t>0.0327</w:t>
                  </w:r>
                </w:p>
              </w:tc>
              <w:tc>
                <w:tcPr>
                  <w:tcW w:w="1538" w:type="dxa"/>
                  <w:tcBorders>
                    <w:top w:val="single" w:color="auto" w:sz="4" w:space="0"/>
                    <w:bottom w:val="single" w:color="auto" w:sz="12" w:space="0"/>
                  </w:tcBorders>
                  <w:noWrap w:val="0"/>
                  <w:vAlign w:val="center"/>
                </w:tcPr>
                <w:p>
                  <w:pPr>
                    <w:snapToGrid w:val="0"/>
                    <w:spacing w:line="240" w:lineRule="auto"/>
                    <w:jc w:val="center"/>
                    <w:rPr>
                      <w:rFonts w:hint="default"/>
                      <w:sz w:val="21"/>
                      <w:szCs w:val="21"/>
                      <w:lang w:val="en-US" w:eastAsia="zh-CN"/>
                    </w:rPr>
                  </w:pPr>
                  <w:r>
                    <w:rPr>
                      <w:rFonts w:hint="eastAsia"/>
                      <w:sz w:val="21"/>
                      <w:szCs w:val="21"/>
                      <w:lang w:val="en-US" w:eastAsia="zh-CN"/>
                    </w:rPr>
                    <w:t>1200</w:t>
                  </w:r>
                </w:p>
              </w:tc>
              <w:tc>
                <w:tcPr>
                  <w:tcW w:w="1411" w:type="dxa"/>
                  <w:tcBorders>
                    <w:top w:val="single" w:color="auto" w:sz="4" w:space="0"/>
                    <w:bottom w:val="single" w:color="auto" w:sz="12" w:space="0"/>
                  </w:tcBorders>
                  <w:noWrap w:val="0"/>
                  <w:vAlign w:val="center"/>
                </w:tcPr>
                <w:p>
                  <w:pPr>
                    <w:snapToGrid w:val="0"/>
                    <w:spacing w:line="240" w:lineRule="auto"/>
                    <w:jc w:val="center"/>
                    <w:rPr>
                      <w:rFonts w:hint="eastAsia" w:eastAsia="宋体"/>
                      <w:sz w:val="21"/>
                      <w:szCs w:val="21"/>
                      <w:lang w:val="en-US" w:eastAsia="zh-CN"/>
                    </w:rPr>
                  </w:pPr>
                  <w:r>
                    <w:rPr>
                      <w:rFonts w:hint="eastAsia"/>
                      <w:sz w:val="21"/>
                      <w:szCs w:val="21"/>
                      <w:lang w:val="en-US" w:eastAsia="zh-CN"/>
                    </w:rPr>
                    <w:t>8</w:t>
                  </w:r>
                </w:p>
              </w:tc>
            </w:tr>
          </w:tbl>
          <w:p>
            <w:pPr>
              <w:spacing w:before="156" w:beforeLines="50"/>
              <w:jc w:val="left"/>
              <w:rPr>
                <w:b/>
                <w:bCs/>
              </w:rPr>
            </w:pPr>
            <w:r>
              <w:rPr>
                <w:b/>
                <w:bCs/>
              </w:rPr>
              <w:t>3、噪声</w:t>
            </w:r>
          </w:p>
          <w:p>
            <w:pPr>
              <w:ind w:firstLine="480" w:firstLineChars="200"/>
              <w:jc w:val="left"/>
              <w:rPr>
                <w:b/>
                <w:bCs/>
              </w:rPr>
            </w:pPr>
            <w:r>
              <w:t>本项目噪声源强主要为</w:t>
            </w:r>
            <w:r>
              <w:rPr>
                <w:rFonts w:hint="eastAsia"/>
                <w:lang w:val="en-US" w:eastAsia="zh-CN"/>
              </w:rPr>
              <w:t>捏合机、空压机</w:t>
            </w:r>
            <w:r>
              <w:t>、</w:t>
            </w:r>
            <w:r>
              <w:rPr>
                <w:rFonts w:hint="eastAsia"/>
                <w:lang w:val="en-US" w:eastAsia="zh-CN"/>
              </w:rPr>
              <w:t>冷却塔</w:t>
            </w:r>
            <w:r>
              <w:t>，源强在70-80dB(A)左右。</w:t>
            </w:r>
          </w:p>
          <w:p>
            <w:pPr>
              <w:pStyle w:val="18"/>
              <w:spacing w:line="240" w:lineRule="auto"/>
              <w:rPr>
                <w:rFonts w:ascii="Times New Roman" w:eastAsia="宋体"/>
                <w:b/>
                <w:bCs/>
                <w:sz w:val="21"/>
                <w:szCs w:val="21"/>
              </w:rPr>
            </w:pPr>
            <w:r>
              <w:rPr>
                <w:rFonts w:ascii="Times New Roman" w:eastAsia="宋体"/>
                <w:b/>
                <w:bCs/>
                <w:sz w:val="21"/>
                <w:szCs w:val="21"/>
              </w:rPr>
              <w:t>表5-4  噪声污染源分析表</w:t>
            </w:r>
          </w:p>
          <w:tbl>
            <w:tblPr>
              <w:tblStyle w:val="2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685"/>
              <w:gridCol w:w="3116"/>
              <w:gridCol w:w="1048"/>
              <w:gridCol w:w="1325"/>
              <w:gridCol w:w="1697"/>
              <w:gridCol w:w="155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85" w:type="dxa"/>
                  <w:tcBorders>
                    <w:top w:val="single" w:color="auto" w:sz="12" w:space="0"/>
                    <w:bottom w:val="single" w:color="auto" w:sz="12" w:space="0"/>
                  </w:tcBorders>
                  <w:noWrap w:val="0"/>
                  <w:vAlign w:val="center"/>
                </w:tcPr>
                <w:p>
                  <w:pPr>
                    <w:snapToGrid w:val="0"/>
                    <w:spacing w:line="240" w:lineRule="auto"/>
                    <w:jc w:val="center"/>
                    <w:rPr>
                      <w:sz w:val="21"/>
                      <w:szCs w:val="21"/>
                    </w:rPr>
                  </w:pPr>
                  <w:r>
                    <w:rPr>
                      <w:sz w:val="21"/>
                      <w:szCs w:val="21"/>
                    </w:rPr>
                    <w:t>序号</w:t>
                  </w:r>
                </w:p>
              </w:tc>
              <w:tc>
                <w:tcPr>
                  <w:tcW w:w="3116" w:type="dxa"/>
                  <w:tcBorders>
                    <w:top w:val="single" w:color="auto" w:sz="12" w:space="0"/>
                    <w:bottom w:val="single" w:color="auto" w:sz="12" w:space="0"/>
                  </w:tcBorders>
                  <w:noWrap w:val="0"/>
                  <w:vAlign w:val="center"/>
                </w:tcPr>
                <w:p>
                  <w:pPr>
                    <w:snapToGrid w:val="0"/>
                    <w:spacing w:line="240" w:lineRule="auto"/>
                    <w:jc w:val="center"/>
                    <w:rPr>
                      <w:sz w:val="21"/>
                      <w:szCs w:val="21"/>
                    </w:rPr>
                  </w:pPr>
                  <w:r>
                    <w:rPr>
                      <w:sz w:val="21"/>
                      <w:szCs w:val="21"/>
                    </w:rPr>
                    <w:t>设备名称</w:t>
                  </w:r>
                </w:p>
              </w:tc>
              <w:tc>
                <w:tcPr>
                  <w:tcW w:w="1048" w:type="dxa"/>
                  <w:tcBorders>
                    <w:top w:val="single" w:color="auto" w:sz="12" w:space="0"/>
                    <w:bottom w:val="single" w:color="auto" w:sz="12" w:space="0"/>
                  </w:tcBorders>
                  <w:noWrap w:val="0"/>
                  <w:vAlign w:val="center"/>
                </w:tcPr>
                <w:p>
                  <w:pPr>
                    <w:snapToGrid w:val="0"/>
                    <w:spacing w:line="240" w:lineRule="auto"/>
                    <w:jc w:val="center"/>
                    <w:rPr>
                      <w:sz w:val="21"/>
                      <w:szCs w:val="21"/>
                    </w:rPr>
                  </w:pPr>
                  <w:r>
                    <w:rPr>
                      <w:sz w:val="21"/>
                      <w:szCs w:val="21"/>
                    </w:rPr>
                    <w:t>设备</w:t>
                  </w:r>
                </w:p>
                <w:p>
                  <w:pPr>
                    <w:snapToGrid w:val="0"/>
                    <w:spacing w:line="240" w:lineRule="auto"/>
                    <w:jc w:val="center"/>
                    <w:rPr>
                      <w:sz w:val="21"/>
                      <w:szCs w:val="21"/>
                    </w:rPr>
                  </w:pPr>
                  <w:r>
                    <w:rPr>
                      <w:sz w:val="21"/>
                      <w:szCs w:val="21"/>
                    </w:rPr>
                    <w:t>（台）</w:t>
                  </w:r>
                </w:p>
              </w:tc>
              <w:tc>
                <w:tcPr>
                  <w:tcW w:w="1325" w:type="dxa"/>
                  <w:tcBorders>
                    <w:top w:val="single" w:color="auto" w:sz="12" w:space="0"/>
                    <w:bottom w:val="single" w:color="auto" w:sz="12" w:space="0"/>
                  </w:tcBorders>
                  <w:noWrap w:val="0"/>
                  <w:vAlign w:val="center"/>
                </w:tcPr>
                <w:p>
                  <w:pPr>
                    <w:snapToGrid w:val="0"/>
                    <w:spacing w:line="240" w:lineRule="auto"/>
                    <w:jc w:val="center"/>
                    <w:rPr>
                      <w:sz w:val="21"/>
                      <w:szCs w:val="21"/>
                    </w:rPr>
                  </w:pPr>
                  <w:r>
                    <w:rPr>
                      <w:sz w:val="21"/>
                      <w:szCs w:val="21"/>
                    </w:rPr>
                    <w:t>源强度</w:t>
                  </w:r>
                </w:p>
                <w:p>
                  <w:pPr>
                    <w:snapToGrid w:val="0"/>
                    <w:spacing w:line="240" w:lineRule="auto"/>
                    <w:jc w:val="center"/>
                    <w:rPr>
                      <w:sz w:val="21"/>
                      <w:szCs w:val="21"/>
                    </w:rPr>
                  </w:pPr>
                  <w:r>
                    <w:rPr>
                      <w:sz w:val="21"/>
                      <w:szCs w:val="21"/>
                    </w:rPr>
                    <w:t>dB（A）</w:t>
                  </w:r>
                </w:p>
              </w:tc>
              <w:tc>
                <w:tcPr>
                  <w:tcW w:w="1697" w:type="dxa"/>
                  <w:tcBorders>
                    <w:top w:val="single" w:color="auto" w:sz="12" w:space="0"/>
                    <w:bottom w:val="single" w:color="auto" w:sz="12" w:space="0"/>
                  </w:tcBorders>
                  <w:noWrap w:val="0"/>
                  <w:vAlign w:val="center"/>
                </w:tcPr>
                <w:p>
                  <w:pPr>
                    <w:snapToGrid w:val="0"/>
                    <w:spacing w:line="240" w:lineRule="auto"/>
                    <w:jc w:val="center"/>
                    <w:rPr>
                      <w:sz w:val="21"/>
                      <w:szCs w:val="21"/>
                    </w:rPr>
                  </w:pPr>
                  <w:r>
                    <w:rPr>
                      <w:sz w:val="21"/>
                      <w:szCs w:val="21"/>
                    </w:rPr>
                    <w:t>防治措施</w:t>
                  </w:r>
                </w:p>
              </w:tc>
              <w:tc>
                <w:tcPr>
                  <w:tcW w:w="1551" w:type="dxa"/>
                  <w:tcBorders>
                    <w:top w:val="single" w:color="auto" w:sz="12" w:space="0"/>
                    <w:bottom w:val="single" w:color="auto" w:sz="12" w:space="0"/>
                  </w:tcBorders>
                  <w:noWrap w:val="0"/>
                  <w:vAlign w:val="center"/>
                </w:tcPr>
                <w:p>
                  <w:pPr>
                    <w:snapToGrid w:val="0"/>
                    <w:spacing w:line="240" w:lineRule="auto"/>
                    <w:jc w:val="center"/>
                    <w:rPr>
                      <w:sz w:val="21"/>
                      <w:szCs w:val="21"/>
                    </w:rPr>
                  </w:pPr>
                  <w:r>
                    <w:rPr>
                      <w:sz w:val="21"/>
                      <w:szCs w:val="21"/>
                    </w:rPr>
                    <w:t>隔声量</w:t>
                  </w:r>
                </w:p>
                <w:p>
                  <w:pPr>
                    <w:snapToGrid w:val="0"/>
                    <w:spacing w:line="240" w:lineRule="auto"/>
                    <w:jc w:val="center"/>
                    <w:rPr>
                      <w:sz w:val="21"/>
                      <w:szCs w:val="21"/>
                    </w:rPr>
                  </w:pPr>
                  <w:r>
                    <w:rPr>
                      <w:sz w:val="21"/>
                      <w:szCs w:val="21"/>
                    </w:rPr>
                    <w:t>dB（A）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85" w:type="dxa"/>
                  <w:tcBorders>
                    <w:top w:val="single" w:color="auto" w:sz="12" w:space="0"/>
                  </w:tcBorders>
                  <w:noWrap w:val="0"/>
                  <w:vAlign w:val="center"/>
                </w:tcPr>
                <w:p>
                  <w:pPr>
                    <w:snapToGrid w:val="0"/>
                    <w:spacing w:line="240" w:lineRule="auto"/>
                    <w:jc w:val="center"/>
                    <w:rPr>
                      <w:sz w:val="21"/>
                      <w:szCs w:val="21"/>
                    </w:rPr>
                  </w:pPr>
                  <w:r>
                    <w:rPr>
                      <w:sz w:val="21"/>
                      <w:szCs w:val="21"/>
                    </w:rPr>
                    <w:t>1</w:t>
                  </w:r>
                </w:p>
              </w:tc>
              <w:tc>
                <w:tcPr>
                  <w:tcW w:w="3116" w:type="dxa"/>
                  <w:tcBorders>
                    <w:top w:val="single" w:color="auto" w:sz="12" w:space="0"/>
                  </w:tcBorders>
                  <w:noWrap w:val="0"/>
                  <w:vAlign w:val="center"/>
                </w:tcPr>
                <w:p>
                  <w:pPr>
                    <w:snapToGrid w:val="0"/>
                    <w:spacing w:line="240" w:lineRule="auto"/>
                    <w:jc w:val="center"/>
                    <w:rPr>
                      <w:rFonts w:hint="default" w:eastAsia="宋体"/>
                      <w:sz w:val="21"/>
                      <w:szCs w:val="21"/>
                      <w:lang w:val="en-US" w:eastAsia="zh-CN"/>
                    </w:rPr>
                  </w:pPr>
                  <w:r>
                    <w:rPr>
                      <w:rFonts w:hint="eastAsia"/>
                      <w:sz w:val="21"/>
                      <w:szCs w:val="21"/>
                      <w:lang w:val="en-US" w:eastAsia="zh-CN"/>
                    </w:rPr>
                    <w:t>捏合机（混料）</w:t>
                  </w:r>
                </w:p>
              </w:tc>
              <w:tc>
                <w:tcPr>
                  <w:tcW w:w="1048" w:type="dxa"/>
                  <w:tcBorders>
                    <w:top w:val="single" w:color="auto" w:sz="12" w:space="0"/>
                  </w:tcBorders>
                  <w:noWrap w:val="0"/>
                  <w:vAlign w:val="center"/>
                </w:tcPr>
                <w:p>
                  <w:pPr>
                    <w:snapToGrid w:val="0"/>
                    <w:spacing w:line="240" w:lineRule="auto"/>
                    <w:jc w:val="center"/>
                    <w:rPr>
                      <w:rFonts w:hint="eastAsia" w:eastAsia="宋体"/>
                      <w:sz w:val="21"/>
                      <w:szCs w:val="21"/>
                      <w:lang w:eastAsia="zh-CN"/>
                    </w:rPr>
                  </w:pPr>
                  <w:r>
                    <w:rPr>
                      <w:rFonts w:hint="eastAsia"/>
                      <w:sz w:val="21"/>
                      <w:szCs w:val="21"/>
                      <w:lang w:val="en-US" w:eastAsia="zh-CN"/>
                    </w:rPr>
                    <w:t>3</w:t>
                  </w:r>
                </w:p>
              </w:tc>
              <w:tc>
                <w:tcPr>
                  <w:tcW w:w="1325" w:type="dxa"/>
                  <w:tcBorders>
                    <w:top w:val="single" w:color="auto" w:sz="12" w:space="0"/>
                  </w:tcBorders>
                  <w:noWrap w:val="0"/>
                  <w:vAlign w:val="center"/>
                </w:tcPr>
                <w:p>
                  <w:pPr>
                    <w:snapToGrid w:val="0"/>
                    <w:spacing w:line="240" w:lineRule="auto"/>
                    <w:jc w:val="center"/>
                    <w:rPr>
                      <w:sz w:val="21"/>
                      <w:szCs w:val="21"/>
                    </w:rPr>
                  </w:pPr>
                  <w:r>
                    <w:rPr>
                      <w:sz w:val="21"/>
                      <w:szCs w:val="21"/>
                    </w:rPr>
                    <w:t>80</w:t>
                  </w:r>
                </w:p>
              </w:tc>
              <w:tc>
                <w:tcPr>
                  <w:tcW w:w="1697" w:type="dxa"/>
                  <w:tcBorders>
                    <w:top w:val="single" w:color="auto" w:sz="12" w:space="0"/>
                  </w:tcBorders>
                  <w:noWrap w:val="0"/>
                  <w:vAlign w:val="center"/>
                </w:tcPr>
                <w:p>
                  <w:pPr>
                    <w:snapToGrid w:val="0"/>
                    <w:spacing w:line="240" w:lineRule="auto"/>
                    <w:jc w:val="center"/>
                    <w:rPr>
                      <w:sz w:val="21"/>
                      <w:szCs w:val="21"/>
                    </w:rPr>
                  </w:pPr>
                  <w:r>
                    <w:rPr>
                      <w:sz w:val="21"/>
                      <w:szCs w:val="21"/>
                    </w:rPr>
                    <w:t>厂房隔声</w:t>
                  </w:r>
                </w:p>
              </w:tc>
              <w:tc>
                <w:tcPr>
                  <w:tcW w:w="1551" w:type="dxa"/>
                  <w:tcBorders>
                    <w:top w:val="single" w:color="auto" w:sz="12" w:space="0"/>
                  </w:tcBorders>
                  <w:noWrap w:val="0"/>
                  <w:vAlign w:val="center"/>
                </w:tcPr>
                <w:p>
                  <w:pPr>
                    <w:snapToGrid w:val="0"/>
                    <w:spacing w:line="240" w:lineRule="auto"/>
                    <w:jc w:val="center"/>
                    <w:rPr>
                      <w:sz w:val="21"/>
                      <w:szCs w:val="21"/>
                    </w:rPr>
                  </w:pPr>
                  <w:r>
                    <w:rPr>
                      <w:sz w:val="21"/>
                      <w:szCs w:val="21"/>
                    </w:rPr>
                    <w:t>30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685" w:type="dxa"/>
                  <w:noWrap w:val="0"/>
                  <w:vAlign w:val="center"/>
                </w:tcPr>
                <w:p>
                  <w:pPr>
                    <w:snapToGrid w:val="0"/>
                    <w:spacing w:line="240" w:lineRule="auto"/>
                    <w:jc w:val="center"/>
                    <w:rPr>
                      <w:sz w:val="21"/>
                      <w:szCs w:val="21"/>
                    </w:rPr>
                  </w:pPr>
                  <w:r>
                    <w:rPr>
                      <w:sz w:val="21"/>
                      <w:szCs w:val="21"/>
                    </w:rPr>
                    <w:t>2</w:t>
                  </w:r>
                </w:p>
              </w:tc>
              <w:tc>
                <w:tcPr>
                  <w:tcW w:w="3116" w:type="dxa"/>
                  <w:noWrap w:val="0"/>
                  <w:vAlign w:val="center"/>
                </w:tcPr>
                <w:p>
                  <w:pPr>
                    <w:snapToGrid w:val="0"/>
                    <w:spacing w:line="240" w:lineRule="auto"/>
                    <w:jc w:val="center"/>
                    <w:rPr>
                      <w:rFonts w:hint="eastAsia" w:eastAsia="宋体"/>
                      <w:sz w:val="21"/>
                      <w:szCs w:val="21"/>
                      <w:lang w:val="en-US" w:eastAsia="zh-CN"/>
                    </w:rPr>
                  </w:pPr>
                  <w:r>
                    <w:rPr>
                      <w:rFonts w:hint="eastAsia"/>
                      <w:sz w:val="21"/>
                      <w:szCs w:val="21"/>
                      <w:lang w:val="en-US" w:eastAsia="zh-CN"/>
                    </w:rPr>
                    <w:t>空压机</w:t>
                  </w:r>
                </w:p>
              </w:tc>
              <w:tc>
                <w:tcPr>
                  <w:tcW w:w="1048" w:type="dxa"/>
                  <w:noWrap w:val="0"/>
                  <w:vAlign w:val="center"/>
                </w:tcPr>
                <w:p>
                  <w:pPr>
                    <w:snapToGrid w:val="0"/>
                    <w:spacing w:line="240" w:lineRule="auto"/>
                    <w:jc w:val="center"/>
                    <w:rPr>
                      <w:rFonts w:hint="eastAsia" w:eastAsia="宋体"/>
                      <w:sz w:val="21"/>
                      <w:szCs w:val="21"/>
                      <w:lang w:eastAsia="zh-CN"/>
                    </w:rPr>
                  </w:pPr>
                  <w:r>
                    <w:rPr>
                      <w:rFonts w:hint="eastAsia"/>
                      <w:sz w:val="21"/>
                      <w:szCs w:val="21"/>
                      <w:lang w:val="en-US" w:eastAsia="zh-CN"/>
                    </w:rPr>
                    <w:t>1</w:t>
                  </w:r>
                </w:p>
              </w:tc>
              <w:tc>
                <w:tcPr>
                  <w:tcW w:w="1325" w:type="dxa"/>
                  <w:noWrap w:val="0"/>
                  <w:vAlign w:val="center"/>
                </w:tcPr>
                <w:p>
                  <w:pPr>
                    <w:snapToGrid w:val="0"/>
                    <w:spacing w:line="240" w:lineRule="auto"/>
                    <w:jc w:val="center"/>
                    <w:rPr>
                      <w:sz w:val="21"/>
                      <w:szCs w:val="21"/>
                    </w:rPr>
                  </w:pPr>
                  <w:r>
                    <w:rPr>
                      <w:sz w:val="21"/>
                      <w:szCs w:val="21"/>
                    </w:rPr>
                    <w:t>85</w:t>
                  </w:r>
                </w:p>
              </w:tc>
              <w:tc>
                <w:tcPr>
                  <w:tcW w:w="1697" w:type="dxa"/>
                  <w:noWrap w:val="0"/>
                  <w:vAlign w:val="center"/>
                </w:tcPr>
                <w:p>
                  <w:pPr>
                    <w:snapToGrid w:val="0"/>
                    <w:spacing w:line="240" w:lineRule="auto"/>
                    <w:jc w:val="center"/>
                    <w:rPr>
                      <w:sz w:val="21"/>
                      <w:szCs w:val="21"/>
                    </w:rPr>
                  </w:pPr>
                  <w:r>
                    <w:rPr>
                      <w:sz w:val="21"/>
                      <w:szCs w:val="21"/>
                    </w:rPr>
                    <w:t>厂房隔声</w:t>
                  </w:r>
                </w:p>
              </w:tc>
              <w:tc>
                <w:tcPr>
                  <w:tcW w:w="1551" w:type="dxa"/>
                  <w:noWrap w:val="0"/>
                  <w:vAlign w:val="center"/>
                </w:tcPr>
                <w:p>
                  <w:pPr>
                    <w:snapToGrid w:val="0"/>
                    <w:spacing w:line="240" w:lineRule="auto"/>
                    <w:jc w:val="center"/>
                    <w:rPr>
                      <w:sz w:val="21"/>
                      <w:szCs w:val="21"/>
                    </w:rPr>
                  </w:pPr>
                  <w:r>
                    <w:rPr>
                      <w:sz w:val="21"/>
                      <w:szCs w:val="21"/>
                    </w:rPr>
                    <w:t>35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685" w:type="dxa"/>
                  <w:tcBorders>
                    <w:bottom w:val="single" w:color="auto" w:sz="12" w:space="0"/>
                  </w:tcBorders>
                  <w:noWrap w:val="0"/>
                  <w:vAlign w:val="center"/>
                </w:tcPr>
                <w:p>
                  <w:pPr>
                    <w:snapToGrid w:val="0"/>
                    <w:spacing w:line="240" w:lineRule="auto"/>
                    <w:jc w:val="center"/>
                    <w:rPr>
                      <w:sz w:val="21"/>
                      <w:szCs w:val="21"/>
                    </w:rPr>
                  </w:pPr>
                  <w:r>
                    <w:rPr>
                      <w:sz w:val="21"/>
                      <w:szCs w:val="21"/>
                    </w:rPr>
                    <w:t>3</w:t>
                  </w:r>
                </w:p>
              </w:tc>
              <w:tc>
                <w:tcPr>
                  <w:tcW w:w="3116" w:type="dxa"/>
                  <w:tcBorders>
                    <w:bottom w:val="single" w:color="auto" w:sz="12" w:space="0"/>
                  </w:tcBorders>
                  <w:noWrap w:val="0"/>
                  <w:vAlign w:val="center"/>
                </w:tcPr>
                <w:p>
                  <w:pPr>
                    <w:widowControl/>
                    <w:spacing w:line="240" w:lineRule="auto"/>
                    <w:jc w:val="center"/>
                    <w:rPr>
                      <w:rFonts w:hint="eastAsia" w:eastAsia="宋体"/>
                      <w:sz w:val="21"/>
                      <w:szCs w:val="21"/>
                      <w:lang w:val="en-US" w:eastAsia="zh-CN"/>
                    </w:rPr>
                  </w:pPr>
                  <w:r>
                    <w:rPr>
                      <w:rFonts w:hint="eastAsia"/>
                      <w:sz w:val="21"/>
                      <w:szCs w:val="21"/>
                      <w:lang w:val="en-US" w:eastAsia="zh-CN"/>
                    </w:rPr>
                    <w:t>冷却塔</w:t>
                  </w:r>
                </w:p>
              </w:tc>
              <w:tc>
                <w:tcPr>
                  <w:tcW w:w="1048" w:type="dxa"/>
                  <w:tcBorders>
                    <w:bottom w:val="single" w:color="auto" w:sz="12" w:space="0"/>
                  </w:tcBorders>
                  <w:noWrap w:val="0"/>
                  <w:vAlign w:val="center"/>
                </w:tcPr>
                <w:p>
                  <w:pPr>
                    <w:snapToGrid w:val="0"/>
                    <w:spacing w:line="240" w:lineRule="auto"/>
                    <w:jc w:val="center"/>
                    <w:rPr>
                      <w:rFonts w:hint="eastAsia" w:eastAsia="宋体"/>
                      <w:sz w:val="21"/>
                      <w:szCs w:val="21"/>
                      <w:lang w:eastAsia="zh-CN"/>
                    </w:rPr>
                  </w:pPr>
                  <w:r>
                    <w:rPr>
                      <w:rFonts w:hint="eastAsia"/>
                      <w:sz w:val="21"/>
                      <w:szCs w:val="21"/>
                      <w:lang w:val="en-US" w:eastAsia="zh-CN"/>
                    </w:rPr>
                    <w:t>1</w:t>
                  </w:r>
                </w:p>
              </w:tc>
              <w:tc>
                <w:tcPr>
                  <w:tcW w:w="1325" w:type="dxa"/>
                  <w:tcBorders>
                    <w:bottom w:val="single" w:color="auto" w:sz="12" w:space="0"/>
                  </w:tcBorders>
                  <w:noWrap w:val="0"/>
                  <w:vAlign w:val="center"/>
                </w:tcPr>
                <w:p>
                  <w:pPr>
                    <w:snapToGrid w:val="0"/>
                    <w:spacing w:line="240" w:lineRule="auto"/>
                    <w:jc w:val="center"/>
                    <w:rPr>
                      <w:sz w:val="21"/>
                      <w:szCs w:val="21"/>
                    </w:rPr>
                  </w:pPr>
                  <w:r>
                    <w:rPr>
                      <w:sz w:val="21"/>
                      <w:szCs w:val="21"/>
                    </w:rPr>
                    <w:t>75</w:t>
                  </w:r>
                </w:p>
              </w:tc>
              <w:tc>
                <w:tcPr>
                  <w:tcW w:w="1697" w:type="dxa"/>
                  <w:tcBorders>
                    <w:bottom w:val="single" w:color="auto" w:sz="12" w:space="0"/>
                  </w:tcBorders>
                  <w:noWrap w:val="0"/>
                  <w:vAlign w:val="center"/>
                </w:tcPr>
                <w:p>
                  <w:pPr>
                    <w:snapToGrid w:val="0"/>
                    <w:spacing w:line="240" w:lineRule="auto"/>
                    <w:jc w:val="center"/>
                    <w:rPr>
                      <w:sz w:val="21"/>
                      <w:szCs w:val="21"/>
                    </w:rPr>
                  </w:pPr>
                  <w:r>
                    <w:rPr>
                      <w:sz w:val="21"/>
                      <w:szCs w:val="21"/>
                    </w:rPr>
                    <w:t>厂房隔声</w:t>
                  </w:r>
                </w:p>
              </w:tc>
              <w:tc>
                <w:tcPr>
                  <w:tcW w:w="1551" w:type="dxa"/>
                  <w:tcBorders>
                    <w:bottom w:val="single" w:color="auto" w:sz="12" w:space="0"/>
                  </w:tcBorders>
                  <w:noWrap w:val="0"/>
                  <w:vAlign w:val="center"/>
                </w:tcPr>
                <w:p>
                  <w:pPr>
                    <w:snapToGrid w:val="0"/>
                    <w:spacing w:line="240" w:lineRule="auto"/>
                    <w:jc w:val="center"/>
                    <w:rPr>
                      <w:sz w:val="21"/>
                      <w:szCs w:val="21"/>
                    </w:rPr>
                  </w:pPr>
                  <w:r>
                    <w:rPr>
                      <w:sz w:val="21"/>
                      <w:szCs w:val="21"/>
                    </w:rPr>
                    <w:t>25</w:t>
                  </w:r>
                </w:p>
              </w:tc>
            </w:tr>
          </w:tbl>
          <w:p>
            <w:pPr>
              <w:pStyle w:val="2"/>
              <w:ind w:firstLine="0" w:firstLineChars="0"/>
              <w:rPr>
                <w:b/>
                <w:bCs/>
              </w:rPr>
            </w:pPr>
            <w:r>
              <w:rPr>
                <w:b/>
                <w:bCs/>
              </w:rPr>
              <w:t>4、固废</w:t>
            </w:r>
          </w:p>
          <w:p>
            <w:pPr>
              <w:pStyle w:val="2"/>
              <w:ind w:firstLine="480"/>
            </w:pPr>
            <w:r>
              <w:t>本项目产生的固废包括：</w:t>
            </w:r>
            <w:r>
              <w:rPr>
                <w:rFonts w:hint="eastAsia"/>
                <w:lang w:val="en-US" w:eastAsia="zh-CN"/>
              </w:rPr>
              <w:t>不合格品，废包装、布袋收尘及失效活性炭</w:t>
            </w:r>
            <w:r>
              <w:t>。</w:t>
            </w:r>
          </w:p>
          <w:p>
            <w:pPr>
              <w:rPr>
                <w:rFonts w:hint="eastAsia"/>
                <w:lang w:val="en-US" w:eastAsia="zh-CN"/>
              </w:rPr>
            </w:pPr>
            <w:r>
              <w:rPr>
                <w:rFonts w:hint="eastAsia"/>
                <w:lang w:val="en-US" w:eastAsia="zh-CN"/>
              </w:rPr>
              <w:t>不合格品：为生产过程中的不合格塑料管材，直接回炉重造，重新加工。</w:t>
            </w:r>
          </w:p>
          <w:p>
            <w:pPr>
              <w:rPr>
                <w:rFonts w:hint="eastAsia"/>
                <w:lang w:val="en-US" w:eastAsia="zh-CN"/>
              </w:rPr>
            </w:pPr>
            <w:r>
              <w:rPr>
                <w:rFonts w:hint="eastAsia"/>
                <w:lang w:val="en-US" w:eastAsia="zh-CN"/>
              </w:rPr>
              <w:t>废包装：项目过程中，原辅材料的包装袋，由环卫部门一同处置。</w:t>
            </w:r>
          </w:p>
          <w:p>
            <w:pPr>
              <w:rPr>
                <w:rFonts w:hint="eastAsia"/>
                <w:lang w:val="en-US" w:eastAsia="zh-CN"/>
              </w:rPr>
            </w:pPr>
            <w:r>
              <w:rPr>
                <w:rFonts w:hint="eastAsia"/>
                <w:lang w:val="en-US" w:eastAsia="zh-CN"/>
              </w:rPr>
              <w:t>布袋收尘：对于收集的CaCO</w:t>
            </w:r>
            <w:r>
              <w:rPr>
                <w:rFonts w:hint="eastAsia"/>
                <w:vertAlign w:val="subscript"/>
                <w:lang w:val="en-US" w:eastAsia="zh-CN"/>
              </w:rPr>
              <w:t>3</w:t>
            </w:r>
            <w:r>
              <w:rPr>
                <w:rFonts w:hint="eastAsia"/>
                <w:lang w:val="en-US" w:eastAsia="zh-CN"/>
              </w:rPr>
              <w:t>粉尘，重新作为辅材进行使用。</w:t>
            </w:r>
          </w:p>
          <w:p>
            <w:pPr>
              <w:rPr>
                <w:rFonts w:hint="default"/>
                <w:lang w:val="en-US" w:eastAsia="zh-CN"/>
              </w:rPr>
            </w:pPr>
            <w:r>
              <w:rPr>
                <w:rFonts w:hint="eastAsia"/>
                <w:lang w:val="en-US" w:eastAsia="zh-CN"/>
              </w:rPr>
              <w:t>废活性炭：项目废气收集处理措施产生的废活性炭，作危危废，委托有资质单位处置。</w:t>
            </w:r>
          </w:p>
          <w:p>
            <w:pPr>
              <w:rPr>
                <w:rFonts w:hint="default"/>
                <w:lang w:val="en-US" w:eastAsia="zh-CN"/>
              </w:rPr>
            </w:pPr>
            <w:r>
              <w:rPr>
                <w:rFonts w:hint="eastAsia"/>
                <w:lang w:val="en-US" w:eastAsia="zh-CN"/>
              </w:rPr>
              <w:t>生活垃圾：本项目新增员工19人，年工作时间300天，按照每人每天产生1.05kg垃圾计算，年产生生活垃圾约6t。</w:t>
            </w:r>
          </w:p>
          <w:p>
            <w:pPr>
              <w:pStyle w:val="104"/>
              <w:spacing w:line="360" w:lineRule="auto"/>
              <w:rPr>
                <w:rFonts w:eastAsia="宋体"/>
                <w:b/>
                <w:sz w:val="21"/>
                <w:szCs w:val="21"/>
              </w:rPr>
            </w:pPr>
            <w:r>
              <w:rPr>
                <w:rFonts w:eastAsia="宋体"/>
                <w:b/>
                <w:sz w:val="21"/>
                <w:szCs w:val="21"/>
              </w:rPr>
              <w:t>表5-</w:t>
            </w:r>
            <w:r>
              <w:rPr>
                <w:rFonts w:hint="eastAsia" w:eastAsia="宋体"/>
                <w:b/>
                <w:sz w:val="21"/>
                <w:szCs w:val="21"/>
                <w:lang w:val="en-US" w:eastAsia="zh-CN"/>
              </w:rPr>
              <w:t xml:space="preserve">5 </w:t>
            </w:r>
            <w:r>
              <w:rPr>
                <w:rFonts w:eastAsia="宋体"/>
                <w:b/>
                <w:sz w:val="21"/>
                <w:szCs w:val="21"/>
              </w:rPr>
              <w:t>建设项目副产物产生情况汇总表</w:t>
            </w:r>
          </w:p>
          <w:tbl>
            <w:tblPr>
              <w:tblStyle w:val="2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365"/>
              <w:gridCol w:w="1121"/>
              <w:gridCol w:w="813"/>
              <w:gridCol w:w="1069"/>
              <w:gridCol w:w="997"/>
              <w:gridCol w:w="906"/>
              <w:gridCol w:w="757"/>
              <w:gridCol w:w="183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2" w:type="dxa"/>
                  <w:vMerge w:val="restart"/>
                  <w:tcBorders>
                    <w:top w:val="single" w:color="auto" w:sz="12" w:space="0"/>
                  </w:tcBorders>
                  <w:noWrap w:val="0"/>
                  <w:tcMar>
                    <w:left w:w="28" w:type="dxa"/>
                    <w:right w:w="28" w:type="dxa"/>
                  </w:tcMar>
                  <w:vAlign w:val="center"/>
                </w:tcPr>
                <w:p>
                  <w:pPr>
                    <w:spacing w:line="240" w:lineRule="auto"/>
                    <w:jc w:val="center"/>
                    <w:rPr>
                      <w:sz w:val="21"/>
                      <w:szCs w:val="21"/>
                    </w:rPr>
                  </w:pPr>
                  <w:r>
                    <w:rPr>
                      <w:sz w:val="21"/>
                      <w:szCs w:val="21"/>
                    </w:rPr>
                    <w:t>序号</w:t>
                  </w:r>
                </w:p>
              </w:tc>
              <w:tc>
                <w:tcPr>
                  <w:tcW w:w="1365" w:type="dxa"/>
                  <w:vMerge w:val="restart"/>
                  <w:tcBorders>
                    <w:top w:val="single" w:color="auto" w:sz="12" w:space="0"/>
                  </w:tcBorders>
                  <w:noWrap w:val="0"/>
                  <w:tcMar>
                    <w:left w:w="28" w:type="dxa"/>
                    <w:right w:w="28" w:type="dxa"/>
                  </w:tcMar>
                  <w:vAlign w:val="center"/>
                </w:tcPr>
                <w:p>
                  <w:pPr>
                    <w:spacing w:line="240" w:lineRule="auto"/>
                    <w:jc w:val="center"/>
                    <w:rPr>
                      <w:sz w:val="21"/>
                      <w:szCs w:val="21"/>
                    </w:rPr>
                  </w:pPr>
                  <w:r>
                    <w:rPr>
                      <w:sz w:val="21"/>
                      <w:szCs w:val="21"/>
                    </w:rPr>
                    <w:t>副产物名称</w:t>
                  </w:r>
                </w:p>
              </w:tc>
              <w:tc>
                <w:tcPr>
                  <w:tcW w:w="1121" w:type="dxa"/>
                  <w:vMerge w:val="restart"/>
                  <w:tcBorders>
                    <w:top w:val="single" w:color="auto" w:sz="12" w:space="0"/>
                  </w:tcBorders>
                  <w:noWrap w:val="0"/>
                  <w:tcMar>
                    <w:left w:w="28" w:type="dxa"/>
                    <w:right w:w="28" w:type="dxa"/>
                  </w:tcMar>
                  <w:vAlign w:val="center"/>
                </w:tcPr>
                <w:p>
                  <w:pPr>
                    <w:spacing w:line="240" w:lineRule="auto"/>
                    <w:jc w:val="center"/>
                    <w:rPr>
                      <w:sz w:val="21"/>
                      <w:szCs w:val="21"/>
                    </w:rPr>
                  </w:pPr>
                  <w:r>
                    <w:rPr>
                      <w:sz w:val="21"/>
                      <w:szCs w:val="21"/>
                    </w:rPr>
                    <w:t>产生工序</w:t>
                  </w:r>
                </w:p>
              </w:tc>
              <w:tc>
                <w:tcPr>
                  <w:tcW w:w="813" w:type="dxa"/>
                  <w:vMerge w:val="restart"/>
                  <w:tcBorders>
                    <w:top w:val="single" w:color="auto" w:sz="12" w:space="0"/>
                  </w:tcBorders>
                  <w:noWrap w:val="0"/>
                  <w:tcMar>
                    <w:left w:w="28" w:type="dxa"/>
                    <w:right w:w="28" w:type="dxa"/>
                  </w:tcMar>
                  <w:vAlign w:val="center"/>
                </w:tcPr>
                <w:p>
                  <w:pPr>
                    <w:spacing w:line="240" w:lineRule="auto"/>
                    <w:jc w:val="center"/>
                    <w:rPr>
                      <w:sz w:val="21"/>
                      <w:szCs w:val="21"/>
                    </w:rPr>
                  </w:pPr>
                  <w:r>
                    <w:rPr>
                      <w:sz w:val="21"/>
                      <w:szCs w:val="21"/>
                    </w:rPr>
                    <w:t>形态</w:t>
                  </w:r>
                </w:p>
              </w:tc>
              <w:tc>
                <w:tcPr>
                  <w:tcW w:w="1069" w:type="dxa"/>
                  <w:vMerge w:val="restart"/>
                  <w:tcBorders>
                    <w:top w:val="single" w:color="auto" w:sz="12" w:space="0"/>
                  </w:tcBorders>
                  <w:noWrap w:val="0"/>
                  <w:tcMar>
                    <w:left w:w="28" w:type="dxa"/>
                    <w:right w:w="28" w:type="dxa"/>
                  </w:tcMar>
                  <w:vAlign w:val="center"/>
                </w:tcPr>
                <w:p>
                  <w:pPr>
                    <w:spacing w:line="240" w:lineRule="auto"/>
                    <w:jc w:val="center"/>
                    <w:rPr>
                      <w:sz w:val="21"/>
                      <w:szCs w:val="21"/>
                    </w:rPr>
                  </w:pPr>
                  <w:r>
                    <w:rPr>
                      <w:sz w:val="21"/>
                      <w:szCs w:val="21"/>
                    </w:rPr>
                    <w:t>主要成分</w:t>
                  </w:r>
                </w:p>
              </w:tc>
              <w:tc>
                <w:tcPr>
                  <w:tcW w:w="997" w:type="dxa"/>
                  <w:vMerge w:val="restart"/>
                  <w:tcBorders>
                    <w:top w:val="single" w:color="auto" w:sz="12" w:space="0"/>
                  </w:tcBorders>
                  <w:noWrap w:val="0"/>
                  <w:tcMar>
                    <w:left w:w="28" w:type="dxa"/>
                    <w:right w:w="28" w:type="dxa"/>
                  </w:tcMar>
                  <w:vAlign w:val="center"/>
                </w:tcPr>
                <w:p>
                  <w:pPr>
                    <w:spacing w:line="240" w:lineRule="auto"/>
                    <w:jc w:val="center"/>
                    <w:rPr>
                      <w:sz w:val="21"/>
                      <w:szCs w:val="21"/>
                    </w:rPr>
                  </w:pPr>
                  <w:r>
                    <w:rPr>
                      <w:sz w:val="21"/>
                      <w:szCs w:val="21"/>
                    </w:rPr>
                    <w:t>预测产生量（t/a）</w:t>
                  </w:r>
                </w:p>
              </w:tc>
              <w:tc>
                <w:tcPr>
                  <w:tcW w:w="3495" w:type="dxa"/>
                  <w:gridSpan w:val="3"/>
                  <w:tcBorders>
                    <w:top w:val="single" w:color="auto" w:sz="12" w:space="0"/>
                  </w:tcBorders>
                  <w:noWrap w:val="0"/>
                  <w:tcMar>
                    <w:left w:w="28" w:type="dxa"/>
                    <w:right w:w="28" w:type="dxa"/>
                  </w:tcMar>
                  <w:vAlign w:val="center"/>
                </w:tcPr>
                <w:p>
                  <w:pPr>
                    <w:spacing w:line="240" w:lineRule="auto"/>
                    <w:jc w:val="center"/>
                    <w:rPr>
                      <w:sz w:val="21"/>
                      <w:szCs w:val="21"/>
                    </w:rPr>
                  </w:pPr>
                  <w:r>
                    <w:rPr>
                      <w:sz w:val="21"/>
                      <w:szCs w:val="21"/>
                    </w:rPr>
                    <w:t>种类判断*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2" w:type="dxa"/>
                  <w:vMerge w:val="continue"/>
                  <w:tcBorders>
                    <w:bottom w:val="single" w:color="auto" w:sz="12" w:space="0"/>
                  </w:tcBorders>
                  <w:noWrap w:val="0"/>
                  <w:tcMar>
                    <w:left w:w="28" w:type="dxa"/>
                    <w:right w:w="28" w:type="dxa"/>
                  </w:tcMar>
                  <w:vAlign w:val="center"/>
                </w:tcPr>
                <w:p>
                  <w:pPr>
                    <w:spacing w:line="240" w:lineRule="auto"/>
                    <w:jc w:val="center"/>
                    <w:rPr>
                      <w:sz w:val="21"/>
                      <w:szCs w:val="21"/>
                    </w:rPr>
                  </w:pPr>
                </w:p>
              </w:tc>
              <w:tc>
                <w:tcPr>
                  <w:tcW w:w="1365" w:type="dxa"/>
                  <w:vMerge w:val="continue"/>
                  <w:tcBorders>
                    <w:bottom w:val="single" w:color="auto" w:sz="12" w:space="0"/>
                  </w:tcBorders>
                  <w:noWrap w:val="0"/>
                  <w:tcMar>
                    <w:left w:w="28" w:type="dxa"/>
                    <w:right w:w="28" w:type="dxa"/>
                  </w:tcMar>
                  <w:vAlign w:val="center"/>
                </w:tcPr>
                <w:p>
                  <w:pPr>
                    <w:spacing w:line="240" w:lineRule="auto"/>
                    <w:jc w:val="center"/>
                    <w:rPr>
                      <w:sz w:val="21"/>
                      <w:szCs w:val="21"/>
                    </w:rPr>
                  </w:pPr>
                </w:p>
              </w:tc>
              <w:tc>
                <w:tcPr>
                  <w:tcW w:w="1121" w:type="dxa"/>
                  <w:vMerge w:val="continue"/>
                  <w:tcBorders>
                    <w:bottom w:val="single" w:color="auto" w:sz="12" w:space="0"/>
                  </w:tcBorders>
                  <w:noWrap w:val="0"/>
                  <w:tcMar>
                    <w:left w:w="28" w:type="dxa"/>
                    <w:right w:w="28" w:type="dxa"/>
                  </w:tcMar>
                  <w:vAlign w:val="center"/>
                </w:tcPr>
                <w:p>
                  <w:pPr>
                    <w:spacing w:line="240" w:lineRule="auto"/>
                    <w:jc w:val="center"/>
                    <w:rPr>
                      <w:sz w:val="21"/>
                      <w:szCs w:val="21"/>
                    </w:rPr>
                  </w:pPr>
                </w:p>
              </w:tc>
              <w:tc>
                <w:tcPr>
                  <w:tcW w:w="813" w:type="dxa"/>
                  <w:vMerge w:val="continue"/>
                  <w:tcBorders>
                    <w:bottom w:val="single" w:color="auto" w:sz="12" w:space="0"/>
                  </w:tcBorders>
                  <w:noWrap w:val="0"/>
                  <w:tcMar>
                    <w:left w:w="28" w:type="dxa"/>
                    <w:right w:w="28" w:type="dxa"/>
                  </w:tcMar>
                  <w:vAlign w:val="center"/>
                </w:tcPr>
                <w:p>
                  <w:pPr>
                    <w:spacing w:line="240" w:lineRule="auto"/>
                    <w:jc w:val="center"/>
                    <w:rPr>
                      <w:sz w:val="21"/>
                      <w:szCs w:val="21"/>
                    </w:rPr>
                  </w:pPr>
                </w:p>
              </w:tc>
              <w:tc>
                <w:tcPr>
                  <w:tcW w:w="1069" w:type="dxa"/>
                  <w:vMerge w:val="continue"/>
                  <w:tcBorders>
                    <w:bottom w:val="single" w:color="auto" w:sz="12" w:space="0"/>
                  </w:tcBorders>
                  <w:noWrap w:val="0"/>
                  <w:tcMar>
                    <w:left w:w="28" w:type="dxa"/>
                    <w:right w:w="28" w:type="dxa"/>
                  </w:tcMar>
                  <w:vAlign w:val="center"/>
                </w:tcPr>
                <w:p>
                  <w:pPr>
                    <w:spacing w:line="240" w:lineRule="auto"/>
                    <w:jc w:val="center"/>
                    <w:rPr>
                      <w:sz w:val="21"/>
                      <w:szCs w:val="21"/>
                    </w:rPr>
                  </w:pPr>
                </w:p>
              </w:tc>
              <w:tc>
                <w:tcPr>
                  <w:tcW w:w="997" w:type="dxa"/>
                  <w:vMerge w:val="continue"/>
                  <w:tcBorders>
                    <w:bottom w:val="single" w:color="auto" w:sz="12" w:space="0"/>
                  </w:tcBorders>
                  <w:noWrap w:val="0"/>
                  <w:tcMar>
                    <w:left w:w="28" w:type="dxa"/>
                    <w:right w:w="28" w:type="dxa"/>
                  </w:tcMar>
                  <w:vAlign w:val="center"/>
                </w:tcPr>
                <w:p>
                  <w:pPr>
                    <w:spacing w:line="240" w:lineRule="auto"/>
                    <w:jc w:val="center"/>
                    <w:rPr>
                      <w:sz w:val="21"/>
                      <w:szCs w:val="21"/>
                    </w:rPr>
                  </w:pPr>
                </w:p>
              </w:tc>
              <w:tc>
                <w:tcPr>
                  <w:tcW w:w="906" w:type="dxa"/>
                  <w:tcBorders>
                    <w:bottom w:val="single" w:color="auto" w:sz="12" w:space="0"/>
                  </w:tcBorders>
                  <w:noWrap w:val="0"/>
                  <w:tcMar>
                    <w:left w:w="28" w:type="dxa"/>
                    <w:right w:w="28" w:type="dxa"/>
                  </w:tcMar>
                  <w:vAlign w:val="center"/>
                </w:tcPr>
                <w:p>
                  <w:pPr>
                    <w:spacing w:line="240" w:lineRule="auto"/>
                    <w:jc w:val="center"/>
                    <w:rPr>
                      <w:sz w:val="21"/>
                      <w:szCs w:val="21"/>
                    </w:rPr>
                  </w:pPr>
                  <w:r>
                    <w:rPr>
                      <w:sz w:val="21"/>
                      <w:szCs w:val="21"/>
                    </w:rPr>
                    <w:t>固体废物</w:t>
                  </w:r>
                </w:p>
              </w:tc>
              <w:tc>
                <w:tcPr>
                  <w:tcW w:w="757" w:type="dxa"/>
                  <w:tcBorders>
                    <w:bottom w:val="single" w:color="auto" w:sz="12" w:space="0"/>
                  </w:tcBorders>
                  <w:noWrap w:val="0"/>
                  <w:tcMar>
                    <w:left w:w="28" w:type="dxa"/>
                    <w:right w:w="28" w:type="dxa"/>
                  </w:tcMar>
                  <w:vAlign w:val="center"/>
                </w:tcPr>
                <w:p>
                  <w:pPr>
                    <w:spacing w:line="240" w:lineRule="auto"/>
                    <w:jc w:val="center"/>
                    <w:rPr>
                      <w:sz w:val="21"/>
                      <w:szCs w:val="21"/>
                    </w:rPr>
                  </w:pPr>
                  <w:r>
                    <w:rPr>
                      <w:sz w:val="21"/>
                      <w:szCs w:val="21"/>
                    </w:rPr>
                    <w:t>副产品</w:t>
                  </w:r>
                </w:p>
              </w:tc>
              <w:tc>
                <w:tcPr>
                  <w:tcW w:w="1832" w:type="dxa"/>
                  <w:tcBorders>
                    <w:bottom w:val="single" w:color="auto" w:sz="12" w:space="0"/>
                  </w:tcBorders>
                  <w:noWrap w:val="0"/>
                  <w:tcMar>
                    <w:left w:w="28" w:type="dxa"/>
                    <w:right w:w="28" w:type="dxa"/>
                  </w:tcMar>
                  <w:vAlign w:val="center"/>
                </w:tcPr>
                <w:p>
                  <w:pPr>
                    <w:spacing w:line="240" w:lineRule="auto"/>
                    <w:jc w:val="center"/>
                    <w:rPr>
                      <w:sz w:val="21"/>
                      <w:szCs w:val="21"/>
                    </w:rPr>
                  </w:pPr>
                  <w:r>
                    <w:rPr>
                      <w:sz w:val="21"/>
                      <w:szCs w:val="21"/>
                    </w:rPr>
                    <w:t>判定依据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2" w:type="dxa"/>
                  <w:tcBorders>
                    <w:top w:val="single" w:color="auto" w:sz="12" w:space="0"/>
                  </w:tcBorders>
                  <w:noWrap w:val="0"/>
                  <w:tcMar>
                    <w:left w:w="28" w:type="dxa"/>
                    <w:right w:w="28" w:type="dxa"/>
                  </w:tcMar>
                  <w:vAlign w:val="center"/>
                </w:tcPr>
                <w:p>
                  <w:pPr>
                    <w:spacing w:line="240" w:lineRule="auto"/>
                    <w:jc w:val="center"/>
                    <w:rPr>
                      <w:sz w:val="21"/>
                      <w:szCs w:val="21"/>
                    </w:rPr>
                  </w:pPr>
                  <w:r>
                    <w:rPr>
                      <w:sz w:val="21"/>
                      <w:szCs w:val="21"/>
                    </w:rPr>
                    <w:t>1</w:t>
                  </w:r>
                </w:p>
              </w:tc>
              <w:tc>
                <w:tcPr>
                  <w:tcW w:w="1365" w:type="dxa"/>
                  <w:tcBorders>
                    <w:top w:val="single" w:color="auto" w:sz="12" w:space="0"/>
                  </w:tcBorders>
                  <w:noWrap w:val="0"/>
                  <w:tcMar>
                    <w:left w:w="28" w:type="dxa"/>
                    <w:right w:w="28" w:type="dxa"/>
                  </w:tcMar>
                  <w:vAlign w:val="center"/>
                </w:tcPr>
                <w:p>
                  <w:pPr>
                    <w:snapToGrid w:val="0"/>
                    <w:spacing w:line="240" w:lineRule="auto"/>
                    <w:jc w:val="center"/>
                    <w:rPr>
                      <w:sz w:val="21"/>
                      <w:szCs w:val="21"/>
                    </w:rPr>
                  </w:pPr>
                  <w:r>
                    <w:rPr>
                      <w:rFonts w:hint="eastAsia"/>
                      <w:sz w:val="21"/>
                      <w:szCs w:val="21"/>
                      <w:lang w:val="en-US" w:eastAsia="zh-CN"/>
                    </w:rPr>
                    <w:t>不合格品</w:t>
                  </w:r>
                </w:p>
              </w:tc>
              <w:tc>
                <w:tcPr>
                  <w:tcW w:w="1121" w:type="dxa"/>
                  <w:tcBorders>
                    <w:top w:val="single" w:color="auto" w:sz="12" w:space="0"/>
                  </w:tcBorders>
                  <w:noWrap w:val="0"/>
                  <w:tcMar>
                    <w:left w:w="28" w:type="dxa"/>
                    <w:right w:w="28" w:type="dxa"/>
                  </w:tcMar>
                  <w:vAlign w:val="center"/>
                </w:tcPr>
                <w:p>
                  <w:pPr>
                    <w:snapToGrid w:val="0"/>
                    <w:spacing w:line="240" w:lineRule="auto"/>
                    <w:jc w:val="center"/>
                    <w:rPr>
                      <w:rFonts w:hint="default" w:eastAsia="宋体"/>
                      <w:sz w:val="21"/>
                      <w:szCs w:val="21"/>
                      <w:lang w:val="en-US" w:eastAsia="zh-CN"/>
                    </w:rPr>
                  </w:pPr>
                  <w:r>
                    <w:rPr>
                      <w:rFonts w:hint="eastAsia"/>
                      <w:sz w:val="21"/>
                      <w:szCs w:val="21"/>
                      <w:lang w:val="en-US" w:eastAsia="zh-CN"/>
                    </w:rPr>
                    <w:t>检验</w:t>
                  </w:r>
                </w:p>
              </w:tc>
              <w:tc>
                <w:tcPr>
                  <w:tcW w:w="813" w:type="dxa"/>
                  <w:tcBorders>
                    <w:top w:val="single" w:color="auto" w:sz="12" w:space="0"/>
                  </w:tcBorders>
                  <w:noWrap w:val="0"/>
                  <w:tcMar>
                    <w:left w:w="28" w:type="dxa"/>
                    <w:right w:w="28" w:type="dxa"/>
                  </w:tcMar>
                  <w:vAlign w:val="center"/>
                </w:tcPr>
                <w:p>
                  <w:pPr>
                    <w:snapToGrid w:val="0"/>
                    <w:spacing w:line="240" w:lineRule="auto"/>
                    <w:jc w:val="center"/>
                    <w:rPr>
                      <w:rFonts w:hint="eastAsia" w:eastAsia="宋体"/>
                      <w:sz w:val="21"/>
                      <w:szCs w:val="21"/>
                      <w:lang w:val="en-US" w:eastAsia="zh-CN"/>
                    </w:rPr>
                  </w:pPr>
                  <w:r>
                    <w:rPr>
                      <w:rFonts w:hint="eastAsia"/>
                      <w:sz w:val="21"/>
                      <w:szCs w:val="21"/>
                      <w:lang w:val="en-US" w:eastAsia="zh-CN"/>
                    </w:rPr>
                    <w:t>固态</w:t>
                  </w:r>
                </w:p>
              </w:tc>
              <w:tc>
                <w:tcPr>
                  <w:tcW w:w="1069" w:type="dxa"/>
                  <w:tcBorders>
                    <w:top w:val="single" w:color="auto" w:sz="12" w:space="0"/>
                  </w:tcBorders>
                  <w:noWrap w:val="0"/>
                  <w:tcMar>
                    <w:left w:w="28" w:type="dxa"/>
                    <w:right w:w="28" w:type="dxa"/>
                  </w:tcMar>
                  <w:vAlign w:val="center"/>
                </w:tcPr>
                <w:p>
                  <w:pPr>
                    <w:spacing w:line="240" w:lineRule="auto"/>
                    <w:jc w:val="center"/>
                    <w:rPr>
                      <w:rFonts w:hint="eastAsia" w:eastAsia="宋体"/>
                      <w:sz w:val="21"/>
                      <w:szCs w:val="21"/>
                      <w:lang w:val="en-US" w:eastAsia="zh-CN"/>
                    </w:rPr>
                  </w:pPr>
                  <w:r>
                    <w:rPr>
                      <w:rFonts w:hint="eastAsia"/>
                      <w:sz w:val="21"/>
                      <w:szCs w:val="21"/>
                      <w:lang w:val="en-US" w:eastAsia="zh-CN"/>
                    </w:rPr>
                    <w:t>塑料</w:t>
                  </w:r>
                </w:p>
              </w:tc>
              <w:tc>
                <w:tcPr>
                  <w:tcW w:w="997" w:type="dxa"/>
                  <w:tcBorders>
                    <w:top w:val="single" w:color="auto" w:sz="12" w:space="0"/>
                  </w:tcBorders>
                  <w:noWrap w:val="0"/>
                  <w:tcMar>
                    <w:left w:w="28" w:type="dxa"/>
                    <w:right w:w="28" w:type="dxa"/>
                  </w:tcMar>
                  <w:vAlign w:val="center"/>
                </w:tcPr>
                <w:p>
                  <w:pPr>
                    <w:widowControl/>
                    <w:spacing w:line="240" w:lineRule="auto"/>
                    <w:jc w:val="center"/>
                    <w:textAlignment w:val="center"/>
                    <w:rPr>
                      <w:rFonts w:hint="default" w:eastAsia="宋体"/>
                      <w:sz w:val="21"/>
                      <w:szCs w:val="21"/>
                      <w:lang w:val="en-US" w:eastAsia="zh-CN"/>
                    </w:rPr>
                  </w:pPr>
                  <w:r>
                    <w:rPr>
                      <w:rFonts w:hint="eastAsia"/>
                      <w:sz w:val="21"/>
                      <w:szCs w:val="21"/>
                      <w:lang w:val="en-US" w:eastAsia="zh-CN"/>
                    </w:rPr>
                    <w:t>0.3</w:t>
                  </w:r>
                </w:p>
              </w:tc>
              <w:tc>
                <w:tcPr>
                  <w:tcW w:w="906" w:type="dxa"/>
                  <w:tcBorders>
                    <w:top w:val="single" w:color="auto" w:sz="12" w:space="0"/>
                  </w:tcBorders>
                  <w:noWrap w:val="0"/>
                  <w:tcMar>
                    <w:left w:w="28" w:type="dxa"/>
                    <w:right w:w="28" w:type="dxa"/>
                  </w:tcMar>
                  <w:vAlign w:val="center"/>
                </w:tcPr>
                <w:p>
                  <w:pPr>
                    <w:snapToGrid w:val="0"/>
                    <w:spacing w:line="240" w:lineRule="auto"/>
                    <w:jc w:val="center"/>
                    <w:rPr>
                      <w:rFonts w:hint="eastAsia" w:eastAsia="宋体"/>
                      <w:sz w:val="21"/>
                      <w:szCs w:val="21"/>
                      <w:lang w:val="en-US" w:eastAsia="zh-CN"/>
                    </w:rPr>
                  </w:pPr>
                  <w:r>
                    <w:rPr>
                      <w:rFonts w:hint="eastAsia"/>
                      <w:sz w:val="21"/>
                      <w:szCs w:val="21"/>
                      <w:lang w:val="en-US" w:eastAsia="zh-CN"/>
                    </w:rPr>
                    <w:t>✔</w:t>
                  </w:r>
                </w:p>
              </w:tc>
              <w:tc>
                <w:tcPr>
                  <w:tcW w:w="757" w:type="dxa"/>
                  <w:tcBorders>
                    <w:top w:val="single" w:color="auto" w:sz="12" w:space="0"/>
                  </w:tcBorders>
                  <w:noWrap w:val="0"/>
                  <w:tcMar>
                    <w:left w:w="28" w:type="dxa"/>
                    <w:right w:w="28" w:type="dxa"/>
                  </w:tcMar>
                  <w:vAlign w:val="center"/>
                </w:tcPr>
                <w:p>
                  <w:pPr>
                    <w:spacing w:line="240" w:lineRule="auto"/>
                    <w:jc w:val="center"/>
                    <w:rPr>
                      <w:sz w:val="21"/>
                      <w:szCs w:val="21"/>
                    </w:rPr>
                  </w:pPr>
                </w:p>
              </w:tc>
              <w:tc>
                <w:tcPr>
                  <w:tcW w:w="1832" w:type="dxa"/>
                  <w:vMerge w:val="restart"/>
                  <w:tcBorders>
                    <w:top w:val="single" w:color="auto" w:sz="12" w:space="0"/>
                  </w:tcBorders>
                  <w:noWrap w:val="0"/>
                  <w:tcMar>
                    <w:left w:w="28" w:type="dxa"/>
                    <w:right w:w="28" w:type="dxa"/>
                  </w:tcMar>
                  <w:vAlign w:val="center"/>
                </w:tcPr>
                <w:p>
                  <w:pPr>
                    <w:spacing w:line="240" w:lineRule="auto"/>
                    <w:jc w:val="center"/>
                    <w:rPr>
                      <w:sz w:val="21"/>
                      <w:szCs w:val="21"/>
                    </w:rPr>
                  </w:pPr>
                  <w:r>
                    <w:rPr>
                      <w:sz w:val="21"/>
                      <w:szCs w:val="21"/>
                    </w:rPr>
                    <w:t>《</w:t>
                  </w:r>
                  <w:r>
                    <w:rPr>
                      <w:rFonts w:hint="eastAsia"/>
                      <w:sz w:val="21"/>
                      <w:szCs w:val="21"/>
                      <w:lang w:val="en-US" w:eastAsia="zh-CN"/>
                    </w:rPr>
                    <w:t>国家危险废物名录</w:t>
                  </w:r>
                  <w:r>
                    <w:rPr>
                      <w:sz w:val="21"/>
                      <w:szCs w:val="21"/>
                    </w:rPr>
                    <w:t>》（</w:t>
                  </w:r>
                  <w:r>
                    <w:rPr>
                      <w:rFonts w:hint="eastAsia"/>
                      <w:sz w:val="21"/>
                      <w:szCs w:val="21"/>
                      <w:lang w:val="en-US" w:eastAsia="zh-CN"/>
                    </w:rPr>
                    <w:t>2021年</w:t>
                  </w:r>
                  <w:r>
                    <w:rPr>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2" w:type="dxa"/>
                  <w:noWrap w:val="0"/>
                  <w:tcMar>
                    <w:left w:w="28" w:type="dxa"/>
                    <w:right w:w="28" w:type="dxa"/>
                  </w:tcMar>
                  <w:vAlign w:val="center"/>
                </w:tcPr>
                <w:p>
                  <w:pPr>
                    <w:spacing w:line="240" w:lineRule="auto"/>
                    <w:jc w:val="center"/>
                    <w:rPr>
                      <w:sz w:val="21"/>
                      <w:szCs w:val="21"/>
                    </w:rPr>
                  </w:pPr>
                  <w:r>
                    <w:rPr>
                      <w:sz w:val="21"/>
                      <w:szCs w:val="21"/>
                    </w:rPr>
                    <w:t>2</w:t>
                  </w:r>
                </w:p>
              </w:tc>
              <w:tc>
                <w:tcPr>
                  <w:tcW w:w="1365" w:type="dxa"/>
                  <w:noWrap w:val="0"/>
                  <w:tcMar>
                    <w:left w:w="28" w:type="dxa"/>
                    <w:right w:w="28" w:type="dxa"/>
                  </w:tcMar>
                  <w:vAlign w:val="center"/>
                </w:tcPr>
                <w:p>
                  <w:pPr>
                    <w:snapToGrid w:val="0"/>
                    <w:spacing w:line="240" w:lineRule="auto"/>
                    <w:jc w:val="center"/>
                    <w:rPr>
                      <w:sz w:val="21"/>
                      <w:szCs w:val="21"/>
                    </w:rPr>
                  </w:pPr>
                  <w:r>
                    <w:rPr>
                      <w:rFonts w:hint="eastAsia"/>
                      <w:sz w:val="21"/>
                      <w:szCs w:val="21"/>
                      <w:lang w:val="en-US" w:eastAsia="zh-CN"/>
                    </w:rPr>
                    <w:t>废包装</w:t>
                  </w:r>
                </w:p>
              </w:tc>
              <w:tc>
                <w:tcPr>
                  <w:tcW w:w="1121" w:type="dxa"/>
                  <w:noWrap w:val="0"/>
                  <w:tcMar>
                    <w:left w:w="28" w:type="dxa"/>
                    <w:right w:w="28" w:type="dxa"/>
                  </w:tcMar>
                  <w:vAlign w:val="center"/>
                </w:tcPr>
                <w:p>
                  <w:pPr>
                    <w:snapToGrid w:val="0"/>
                    <w:spacing w:line="240" w:lineRule="auto"/>
                    <w:jc w:val="center"/>
                    <w:rPr>
                      <w:rFonts w:hint="default" w:eastAsia="宋体"/>
                      <w:sz w:val="21"/>
                      <w:szCs w:val="21"/>
                      <w:lang w:val="en-US" w:eastAsia="zh-CN"/>
                    </w:rPr>
                  </w:pPr>
                  <w:r>
                    <w:rPr>
                      <w:rFonts w:hint="eastAsia"/>
                      <w:sz w:val="21"/>
                      <w:szCs w:val="21"/>
                      <w:lang w:val="en-US" w:eastAsia="zh-CN"/>
                    </w:rPr>
                    <w:t>入库</w:t>
                  </w:r>
                </w:p>
              </w:tc>
              <w:tc>
                <w:tcPr>
                  <w:tcW w:w="813" w:type="dxa"/>
                  <w:noWrap w:val="0"/>
                  <w:tcMar>
                    <w:left w:w="28" w:type="dxa"/>
                    <w:right w:w="28" w:type="dxa"/>
                  </w:tcMar>
                  <w:vAlign w:val="center"/>
                </w:tcPr>
                <w:p>
                  <w:pPr>
                    <w:snapToGrid w:val="0"/>
                    <w:spacing w:line="240" w:lineRule="auto"/>
                    <w:jc w:val="center"/>
                    <w:rPr>
                      <w:rFonts w:hint="eastAsia" w:eastAsia="宋体"/>
                      <w:sz w:val="21"/>
                      <w:szCs w:val="21"/>
                      <w:lang w:val="en-US" w:eastAsia="zh-CN"/>
                    </w:rPr>
                  </w:pPr>
                  <w:r>
                    <w:rPr>
                      <w:rFonts w:hint="eastAsia"/>
                      <w:sz w:val="21"/>
                      <w:szCs w:val="21"/>
                      <w:lang w:val="en-US" w:eastAsia="zh-CN"/>
                    </w:rPr>
                    <w:t>固态</w:t>
                  </w:r>
                </w:p>
              </w:tc>
              <w:tc>
                <w:tcPr>
                  <w:tcW w:w="1069" w:type="dxa"/>
                  <w:noWrap w:val="0"/>
                  <w:tcMar>
                    <w:left w:w="28" w:type="dxa"/>
                    <w:right w:w="28" w:type="dxa"/>
                  </w:tcMar>
                  <w:vAlign w:val="center"/>
                </w:tcPr>
                <w:p>
                  <w:pPr>
                    <w:spacing w:line="240" w:lineRule="auto"/>
                    <w:jc w:val="center"/>
                    <w:rPr>
                      <w:rFonts w:hint="eastAsia" w:eastAsia="宋体"/>
                      <w:sz w:val="21"/>
                      <w:szCs w:val="21"/>
                      <w:lang w:val="en-US" w:eastAsia="zh-CN"/>
                    </w:rPr>
                  </w:pPr>
                  <w:r>
                    <w:rPr>
                      <w:rFonts w:hint="eastAsia"/>
                      <w:sz w:val="21"/>
                      <w:szCs w:val="21"/>
                      <w:lang w:val="en-US" w:eastAsia="zh-CN"/>
                    </w:rPr>
                    <w:t>塑料</w:t>
                  </w:r>
                </w:p>
              </w:tc>
              <w:tc>
                <w:tcPr>
                  <w:tcW w:w="997" w:type="dxa"/>
                  <w:noWrap w:val="0"/>
                  <w:tcMar>
                    <w:left w:w="28" w:type="dxa"/>
                    <w:right w:w="28" w:type="dxa"/>
                  </w:tcMar>
                  <w:vAlign w:val="center"/>
                </w:tcPr>
                <w:p>
                  <w:pPr>
                    <w:widowControl/>
                    <w:spacing w:line="240" w:lineRule="auto"/>
                    <w:jc w:val="center"/>
                    <w:textAlignment w:val="center"/>
                    <w:rPr>
                      <w:rFonts w:hint="default" w:eastAsia="宋体"/>
                      <w:sz w:val="21"/>
                      <w:szCs w:val="21"/>
                      <w:lang w:val="en-US" w:eastAsia="zh-CN"/>
                    </w:rPr>
                  </w:pPr>
                  <w:r>
                    <w:rPr>
                      <w:rFonts w:hint="eastAsia"/>
                      <w:sz w:val="21"/>
                      <w:szCs w:val="21"/>
                      <w:lang w:val="en-US" w:eastAsia="zh-CN"/>
                    </w:rPr>
                    <w:t>3</w:t>
                  </w:r>
                </w:p>
              </w:tc>
              <w:tc>
                <w:tcPr>
                  <w:tcW w:w="906" w:type="dxa"/>
                  <w:noWrap w:val="0"/>
                  <w:tcMar>
                    <w:left w:w="28" w:type="dxa"/>
                    <w:right w:w="28" w:type="dxa"/>
                  </w:tcMar>
                  <w:vAlign w:val="center"/>
                </w:tcPr>
                <w:p>
                  <w:pPr>
                    <w:snapToGrid w:val="0"/>
                    <w:spacing w:line="240" w:lineRule="auto"/>
                    <w:jc w:val="center"/>
                    <w:rPr>
                      <w:sz w:val="21"/>
                      <w:szCs w:val="21"/>
                    </w:rPr>
                  </w:pPr>
                  <w:r>
                    <w:rPr>
                      <w:rFonts w:hint="eastAsia"/>
                      <w:sz w:val="21"/>
                      <w:szCs w:val="21"/>
                      <w:lang w:val="en-US" w:eastAsia="zh-CN"/>
                    </w:rPr>
                    <w:t>✔</w:t>
                  </w:r>
                </w:p>
              </w:tc>
              <w:tc>
                <w:tcPr>
                  <w:tcW w:w="757" w:type="dxa"/>
                  <w:noWrap w:val="0"/>
                  <w:tcMar>
                    <w:left w:w="28" w:type="dxa"/>
                    <w:right w:w="28" w:type="dxa"/>
                  </w:tcMar>
                  <w:vAlign w:val="center"/>
                </w:tcPr>
                <w:p>
                  <w:pPr>
                    <w:spacing w:line="240" w:lineRule="auto"/>
                    <w:jc w:val="center"/>
                    <w:rPr>
                      <w:sz w:val="21"/>
                      <w:szCs w:val="21"/>
                    </w:rPr>
                  </w:pPr>
                </w:p>
              </w:tc>
              <w:tc>
                <w:tcPr>
                  <w:tcW w:w="1832" w:type="dxa"/>
                  <w:vMerge w:val="continue"/>
                  <w:noWrap w:val="0"/>
                  <w:tcMar>
                    <w:left w:w="28" w:type="dxa"/>
                    <w:right w:w="28" w:type="dxa"/>
                  </w:tcMar>
                  <w:vAlign w:val="center"/>
                </w:tcPr>
                <w:p>
                  <w:pPr>
                    <w:spacing w:line="240" w:lineRule="auto"/>
                    <w:jc w:val="center"/>
                    <w:rPr>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2" w:type="dxa"/>
                  <w:noWrap w:val="0"/>
                  <w:vAlign w:val="center"/>
                </w:tcPr>
                <w:p>
                  <w:pPr>
                    <w:spacing w:line="240" w:lineRule="auto"/>
                    <w:jc w:val="center"/>
                    <w:rPr>
                      <w:sz w:val="21"/>
                      <w:szCs w:val="21"/>
                    </w:rPr>
                  </w:pPr>
                  <w:r>
                    <w:rPr>
                      <w:sz w:val="21"/>
                      <w:szCs w:val="21"/>
                    </w:rPr>
                    <w:t>3</w:t>
                  </w:r>
                </w:p>
              </w:tc>
              <w:tc>
                <w:tcPr>
                  <w:tcW w:w="1365" w:type="dxa"/>
                  <w:noWrap w:val="0"/>
                  <w:vAlign w:val="center"/>
                </w:tcPr>
                <w:p>
                  <w:pPr>
                    <w:snapToGrid w:val="0"/>
                    <w:spacing w:line="240" w:lineRule="auto"/>
                    <w:jc w:val="center"/>
                    <w:rPr>
                      <w:sz w:val="21"/>
                      <w:szCs w:val="21"/>
                    </w:rPr>
                  </w:pPr>
                  <w:r>
                    <w:rPr>
                      <w:rFonts w:hint="eastAsia"/>
                      <w:sz w:val="21"/>
                      <w:szCs w:val="21"/>
                      <w:lang w:val="en-US" w:eastAsia="zh-CN"/>
                    </w:rPr>
                    <w:t>布袋收尘</w:t>
                  </w:r>
                </w:p>
              </w:tc>
              <w:tc>
                <w:tcPr>
                  <w:tcW w:w="1121" w:type="dxa"/>
                  <w:noWrap w:val="0"/>
                  <w:vAlign w:val="center"/>
                </w:tcPr>
                <w:p>
                  <w:pPr>
                    <w:snapToGrid w:val="0"/>
                    <w:spacing w:line="240" w:lineRule="auto"/>
                    <w:jc w:val="center"/>
                    <w:rPr>
                      <w:rFonts w:hint="eastAsia" w:eastAsia="宋体"/>
                      <w:sz w:val="21"/>
                      <w:szCs w:val="21"/>
                      <w:lang w:val="en-US" w:eastAsia="zh-CN"/>
                    </w:rPr>
                  </w:pPr>
                  <w:r>
                    <w:rPr>
                      <w:rFonts w:hint="eastAsia"/>
                      <w:sz w:val="21"/>
                      <w:szCs w:val="21"/>
                      <w:lang w:val="en-US" w:eastAsia="zh-CN"/>
                    </w:rPr>
                    <w:t>废气处理</w:t>
                  </w:r>
                </w:p>
              </w:tc>
              <w:tc>
                <w:tcPr>
                  <w:tcW w:w="813" w:type="dxa"/>
                  <w:noWrap w:val="0"/>
                  <w:vAlign w:val="center"/>
                </w:tcPr>
                <w:p>
                  <w:pPr>
                    <w:snapToGrid w:val="0"/>
                    <w:spacing w:line="240" w:lineRule="auto"/>
                    <w:jc w:val="center"/>
                    <w:rPr>
                      <w:rFonts w:hint="eastAsia" w:eastAsia="宋体"/>
                      <w:sz w:val="21"/>
                      <w:szCs w:val="21"/>
                      <w:lang w:val="en-US" w:eastAsia="zh-CN"/>
                    </w:rPr>
                  </w:pPr>
                  <w:r>
                    <w:rPr>
                      <w:rFonts w:hint="eastAsia"/>
                      <w:sz w:val="21"/>
                      <w:szCs w:val="21"/>
                      <w:lang w:val="en-US" w:eastAsia="zh-CN"/>
                    </w:rPr>
                    <w:t>固态</w:t>
                  </w:r>
                </w:p>
              </w:tc>
              <w:tc>
                <w:tcPr>
                  <w:tcW w:w="1069" w:type="dxa"/>
                  <w:noWrap w:val="0"/>
                  <w:vAlign w:val="center"/>
                </w:tcPr>
                <w:p>
                  <w:pPr>
                    <w:snapToGrid w:val="0"/>
                    <w:spacing w:line="240" w:lineRule="auto"/>
                    <w:jc w:val="center"/>
                    <w:rPr>
                      <w:rFonts w:hint="default" w:eastAsia="宋体"/>
                      <w:sz w:val="21"/>
                      <w:szCs w:val="21"/>
                      <w:lang w:val="en-US" w:eastAsia="zh-CN"/>
                    </w:rPr>
                  </w:pPr>
                  <w:r>
                    <w:rPr>
                      <w:rFonts w:hint="eastAsia"/>
                      <w:sz w:val="21"/>
                      <w:szCs w:val="21"/>
                      <w:lang w:val="en-US" w:eastAsia="zh-CN"/>
                    </w:rPr>
                    <w:t>CaCO</w:t>
                  </w:r>
                  <w:r>
                    <w:rPr>
                      <w:rFonts w:hint="eastAsia"/>
                      <w:sz w:val="21"/>
                      <w:szCs w:val="21"/>
                      <w:vertAlign w:val="subscript"/>
                      <w:lang w:val="en-US" w:eastAsia="zh-CN"/>
                    </w:rPr>
                    <w:t>3</w:t>
                  </w:r>
                </w:p>
              </w:tc>
              <w:tc>
                <w:tcPr>
                  <w:tcW w:w="997" w:type="dxa"/>
                  <w:noWrap w:val="0"/>
                  <w:vAlign w:val="center"/>
                </w:tcPr>
                <w:p>
                  <w:pPr>
                    <w:widowControl/>
                    <w:spacing w:line="240" w:lineRule="auto"/>
                    <w:jc w:val="center"/>
                    <w:textAlignment w:val="center"/>
                    <w:rPr>
                      <w:rFonts w:hint="default" w:eastAsia="宋体"/>
                      <w:sz w:val="21"/>
                      <w:szCs w:val="21"/>
                      <w:lang w:val="en-US" w:eastAsia="zh-CN"/>
                    </w:rPr>
                  </w:pPr>
                  <w:r>
                    <w:rPr>
                      <w:rFonts w:hint="eastAsia"/>
                      <w:sz w:val="21"/>
                      <w:szCs w:val="21"/>
                      <w:lang w:val="en-US" w:eastAsia="zh-CN"/>
                    </w:rPr>
                    <w:t>0.2673</w:t>
                  </w:r>
                </w:p>
              </w:tc>
              <w:tc>
                <w:tcPr>
                  <w:tcW w:w="906" w:type="dxa"/>
                  <w:noWrap w:val="0"/>
                  <w:vAlign w:val="center"/>
                </w:tcPr>
                <w:p>
                  <w:pPr>
                    <w:snapToGrid w:val="0"/>
                    <w:spacing w:line="240" w:lineRule="auto"/>
                    <w:jc w:val="center"/>
                    <w:rPr>
                      <w:sz w:val="21"/>
                      <w:szCs w:val="21"/>
                    </w:rPr>
                  </w:pPr>
                  <w:r>
                    <w:rPr>
                      <w:rFonts w:hint="eastAsia"/>
                      <w:sz w:val="21"/>
                      <w:szCs w:val="21"/>
                      <w:lang w:val="en-US" w:eastAsia="zh-CN"/>
                    </w:rPr>
                    <w:t>✔</w:t>
                  </w:r>
                </w:p>
              </w:tc>
              <w:tc>
                <w:tcPr>
                  <w:tcW w:w="757" w:type="dxa"/>
                  <w:noWrap w:val="0"/>
                  <w:vAlign w:val="center"/>
                </w:tcPr>
                <w:p>
                  <w:pPr>
                    <w:spacing w:line="240" w:lineRule="auto"/>
                    <w:jc w:val="center"/>
                    <w:rPr>
                      <w:sz w:val="21"/>
                      <w:szCs w:val="21"/>
                    </w:rPr>
                  </w:pPr>
                </w:p>
              </w:tc>
              <w:tc>
                <w:tcPr>
                  <w:tcW w:w="1832" w:type="dxa"/>
                  <w:vMerge w:val="continue"/>
                  <w:noWrap w:val="0"/>
                  <w:vAlign w:val="center"/>
                </w:tcPr>
                <w:p>
                  <w:pPr>
                    <w:spacing w:line="240" w:lineRule="auto"/>
                    <w:jc w:val="center"/>
                    <w:rPr>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2" w:type="dxa"/>
                  <w:noWrap w:val="0"/>
                  <w:vAlign w:val="center"/>
                </w:tcPr>
                <w:p>
                  <w:pPr>
                    <w:spacing w:line="240" w:lineRule="auto"/>
                    <w:jc w:val="center"/>
                    <w:rPr>
                      <w:sz w:val="21"/>
                      <w:szCs w:val="21"/>
                    </w:rPr>
                  </w:pPr>
                  <w:r>
                    <w:rPr>
                      <w:sz w:val="21"/>
                      <w:szCs w:val="21"/>
                    </w:rPr>
                    <w:t>4</w:t>
                  </w:r>
                </w:p>
              </w:tc>
              <w:tc>
                <w:tcPr>
                  <w:tcW w:w="1365" w:type="dxa"/>
                  <w:noWrap w:val="0"/>
                  <w:vAlign w:val="center"/>
                </w:tcPr>
                <w:p>
                  <w:pPr>
                    <w:snapToGrid w:val="0"/>
                    <w:spacing w:line="240" w:lineRule="auto"/>
                    <w:jc w:val="center"/>
                    <w:rPr>
                      <w:sz w:val="21"/>
                      <w:szCs w:val="21"/>
                    </w:rPr>
                  </w:pPr>
                  <w:r>
                    <w:rPr>
                      <w:rFonts w:hint="eastAsia"/>
                      <w:sz w:val="21"/>
                      <w:szCs w:val="21"/>
                      <w:lang w:val="en-US" w:eastAsia="zh-CN"/>
                    </w:rPr>
                    <w:t>废活性炭</w:t>
                  </w:r>
                </w:p>
              </w:tc>
              <w:tc>
                <w:tcPr>
                  <w:tcW w:w="1121" w:type="dxa"/>
                  <w:noWrap w:val="0"/>
                  <w:vAlign w:val="center"/>
                </w:tcPr>
                <w:p>
                  <w:pPr>
                    <w:snapToGrid w:val="0"/>
                    <w:spacing w:line="240" w:lineRule="auto"/>
                    <w:jc w:val="center"/>
                    <w:rPr>
                      <w:rFonts w:hint="eastAsia" w:eastAsia="宋体"/>
                      <w:sz w:val="21"/>
                      <w:szCs w:val="21"/>
                      <w:lang w:val="en-US" w:eastAsia="zh-CN"/>
                    </w:rPr>
                  </w:pPr>
                  <w:r>
                    <w:rPr>
                      <w:rFonts w:hint="eastAsia"/>
                      <w:sz w:val="21"/>
                      <w:szCs w:val="21"/>
                      <w:lang w:val="en-US" w:eastAsia="zh-CN"/>
                    </w:rPr>
                    <w:t>废气处理</w:t>
                  </w:r>
                </w:p>
              </w:tc>
              <w:tc>
                <w:tcPr>
                  <w:tcW w:w="813" w:type="dxa"/>
                  <w:noWrap w:val="0"/>
                  <w:vAlign w:val="center"/>
                </w:tcPr>
                <w:p>
                  <w:pPr>
                    <w:snapToGrid w:val="0"/>
                    <w:spacing w:line="240" w:lineRule="auto"/>
                    <w:jc w:val="center"/>
                    <w:rPr>
                      <w:rFonts w:hint="eastAsia" w:eastAsia="宋体"/>
                      <w:sz w:val="21"/>
                      <w:szCs w:val="21"/>
                      <w:lang w:val="en-US" w:eastAsia="zh-CN"/>
                    </w:rPr>
                  </w:pPr>
                  <w:r>
                    <w:rPr>
                      <w:rFonts w:hint="eastAsia"/>
                      <w:sz w:val="21"/>
                      <w:szCs w:val="21"/>
                      <w:lang w:val="en-US" w:eastAsia="zh-CN"/>
                    </w:rPr>
                    <w:t>固态</w:t>
                  </w:r>
                </w:p>
              </w:tc>
              <w:tc>
                <w:tcPr>
                  <w:tcW w:w="1069" w:type="dxa"/>
                  <w:noWrap w:val="0"/>
                  <w:vAlign w:val="center"/>
                </w:tcPr>
                <w:p>
                  <w:pPr>
                    <w:snapToGrid w:val="0"/>
                    <w:spacing w:line="240" w:lineRule="auto"/>
                    <w:jc w:val="center"/>
                    <w:rPr>
                      <w:rFonts w:hint="default" w:eastAsia="宋体"/>
                      <w:sz w:val="21"/>
                      <w:szCs w:val="21"/>
                      <w:lang w:val="en-US" w:eastAsia="zh-CN"/>
                    </w:rPr>
                  </w:pPr>
                  <w:r>
                    <w:rPr>
                      <w:rFonts w:hint="eastAsia"/>
                      <w:sz w:val="21"/>
                      <w:szCs w:val="21"/>
                      <w:lang w:val="en-US" w:eastAsia="zh-CN"/>
                    </w:rPr>
                    <w:t>活性炭、有机物</w:t>
                  </w:r>
                </w:p>
              </w:tc>
              <w:tc>
                <w:tcPr>
                  <w:tcW w:w="997" w:type="dxa"/>
                  <w:noWrap w:val="0"/>
                  <w:vAlign w:val="center"/>
                </w:tcPr>
                <w:p>
                  <w:pPr>
                    <w:widowControl/>
                    <w:spacing w:line="240" w:lineRule="auto"/>
                    <w:jc w:val="center"/>
                    <w:textAlignment w:val="center"/>
                    <w:rPr>
                      <w:rFonts w:hint="eastAsia" w:eastAsia="宋体"/>
                      <w:sz w:val="21"/>
                      <w:szCs w:val="21"/>
                      <w:lang w:val="en-US" w:eastAsia="zh-CN"/>
                    </w:rPr>
                  </w:pPr>
                  <w:r>
                    <w:rPr>
                      <w:rFonts w:hint="eastAsia"/>
                      <w:sz w:val="21"/>
                      <w:szCs w:val="21"/>
                      <w:lang w:val="en-US" w:eastAsia="zh-CN"/>
                    </w:rPr>
                    <w:t>1</w:t>
                  </w:r>
                </w:p>
              </w:tc>
              <w:tc>
                <w:tcPr>
                  <w:tcW w:w="906" w:type="dxa"/>
                  <w:noWrap w:val="0"/>
                  <w:vAlign w:val="center"/>
                </w:tcPr>
                <w:p>
                  <w:pPr>
                    <w:snapToGrid w:val="0"/>
                    <w:spacing w:line="240" w:lineRule="auto"/>
                    <w:jc w:val="center"/>
                    <w:rPr>
                      <w:sz w:val="21"/>
                      <w:szCs w:val="21"/>
                    </w:rPr>
                  </w:pPr>
                  <w:r>
                    <w:rPr>
                      <w:rFonts w:hint="eastAsia"/>
                      <w:sz w:val="21"/>
                      <w:szCs w:val="21"/>
                      <w:lang w:val="en-US" w:eastAsia="zh-CN"/>
                    </w:rPr>
                    <w:t>✔</w:t>
                  </w:r>
                </w:p>
              </w:tc>
              <w:tc>
                <w:tcPr>
                  <w:tcW w:w="757" w:type="dxa"/>
                  <w:noWrap w:val="0"/>
                  <w:vAlign w:val="center"/>
                </w:tcPr>
                <w:p>
                  <w:pPr>
                    <w:spacing w:line="240" w:lineRule="auto"/>
                    <w:jc w:val="center"/>
                    <w:rPr>
                      <w:sz w:val="21"/>
                      <w:szCs w:val="21"/>
                    </w:rPr>
                  </w:pPr>
                </w:p>
              </w:tc>
              <w:tc>
                <w:tcPr>
                  <w:tcW w:w="1832" w:type="dxa"/>
                  <w:vMerge w:val="continue"/>
                  <w:noWrap w:val="0"/>
                  <w:vAlign w:val="center"/>
                </w:tcPr>
                <w:p>
                  <w:pPr>
                    <w:spacing w:line="240" w:lineRule="auto"/>
                    <w:jc w:val="center"/>
                    <w:rPr>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2" w:type="dxa"/>
                  <w:tcBorders>
                    <w:bottom w:val="single" w:color="auto" w:sz="12" w:space="0"/>
                  </w:tcBorders>
                  <w:noWrap w:val="0"/>
                  <w:vAlign w:val="center"/>
                </w:tcPr>
                <w:p>
                  <w:pPr>
                    <w:spacing w:line="240" w:lineRule="auto"/>
                    <w:jc w:val="center"/>
                    <w:rPr>
                      <w:rFonts w:hint="eastAsia" w:eastAsia="宋体"/>
                      <w:sz w:val="21"/>
                      <w:szCs w:val="21"/>
                      <w:lang w:val="en-US" w:eastAsia="zh-CN"/>
                    </w:rPr>
                  </w:pPr>
                  <w:r>
                    <w:rPr>
                      <w:rFonts w:hint="eastAsia"/>
                      <w:sz w:val="21"/>
                      <w:szCs w:val="21"/>
                      <w:lang w:val="en-US" w:eastAsia="zh-CN"/>
                    </w:rPr>
                    <w:t>5</w:t>
                  </w:r>
                </w:p>
              </w:tc>
              <w:tc>
                <w:tcPr>
                  <w:tcW w:w="1365" w:type="dxa"/>
                  <w:tcBorders>
                    <w:bottom w:val="single" w:color="auto" w:sz="12" w:space="0"/>
                  </w:tcBorders>
                  <w:noWrap w:val="0"/>
                  <w:vAlign w:val="center"/>
                </w:tcPr>
                <w:p>
                  <w:pPr>
                    <w:snapToGrid w:val="0"/>
                    <w:spacing w:line="240" w:lineRule="auto"/>
                    <w:jc w:val="center"/>
                    <w:rPr>
                      <w:rFonts w:hint="default"/>
                      <w:sz w:val="21"/>
                      <w:szCs w:val="21"/>
                      <w:lang w:val="en-US" w:eastAsia="zh-CN"/>
                    </w:rPr>
                  </w:pPr>
                  <w:r>
                    <w:rPr>
                      <w:rFonts w:hint="eastAsia"/>
                      <w:sz w:val="21"/>
                      <w:szCs w:val="21"/>
                      <w:lang w:val="en-US" w:eastAsia="zh-CN"/>
                    </w:rPr>
                    <w:t>生活垃圾</w:t>
                  </w:r>
                </w:p>
              </w:tc>
              <w:tc>
                <w:tcPr>
                  <w:tcW w:w="1121" w:type="dxa"/>
                  <w:tcBorders>
                    <w:bottom w:val="single" w:color="auto" w:sz="12" w:space="0"/>
                  </w:tcBorders>
                  <w:noWrap w:val="0"/>
                  <w:vAlign w:val="center"/>
                </w:tcPr>
                <w:p>
                  <w:pPr>
                    <w:snapToGrid w:val="0"/>
                    <w:spacing w:line="240" w:lineRule="auto"/>
                    <w:jc w:val="center"/>
                    <w:rPr>
                      <w:rFonts w:hint="default"/>
                      <w:sz w:val="21"/>
                      <w:szCs w:val="21"/>
                      <w:lang w:val="en-US" w:eastAsia="zh-CN"/>
                    </w:rPr>
                  </w:pPr>
                  <w:r>
                    <w:rPr>
                      <w:rFonts w:hint="eastAsia"/>
                      <w:sz w:val="21"/>
                      <w:szCs w:val="21"/>
                      <w:lang w:val="en-US" w:eastAsia="zh-CN"/>
                    </w:rPr>
                    <w:t>生活</w:t>
                  </w:r>
                </w:p>
              </w:tc>
              <w:tc>
                <w:tcPr>
                  <w:tcW w:w="813" w:type="dxa"/>
                  <w:tcBorders>
                    <w:bottom w:val="single" w:color="auto" w:sz="12" w:space="0"/>
                  </w:tcBorders>
                  <w:noWrap w:val="0"/>
                  <w:vAlign w:val="center"/>
                </w:tcPr>
                <w:p>
                  <w:pPr>
                    <w:snapToGrid w:val="0"/>
                    <w:spacing w:line="240" w:lineRule="auto"/>
                    <w:jc w:val="center"/>
                    <w:rPr>
                      <w:rFonts w:hint="default"/>
                      <w:sz w:val="21"/>
                      <w:szCs w:val="21"/>
                      <w:lang w:val="en-US" w:eastAsia="zh-CN"/>
                    </w:rPr>
                  </w:pPr>
                  <w:r>
                    <w:rPr>
                      <w:rFonts w:hint="eastAsia"/>
                      <w:sz w:val="21"/>
                      <w:szCs w:val="21"/>
                      <w:lang w:val="en-US" w:eastAsia="zh-CN"/>
                    </w:rPr>
                    <w:t>固态</w:t>
                  </w:r>
                </w:p>
              </w:tc>
              <w:tc>
                <w:tcPr>
                  <w:tcW w:w="1069" w:type="dxa"/>
                  <w:tcBorders>
                    <w:bottom w:val="single" w:color="auto" w:sz="12" w:space="0"/>
                  </w:tcBorders>
                  <w:noWrap w:val="0"/>
                  <w:vAlign w:val="center"/>
                </w:tcPr>
                <w:p>
                  <w:pPr>
                    <w:snapToGrid w:val="0"/>
                    <w:spacing w:line="240" w:lineRule="auto"/>
                    <w:jc w:val="center"/>
                    <w:rPr>
                      <w:rFonts w:hint="default"/>
                      <w:sz w:val="21"/>
                      <w:szCs w:val="21"/>
                      <w:lang w:val="en-US" w:eastAsia="zh-CN"/>
                    </w:rPr>
                  </w:pPr>
                  <w:r>
                    <w:rPr>
                      <w:rFonts w:hint="eastAsia"/>
                      <w:sz w:val="21"/>
                      <w:szCs w:val="21"/>
                      <w:lang w:val="en-US" w:eastAsia="zh-CN"/>
                    </w:rPr>
                    <w:t>生活垃圾</w:t>
                  </w:r>
                </w:p>
              </w:tc>
              <w:tc>
                <w:tcPr>
                  <w:tcW w:w="997" w:type="dxa"/>
                  <w:tcBorders>
                    <w:bottom w:val="single" w:color="auto" w:sz="12" w:space="0"/>
                  </w:tcBorders>
                  <w:noWrap w:val="0"/>
                  <w:vAlign w:val="center"/>
                </w:tcPr>
                <w:p>
                  <w:pPr>
                    <w:widowControl/>
                    <w:spacing w:line="240" w:lineRule="auto"/>
                    <w:jc w:val="center"/>
                    <w:textAlignment w:val="center"/>
                    <w:rPr>
                      <w:rFonts w:hint="default"/>
                      <w:sz w:val="21"/>
                      <w:szCs w:val="21"/>
                      <w:lang w:val="en-US" w:eastAsia="zh-CN"/>
                    </w:rPr>
                  </w:pPr>
                  <w:r>
                    <w:rPr>
                      <w:rFonts w:hint="eastAsia"/>
                      <w:sz w:val="21"/>
                      <w:szCs w:val="21"/>
                      <w:lang w:val="en-US" w:eastAsia="zh-CN"/>
                    </w:rPr>
                    <w:t>6</w:t>
                  </w:r>
                </w:p>
              </w:tc>
              <w:tc>
                <w:tcPr>
                  <w:tcW w:w="906" w:type="dxa"/>
                  <w:tcBorders>
                    <w:bottom w:val="single" w:color="auto" w:sz="12" w:space="0"/>
                  </w:tcBorders>
                  <w:noWrap w:val="0"/>
                  <w:vAlign w:val="center"/>
                </w:tcPr>
                <w:p>
                  <w:pPr>
                    <w:snapToGrid w:val="0"/>
                    <w:spacing w:line="240" w:lineRule="auto"/>
                    <w:jc w:val="center"/>
                    <w:rPr>
                      <w:rFonts w:hint="eastAsia"/>
                      <w:sz w:val="21"/>
                      <w:szCs w:val="21"/>
                      <w:lang w:val="en-US" w:eastAsia="zh-CN"/>
                    </w:rPr>
                  </w:pPr>
                  <w:r>
                    <w:rPr>
                      <w:rFonts w:hint="eastAsia"/>
                      <w:sz w:val="21"/>
                      <w:szCs w:val="21"/>
                      <w:lang w:val="en-US" w:eastAsia="zh-CN"/>
                    </w:rPr>
                    <w:t>✔</w:t>
                  </w:r>
                </w:p>
              </w:tc>
              <w:tc>
                <w:tcPr>
                  <w:tcW w:w="757" w:type="dxa"/>
                  <w:tcBorders>
                    <w:bottom w:val="single" w:color="auto" w:sz="12" w:space="0"/>
                  </w:tcBorders>
                  <w:noWrap w:val="0"/>
                  <w:vAlign w:val="center"/>
                </w:tcPr>
                <w:p>
                  <w:pPr>
                    <w:spacing w:line="240" w:lineRule="auto"/>
                    <w:jc w:val="center"/>
                    <w:rPr>
                      <w:sz w:val="21"/>
                      <w:szCs w:val="21"/>
                    </w:rPr>
                  </w:pPr>
                </w:p>
              </w:tc>
              <w:tc>
                <w:tcPr>
                  <w:tcW w:w="1832" w:type="dxa"/>
                  <w:tcBorders>
                    <w:bottom w:val="single" w:color="auto" w:sz="12" w:space="0"/>
                  </w:tcBorders>
                  <w:noWrap w:val="0"/>
                  <w:vAlign w:val="center"/>
                </w:tcPr>
                <w:p>
                  <w:pPr>
                    <w:spacing w:line="240" w:lineRule="auto"/>
                    <w:jc w:val="center"/>
                    <w:rPr>
                      <w:sz w:val="21"/>
                      <w:szCs w:val="21"/>
                    </w:rPr>
                  </w:pPr>
                </w:p>
              </w:tc>
            </w:tr>
          </w:tbl>
          <w:p>
            <w:pPr>
              <w:pStyle w:val="2"/>
              <w:spacing w:line="240" w:lineRule="auto"/>
              <w:ind w:firstLine="0" w:firstLineChars="0"/>
              <w:rPr>
                <w:b/>
                <w:bCs/>
              </w:rPr>
            </w:pPr>
            <w:r>
              <w:rPr>
                <w:b/>
                <w:bCs/>
                <w:kern w:val="0"/>
                <w:sz w:val="20"/>
                <w:szCs w:val="16"/>
              </w:rPr>
              <w:t>*注：种类判断，在相应类别下打钩</w:t>
            </w:r>
          </w:p>
          <w:p>
            <w:pPr>
              <w:widowControl/>
              <w:adjustRightInd w:val="0"/>
              <w:snapToGrid w:val="0"/>
              <w:ind w:firstLine="480" w:firstLineChars="200"/>
              <w:jc w:val="left"/>
              <w:rPr>
                <w:b/>
              </w:rPr>
            </w:pPr>
            <w:r>
              <w:rPr>
                <w:kern w:val="0"/>
              </w:rPr>
              <w:t>本项目营运期固体废物分析结果汇总如下：</w:t>
            </w:r>
          </w:p>
          <w:p>
            <w:pPr>
              <w:widowControl/>
              <w:spacing w:line="240" w:lineRule="auto"/>
              <w:jc w:val="center"/>
              <w:rPr>
                <w:b/>
                <w:bCs/>
                <w:kern w:val="0"/>
                <w:sz w:val="21"/>
              </w:rPr>
            </w:pPr>
            <w:r>
              <w:rPr>
                <w:b/>
                <w:bCs/>
                <w:kern w:val="0"/>
                <w:sz w:val="21"/>
              </w:rPr>
              <w:t>表5-6  建设项目固体废物分析结果汇总表</w:t>
            </w:r>
          </w:p>
          <w:tbl>
            <w:tblPr>
              <w:tblStyle w:val="2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516"/>
              <w:gridCol w:w="1238"/>
              <w:gridCol w:w="659"/>
              <w:gridCol w:w="987"/>
              <w:gridCol w:w="638"/>
              <w:gridCol w:w="1700"/>
              <w:gridCol w:w="727"/>
              <w:gridCol w:w="770"/>
              <w:gridCol w:w="1340"/>
              <w:gridCol w:w="83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16" w:type="dxa"/>
                  <w:tcBorders>
                    <w:top w:val="single" w:color="auto" w:sz="12" w:space="0"/>
                    <w:bottom w:val="single" w:color="auto" w:sz="12" w:space="0"/>
                  </w:tcBorders>
                  <w:noWrap w:val="0"/>
                  <w:vAlign w:val="center"/>
                </w:tcPr>
                <w:p>
                  <w:pPr>
                    <w:topLinePunct/>
                    <w:snapToGrid w:val="0"/>
                    <w:spacing w:line="240" w:lineRule="auto"/>
                    <w:jc w:val="center"/>
                    <w:rPr>
                      <w:kern w:val="0"/>
                      <w:sz w:val="21"/>
                      <w:szCs w:val="21"/>
                    </w:rPr>
                  </w:pPr>
                  <w:r>
                    <w:rPr>
                      <w:kern w:val="0"/>
                      <w:sz w:val="21"/>
                      <w:szCs w:val="21"/>
                    </w:rPr>
                    <w:t>序号</w:t>
                  </w:r>
                </w:p>
              </w:tc>
              <w:tc>
                <w:tcPr>
                  <w:tcW w:w="1238" w:type="dxa"/>
                  <w:tcBorders>
                    <w:top w:val="single" w:color="auto" w:sz="12" w:space="0"/>
                    <w:bottom w:val="single" w:color="auto" w:sz="12" w:space="0"/>
                  </w:tcBorders>
                  <w:noWrap w:val="0"/>
                  <w:vAlign w:val="center"/>
                </w:tcPr>
                <w:p>
                  <w:pPr>
                    <w:topLinePunct/>
                    <w:snapToGrid w:val="0"/>
                    <w:spacing w:line="240" w:lineRule="auto"/>
                    <w:jc w:val="center"/>
                    <w:rPr>
                      <w:kern w:val="0"/>
                      <w:sz w:val="21"/>
                      <w:szCs w:val="21"/>
                    </w:rPr>
                  </w:pPr>
                  <w:r>
                    <w:rPr>
                      <w:kern w:val="0"/>
                      <w:sz w:val="21"/>
                      <w:szCs w:val="21"/>
                    </w:rPr>
                    <w:t>固废名称</w:t>
                  </w:r>
                </w:p>
              </w:tc>
              <w:tc>
                <w:tcPr>
                  <w:tcW w:w="659" w:type="dxa"/>
                  <w:tcBorders>
                    <w:top w:val="single" w:color="auto" w:sz="12" w:space="0"/>
                    <w:bottom w:val="single" w:color="auto" w:sz="12" w:space="0"/>
                  </w:tcBorders>
                  <w:noWrap w:val="0"/>
                  <w:vAlign w:val="center"/>
                </w:tcPr>
                <w:p>
                  <w:pPr>
                    <w:topLinePunct/>
                    <w:snapToGrid w:val="0"/>
                    <w:spacing w:line="240" w:lineRule="auto"/>
                    <w:jc w:val="center"/>
                    <w:rPr>
                      <w:kern w:val="0"/>
                      <w:sz w:val="21"/>
                      <w:szCs w:val="21"/>
                    </w:rPr>
                  </w:pPr>
                  <w:r>
                    <w:rPr>
                      <w:kern w:val="0"/>
                      <w:sz w:val="21"/>
                      <w:szCs w:val="21"/>
                    </w:rPr>
                    <w:t>属性</w:t>
                  </w:r>
                </w:p>
              </w:tc>
              <w:tc>
                <w:tcPr>
                  <w:tcW w:w="987" w:type="dxa"/>
                  <w:tcBorders>
                    <w:top w:val="single" w:color="auto" w:sz="12" w:space="0"/>
                    <w:bottom w:val="single" w:color="auto" w:sz="12" w:space="0"/>
                  </w:tcBorders>
                  <w:noWrap w:val="0"/>
                  <w:vAlign w:val="center"/>
                </w:tcPr>
                <w:p>
                  <w:pPr>
                    <w:topLinePunct/>
                    <w:snapToGrid w:val="0"/>
                    <w:spacing w:line="240" w:lineRule="auto"/>
                    <w:jc w:val="center"/>
                    <w:rPr>
                      <w:kern w:val="0"/>
                      <w:sz w:val="21"/>
                      <w:szCs w:val="21"/>
                    </w:rPr>
                  </w:pPr>
                  <w:r>
                    <w:rPr>
                      <w:kern w:val="0"/>
                      <w:sz w:val="21"/>
                      <w:szCs w:val="21"/>
                    </w:rPr>
                    <w:t>产生工序</w:t>
                  </w:r>
                </w:p>
              </w:tc>
              <w:tc>
                <w:tcPr>
                  <w:tcW w:w="638" w:type="dxa"/>
                  <w:tcBorders>
                    <w:top w:val="single" w:color="auto" w:sz="12" w:space="0"/>
                    <w:bottom w:val="single" w:color="auto" w:sz="12" w:space="0"/>
                  </w:tcBorders>
                  <w:noWrap w:val="0"/>
                  <w:vAlign w:val="center"/>
                </w:tcPr>
                <w:p>
                  <w:pPr>
                    <w:topLinePunct/>
                    <w:snapToGrid w:val="0"/>
                    <w:spacing w:line="240" w:lineRule="auto"/>
                    <w:jc w:val="center"/>
                    <w:rPr>
                      <w:kern w:val="0"/>
                      <w:sz w:val="21"/>
                      <w:szCs w:val="21"/>
                    </w:rPr>
                  </w:pPr>
                  <w:r>
                    <w:rPr>
                      <w:kern w:val="0"/>
                      <w:sz w:val="21"/>
                      <w:szCs w:val="21"/>
                    </w:rPr>
                    <w:t>形态</w:t>
                  </w:r>
                </w:p>
              </w:tc>
              <w:tc>
                <w:tcPr>
                  <w:tcW w:w="1700" w:type="dxa"/>
                  <w:tcBorders>
                    <w:top w:val="single" w:color="auto" w:sz="12" w:space="0"/>
                    <w:bottom w:val="single" w:color="auto" w:sz="12" w:space="0"/>
                  </w:tcBorders>
                  <w:noWrap w:val="0"/>
                  <w:vAlign w:val="center"/>
                </w:tcPr>
                <w:p>
                  <w:pPr>
                    <w:topLinePunct/>
                    <w:snapToGrid w:val="0"/>
                    <w:spacing w:line="240" w:lineRule="auto"/>
                    <w:jc w:val="center"/>
                    <w:rPr>
                      <w:kern w:val="0"/>
                      <w:sz w:val="21"/>
                      <w:szCs w:val="21"/>
                    </w:rPr>
                  </w:pPr>
                  <w:r>
                    <w:rPr>
                      <w:kern w:val="0"/>
                      <w:sz w:val="21"/>
                      <w:szCs w:val="21"/>
                    </w:rPr>
                    <w:t>主要成分</w:t>
                  </w:r>
                </w:p>
              </w:tc>
              <w:tc>
                <w:tcPr>
                  <w:tcW w:w="727" w:type="dxa"/>
                  <w:tcBorders>
                    <w:top w:val="single" w:color="auto" w:sz="12" w:space="0"/>
                    <w:bottom w:val="single" w:color="auto" w:sz="12" w:space="0"/>
                  </w:tcBorders>
                  <w:noWrap w:val="0"/>
                  <w:vAlign w:val="center"/>
                </w:tcPr>
                <w:p>
                  <w:pPr>
                    <w:topLinePunct/>
                    <w:snapToGrid w:val="0"/>
                    <w:spacing w:line="240" w:lineRule="auto"/>
                    <w:jc w:val="center"/>
                    <w:rPr>
                      <w:kern w:val="0"/>
                      <w:sz w:val="21"/>
                      <w:szCs w:val="21"/>
                    </w:rPr>
                  </w:pPr>
                  <w:r>
                    <w:rPr>
                      <w:kern w:val="0"/>
                      <w:sz w:val="21"/>
                      <w:szCs w:val="21"/>
                    </w:rPr>
                    <w:t>危险</w:t>
                  </w:r>
                </w:p>
                <w:p>
                  <w:pPr>
                    <w:topLinePunct/>
                    <w:snapToGrid w:val="0"/>
                    <w:spacing w:line="240" w:lineRule="auto"/>
                    <w:jc w:val="center"/>
                    <w:rPr>
                      <w:kern w:val="0"/>
                      <w:sz w:val="21"/>
                      <w:szCs w:val="21"/>
                    </w:rPr>
                  </w:pPr>
                  <w:r>
                    <w:rPr>
                      <w:kern w:val="0"/>
                      <w:sz w:val="21"/>
                      <w:szCs w:val="21"/>
                    </w:rPr>
                    <w:t>特性</w:t>
                  </w:r>
                </w:p>
              </w:tc>
              <w:tc>
                <w:tcPr>
                  <w:tcW w:w="770" w:type="dxa"/>
                  <w:tcBorders>
                    <w:top w:val="single" w:color="auto" w:sz="12" w:space="0"/>
                    <w:bottom w:val="single" w:color="auto" w:sz="12" w:space="0"/>
                  </w:tcBorders>
                  <w:noWrap w:val="0"/>
                  <w:vAlign w:val="center"/>
                </w:tcPr>
                <w:p>
                  <w:pPr>
                    <w:topLinePunct/>
                    <w:snapToGrid w:val="0"/>
                    <w:spacing w:line="240" w:lineRule="auto"/>
                    <w:jc w:val="center"/>
                    <w:rPr>
                      <w:kern w:val="0"/>
                      <w:sz w:val="21"/>
                      <w:szCs w:val="21"/>
                    </w:rPr>
                  </w:pPr>
                  <w:r>
                    <w:rPr>
                      <w:kern w:val="0"/>
                      <w:sz w:val="21"/>
                      <w:szCs w:val="21"/>
                    </w:rPr>
                    <w:t>废物</w:t>
                  </w:r>
                </w:p>
                <w:p>
                  <w:pPr>
                    <w:topLinePunct/>
                    <w:snapToGrid w:val="0"/>
                    <w:spacing w:line="240" w:lineRule="auto"/>
                    <w:jc w:val="center"/>
                    <w:rPr>
                      <w:kern w:val="0"/>
                      <w:sz w:val="21"/>
                      <w:szCs w:val="21"/>
                    </w:rPr>
                  </w:pPr>
                  <w:r>
                    <w:rPr>
                      <w:kern w:val="0"/>
                      <w:sz w:val="21"/>
                      <w:szCs w:val="21"/>
                    </w:rPr>
                    <w:t>类别</w:t>
                  </w:r>
                </w:p>
              </w:tc>
              <w:tc>
                <w:tcPr>
                  <w:tcW w:w="1340" w:type="dxa"/>
                  <w:tcBorders>
                    <w:top w:val="single" w:color="auto" w:sz="12" w:space="0"/>
                    <w:bottom w:val="single" w:color="auto" w:sz="12" w:space="0"/>
                  </w:tcBorders>
                  <w:noWrap w:val="0"/>
                  <w:vAlign w:val="center"/>
                </w:tcPr>
                <w:p>
                  <w:pPr>
                    <w:topLinePunct/>
                    <w:snapToGrid w:val="0"/>
                    <w:spacing w:line="240" w:lineRule="auto"/>
                    <w:jc w:val="center"/>
                    <w:rPr>
                      <w:kern w:val="0"/>
                      <w:sz w:val="21"/>
                      <w:szCs w:val="21"/>
                    </w:rPr>
                  </w:pPr>
                  <w:r>
                    <w:rPr>
                      <w:kern w:val="0"/>
                      <w:sz w:val="21"/>
                      <w:szCs w:val="21"/>
                    </w:rPr>
                    <w:t>废物代码</w:t>
                  </w:r>
                </w:p>
              </w:tc>
              <w:tc>
                <w:tcPr>
                  <w:tcW w:w="837" w:type="dxa"/>
                  <w:tcBorders>
                    <w:top w:val="single" w:color="auto" w:sz="12" w:space="0"/>
                    <w:bottom w:val="single" w:color="auto" w:sz="12" w:space="0"/>
                  </w:tcBorders>
                  <w:noWrap w:val="0"/>
                  <w:vAlign w:val="center"/>
                </w:tcPr>
                <w:p>
                  <w:pPr>
                    <w:topLinePunct/>
                    <w:snapToGrid w:val="0"/>
                    <w:spacing w:line="240" w:lineRule="auto"/>
                    <w:jc w:val="center"/>
                    <w:rPr>
                      <w:kern w:val="0"/>
                      <w:sz w:val="21"/>
                      <w:szCs w:val="21"/>
                    </w:rPr>
                  </w:pPr>
                  <w:r>
                    <w:rPr>
                      <w:kern w:val="0"/>
                      <w:sz w:val="21"/>
                      <w:szCs w:val="21"/>
                    </w:rPr>
                    <w:t>产生量（t/a）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60" w:hRule="atLeast"/>
                <w:jc w:val="center"/>
              </w:trPr>
              <w:tc>
                <w:tcPr>
                  <w:tcW w:w="516" w:type="dxa"/>
                  <w:tcBorders>
                    <w:top w:val="single" w:color="auto" w:sz="12" w:space="0"/>
                    <w:bottom w:val="single" w:color="auto" w:sz="4" w:space="0"/>
                  </w:tcBorders>
                  <w:noWrap w:val="0"/>
                  <w:vAlign w:val="center"/>
                </w:tcPr>
                <w:p>
                  <w:pPr>
                    <w:topLinePunct/>
                    <w:snapToGrid w:val="0"/>
                    <w:spacing w:line="240" w:lineRule="auto"/>
                    <w:jc w:val="center"/>
                    <w:rPr>
                      <w:kern w:val="0"/>
                      <w:sz w:val="21"/>
                      <w:szCs w:val="21"/>
                    </w:rPr>
                  </w:pPr>
                  <w:r>
                    <w:rPr>
                      <w:kern w:val="0"/>
                      <w:sz w:val="21"/>
                      <w:szCs w:val="21"/>
                    </w:rPr>
                    <w:t>1</w:t>
                  </w:r>
                </w:p>
              </w:tc>
              <w:tc>
                <w:tcPr>
                  <w:tcW w:w="1238" w:type="dxa"/>
                  <w:tcBorders>
                    <w:top w:val="single" w:color="auto" w:sz="12" w:space="0"/>
                    <w:bottom w:val="single" w:color="auto" w:sz="4" w:space="0"/>
                  </w:tcBorders>
                  <w:noWrap w:val="0"/>
                  <w:vAlign w:val="center"/>
                </w:tcPr>
                <w:p>
                  <w:pPr>
                    <w:snapToGrid w:val="0"/>
                    <w:spacing w:line="240" w:lineRule="auto"/>
                    <w:jc w:val="center"/>
                    <w:rPr>
                      <w:rFonts w:ascii="Times New Roman" w:hAnsi="Times New Roman" w:eastAsia="宋体" w:cs="Times New Roman"/>
                      <w:kern w:val="2"/>
                      <w:sz w:val="21"/>
                      <w:szCs w:val="21"/>
                      <w:lang w:val="en-US" w:eastAsia="zh-CN" w:bidi="ar-SA"/>
                    </w:rPr>
                  </w:pPr>
                  <w:r>
                    <w:rPr>
                      <w:rFonts w:hint="eastAsia"/>
                      <w:sz w:val="21"/>
                      <w:szCs w:val="21"/>
                      <w:lang w:val="en-US" w:eastAsia="zh-CN"/>
                    </w:rPr>
                    <w:t>不合格品</w:t>
                  </w:r>
                </w:p>
              </w:tc>
              <w:tc>
                <w:tcPr>
                  <w:tcW w:w="659" w:type="dxa"/>
                  <w:vMerge w:val="restart"/>
                  <w:tcBorders>
                    <w:top w:val="single" w:color="auto" w:sz="12" w:space="0"/>
                  </w:tcBorders>
                  <w:noWrap w:val="0"/>
                  <w:vAlign w:val="center"/>
                </w:tcPr>
                <w:p>
                  <w:pPr>
                    <w:snapToGrid w:val="0"/>
                    <w:spacing w:line="240" w:lineRule="auto"/>
                    <w:jc w:val="center"/>
                    <w:rPr>
                      <w:rFonts w:hint="eastAsia"/>
                      <w:kern w:val="0"/>
                      <w:sz w:val="21"/>
                      <w:szCs w:val="21"/>
                      <w:lang w:val="en-US" w:eastAsia="zh-CN"/>
                    </w:rPr>
                  </w:pPr>
                  <w:r>
                    <w:rPr>
                      <w:rFonts w:hint="eastAsia"/>
                      <w:kern w:val="0"/>
                      <w:sz w:val="21"/>
                      <w:szCs w:val="21"/>
                      <w:lang w:val="en-US" w:eastAsia="zh-CN"/>
                    </w:rPr>
                    <w:t>一般</w:t>
                  </w:r>
                </w:p>
                <w:p>
                  <w:pPr>
                    <w:snapToGrid w:val="0"/>
                    <w:spacing w:line="240" w:lineRule="auto"/>
                    <w:jc w:val="center"/>
                    <w:rPr>
                      <w:rFonts w:hint="eastAsia" w:eastAsia="宋体"/>
                      <w:kern w:val="0"/>
                      <w:sz w:val="21"/>
                      <w:szCs w:val="21"/>
                      <w:lang w:val="en-US" w:eastAsia="zh-CN"/>
                    </w:rPr>
                  </w:pPr>
                  <w:r>
                    <w:rPr>
                      <w:rFonts w:hint="eastAsia"/>
                      <w:kern w:val="0"/>
                      <w:sz w:val="21"/>
                      <w:szCs w:val="21"/>
                      <w:lang w:val="en-US" w:eastAsia="zh-CN"/>
                    </w:rPr>
                    <w:t>固废</w:t>
                  </w:r>
                </w:p>
              </w:tc>
              <w:tc>
                <w:tcPr>
                  <w:tcW w:w="987" w:type="dxa"/>
                  <w:tcBorders>
                    <w:top w:val="single" w:color="auto" w:sz="12" w:space="0"/>
                    <w:bottom w:val="single" w:color="auto" w:sz="4" w:space="0"/>
                  </w:tcBorders>
                  <w:noWrap w:val="0"/>
                  <w:vAlign w:val="center"/>
                </w:tcPr>
                <w:p>
                  <w:pPr>
                    <w:snapToGrid w:val="0"/>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检验</w:t>
                  </w:r>
                </w:p>
              </w:tc>
              <w:tc>
                <w:tcPr>
                  <w:tcW w:w="638" w:type="dxa"/>
                  <w:tcBorders>
                    <w:top w:val="single" w:color="auto" w:sz="12" w:space="0"/>
                    <w:bottom w:val="single" w:color="auto" w:sz="4" w:space="0"/>
                  </w:tcBorders>
                  <w:noWrap w:val="0"/>
                  <w:vAlign w:val="center"/>
                </w:tcPr>
                <w:p>
                  <w:pPr>
                    <w:snapToGrid w:val="0"/>
                    <w:spacing w:line="240" w:lineRule="auto"/>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固态</w:t>
                  </w:r>
                </w:p>
              </w:tc>
              <w:tc>
                <w:tcPr>
                  <w:tcW w:w="1700" w:type="dxa"/>
                  <w:tcBorders>
                    <w:top w:val="single" w:color="auto" w:sz="12" w:space="0"/>
                    <w:bottom w:val="single" w:color="auto" w:sz="4" w:space="0"/>
                  </w:tcBorders>
                  <w:noWrap w:val="0"/>
                  <w:vAlign w:val="center"/>
                </w:tcPr>
                <w:p>
                  <w:pPr>
                    <w:spacing w:line="240" w:lineRule="auto"/>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塑料</w:t>
                  </w:r>
                </w:p>
              </w:tc>
              <w:tc>
                <w:tcPr>
                  <w:tcW w:w="727" w:type="dxa"/>
                  <w:tcBorders>
                    <w:top w:val="single" w:color="auto" w:sz="12" w:space="0"/>
                    <w:bottom w:val="single" w:color="auto" w:sz="4" w:space="0"/>
                  </w:tcBorders>
                  <w:noWrap w:val="0"/>
                  <w:vAlign w:val="center"/>
                </w:tcPr>
                <w:p>
                  <w:pPr>
                    <w:topLinePunct/>
                    <w:snapToGrid w:val="0"/>
                    <w:spacing w:line="240" w:lineRule="auto"/>
                    <w:jc w:val="center"/>
                    <w:rPr>
                      <w:sz w:val="21"/>
                      <w:szCs w:val="21"/>
                    </w:rPr>
                  </w:pPr>
                  <w:r>
                    <w:rPr>
                      <w:sz w:val="21"/>
                      <w:szCs w:val="21"/>
                    </w:rPr>
                    <w:t>/</w:t>
                  </w:r>
                </w:p>
              </w:tc>
              <w:tc>
                <w:tcPr>
                  <w:tcW w:w="770" w:type="dxa"/>
                  <w:tcBorders>
                    <w:top w:val="single" w:color="auto" w:sz="12" w:space="0"/>
                    <w:bottom w:val="single" w:color="auto" w:sz="4" w:space="0"/>
                  </w:tcBorders>
                  <w:noWrap w:val="0"/>
                  <w:vAlign w:val="center"/>
                </w:tcPr>
                <w:p>
                  <w:pPr>
                    <w:topLinePunct/>
                    <w:snapToGrid w:val="0"/>
                    <w:spacing w:line="240" w:lineRule="auto"/>
                    <w:jc w:val="center"/>
                    <w:rPr>
                      <w:sz w:val="21"/>
                      <w:szCs w:val="21"/>
                    </w:rPr>
                  </w:pPr>
                  <w:r>
                    <w:rPr>
                      <w:sz w:val="21"/>
                      <w:szCs w:val="21"/>
                    </w:rPr>
                    <w:t>/</w:t>
                  </w:r>
                </w:p>
              </w:tc>
              <w:tc>
                <w:tcPr>
                  <w:tcW w:w="1340" w:type="dxa"/>
                  <w:tcBorders>
                    <w:top w:val="single" w:color="auto" w:sz="12" w:space="0"/>
                    <w:bottom w:val="single" w:color="auto" w:sz="4" w:space="0"/>
                  </w:tcBorders>
                  <w:noWrap w:val="0"/>
                  <w:vAlign w:val="center"/>
                </w:tcPr>
                <w:p>
                  <w:pPr>
                    <w:snapToGrid w:val="0"/>
                    <w:spacing w:line="240" w:lineRule="auto"/>
                    <w:jc w:val="center"/>
                    <w:rPr>
                      <w:sz w:val="21"/>
                      <w:szCs w:val="21"/>
                    </w:rPr>
                  </w:pPr>
                  <w:r>
                    <w:rPr>
                      <w:sz w:val="21"/>
                      <w:szCs w:val="21"/>
                    </w:rPr>
                    <w:t>/</w:t>
                  </w:r>
                </w:p>
              </w:tc>
              <w:tc>
                <w:tcPr>
                  <w:tcW w:w="837" w:type="dxa"/>
                  <w:tcBorders>
                    <w:top w:val="single" w:color="auto" w:sz="12" w:space="0"/>
                    <w:bottom w:val="single" w:color="auto" w:sz="4" w:space="0"/>
                  </w:tcBorders>
                  <w:noWrap w:val="0"/>
                  <w:vAlign w:val="center"/>
                </w:tcPr>
                <w:p>
                  <w:pPr>
                    <w:widowControl/>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60" w:hRule="atLeast"/>
                <w:jc w:val="center"/>
              </w:trPr>
              <w:tc>
                <w:tcPr>
                  <w:tcW w:w="516" w:type="dxa"/>
                  <w:tcBorders>
                    <w:top w:val="single" w:color="auto" w:sz="4" w:space="0"/>
                    <w:bottom w:val="single" w:color="auto" w:sz="4" w:space="0"/>
                  </w:tcBorders>
                  <w:noWrap w:val="0"/>
                  <w:vAlign w:val="center"/>
                </w:tcPr>
                <w:p>
                  <w:pPr>
                    <w:topLinePunct/>
                    <w:snapToGrid w:val="0"/>
                    <w:spacing w:line="240" w:lineRule="auto"/>
                    <w:jc w:val="center"/>
                    <w:rPr>
                      <w:rFonts w:hint="eastAsia" w:eastAsia="宋体"/>
                      <w:kern w:val="0"/>
                      <w:sz w:val="21"/>
                      <w:szCs w:val="21"/>
                      <w:lang w:val="en-US" w:eastAsia="zh-CN"/>
                    </w:rPr>
                  </w:pPr>
                  <w:r>
                    <w:rPr>
                      <w:rFonts w:hint="eastAsia"/>
                      <w:kern w:val="0"/>
                      <w:sz w:val="21"/>
                      <w:szCs w:val="21"/>
                      <w:lang w:val="en-US" w:eastAsia="zh-CN"/>
                    </w:rPr>
                    <w:t>2</w:t>
                  </w:r>
                </w:p>
              </w:tc>
              <w:tc>
                <w:tcPr>
                  <w:tcW w:w="1238" w:type="dxa"/>
                  <w:tcBorders>
                    <w:top w:val="single" w:color="auto" w:sz="4" w:space="0"/>
                    <w:bottom w:val="single" w:color="auto" w:sz="4" w:space="0"/>
                  </w:tcBorders>
                  <w:noWrap w:val="0"/>
                  <w:vAlign w:val="center"/>
                </w:tcPr>
                <w:p>
                  <w:pPr>
                    <w:snapToGrid w:val="0"/>
                    <w:spacing w:line="240" w:lineRule="auto"/>
                    <w:jc w:val="center"/>
                    <w:rPr>
                      <w:rFonts w:ascii="Times New Roman" w:hAnsi="Times New Roman" w:eastAsia="宋体" w:cs="Times New Roman"/>
                      <w:kern w:val="2"/>
                      <w:sz w:val="21"/>
                      <w:szCs w:val="21"/>
                      <w:lang w:val="en-US" w:eastAsia="zh-CN" w:bidi="ar-SA"/>
                    </w:rPr>
                  </w:pPr>
                  <w:r>
                    <w:rPr>
                      <w:rFonts w:hint="eastAsia"/>
                      <w:sz w:val="21"/>
                      <w:szCs w:val="21"/>
                      <w:lang w:val="en-US" w:eastAsia="zh-CN"/>
                    </w:rPr>
                    <w:t>废包装</w:t>
                  </w:r>
                </w:p>
              </w:tc>
              <w:tc>
                <w:tcPr>
                  <w:tcW w:w="659" w:type="dxa"/>
                  <w:vMerge w:val="continue"/>
                  <w:noWrap w:val="0"/>
                  <w:vAlign w:val="center"/>
                </w:tcPr>
                <w:p>
                  <w:pPr>
                    <w:snapToGrid w:val="0"/>
                    <w:spacing w:line="240" w:lineRule="auto"/>
                    <w:jc w:val="center"/>
                    <w:rPr>
                      <w:rFonts w:hint="eastAsia"/>
                      <w:kern w:val="0"/>
                      <w:sz w:val="21"/>
                      <w:szCs w:val="21"/>
                      <w:lang w:val="en-US" w:eastAsia="zh-CN"/>
                    </w:rPr>
                  </w:pPr>
                </w:p>
              </w:tc>
              <w:tc>
                <w:tcPr>
                  <w:tcW w:w="987" w:type="dxa"/>
                  <w:tcBorders>
                    <w:top w:val="single" w:color="auto" w:sz="4" w:space="0"/>
                    <w:bottom w:val="single" w:color="auto" w:sz="4" w:space="0"/>
                  </w:tcBorders>
                  <w:noWrap w:val="0"/>
                  <w:vAlign w:val="center"/>
                </w:tcPr>
                <w:p>
                  <w:pPr>
                    <w:snapToGrid w:val="0"/>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入库</w:t>
                  </w:r>
                </w:p>
              </w:tc>
              <w:tc>
                <w:tcPr>
                  <w:tcW w:w="638" w:type="dxa"/>
                  <w:tcBorders>
                    <w:top w:val="single" w:color="auto" w:sz="4" w:space="0"/>
                    <w:bottom w:val="single" w:color="auto" w:sz="4" w:space="0"/>
                  </w:tcBorders>
                  <w:noWrap w:val="0"/>
                  <w:vAlign w:val="center"/>
                </w:tcPr>
                <w:p>
                  <w:pPr>
                    <w:snapToGrid w:val="0"/>
                    <w:spacing w:line="240" w:lineRule="auto"/>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固态</w:t>
                  </w:r>
                </w:p>
              </w:tc>
              <w:tc>
                <w:tcPr>
                  <w:tcW w:w="1700" w:type="dxa"/>
                  <w:tcBorders>
                    <w:top w:val="single" w:color="auto" w:sz="4" w:space="0"/>
                    <w:bottom w:val="single" w:color="auto" w:sz="4" w:space="0"/>
                  </w:tcBorders>
                  <w:noWrap w:val="0"/>
                  <w:vAlign w:val="center"/>
                </w:tcPr>
                <w:p>
                  <w:pPr>
                    <w:spacing w:line="240" w:lineRule="auto"/>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塑料</w:t>
                  </w:r>
                </w:p>
              </w:tc>
              <w:tc>
                <w:tcPr>
                  <w:tcW w:w="727" w:type="dxa"/>
                  <w:tcBorders>
                    <w:top w:val="single" w:color="auto" w:sz="4" w:space="0"/>
                    <w:bottom w:val="single" w:color="auto" w:sz="4" w:space="0"/>
                  </w:tcBorders>
                  <w:noWrap w:val="0"/>
                  <w:vAlign w:val="center"/>
                </w:tcPr>
                <w:p>
                  <w:pPr>
                    <w:topLinePunct/>
                    <w:snapToGrid w:val="0"/>
                    <w:spacing w:line="240" w:lineRule="auto"/>
                    <w:jc w:val="center"/>
                    <w:rPr>
                      <w:rFonts w:ascii="Times New Roman" w:hAnsi="Times New Roman" w:eastAsia="宋体" w:cs="Times New Roman"/>
                      <w:kern w:val="2"/>
                      <w:sz w:val="21"/>
                      <w:szCs w:val="21"/>
                      <w:lang w:val="en-US" w:eastAsia="zh-CN" w:bidi="ar-SA"/>
                    </w:rPr>
                  </w:pPr>
                  <w:r>
                    <w:rPr>
                      <w:sz w:val="21"/>
                      <w:szCs w:val="21"/>
                    </w:rPr>
                    <w:t>/</w:t>
                  </w:r>
                </w:p>
              </w:tc>
              <w:tc>
                <w:tcPr>
                  <w:tcW w:w="770" w:type="dxa"/>
                  <w:tcBorders>
                    <w:top w:val="single" w:color="auto" w:sz="4" w:space="0"/>
                    <w:bottom w:val="single" w:color="auto" w:sz="4" w:space="0"/>
                  </w:tcBorders>
                  <w:noWrap w:val="0"/>
                  <w:vAlign w:val="center"/>
                </w:tcPr>
                <w:p>
                  <w:pPr>
                    <w:topLinePunct/>
                    <w:snapToGrid w:val="0"/>
                    <w:spacing w:line="240" w:lineRule="auto"/>
                    <w:jc w:val="center"/>
                    <w:rPr>
                      <w:rFonts w:ascii="Times New Roman" w:hAnsi="Times New Roman" w:eastAsia="宋体" w:cs="Times New Roman"/>
                      <w:kern w:val="2"/>
                      <w:sz w:val="21"/>
                      <w:szCs w:val="21"/>
                      <w:lang w:val="en-US" w:eastAsia="zh-CN" w:bidi="ar-SA"/>
                    </w:rPr>
                  </w:pPr>
                  <w:r>
                    <w:rPr>
                      <w:sz w:val="21"/>
                      <w:szCs w:val="21"/>
                    </w:rPr>
                    <w:t>/</w:t>
                  </w:r>
                </w:p>
              </w:tc>
              <w:tc>
                <w:tcPr>
                  <w:tcW w:w="1340" w:type="dxa"/>
                  <w:tcBorders>
                    <w:top w:val="single" w:color="auto" w:sz="4" w:space="0"/>
                    <w:bottom w:val="single" w:color="auto" w:sz="4" w:space="0"/>
                  </w:tcBorders>
                  <w:noWrap w:val="0"/>
                  <w:vAlign w:val="center"/>
                </w:tcPr>
                <w:p>
                  <w:pPr>
                    <w:snapToGrid w:val="0"/>
                    <w:spacing w:line="240" w:lineRule="auto"/>
                    <w:jc w:val="center"/>
                    <w:rPr>
                      <w:rFonts w:ascii="Times New Roman" w:hAnsi="Times New Roman" w:eastAsia="宋体" w:cs="Times New Roman"/>
                      <w:kern w:val="2"/>
                      <w:sz w:val="21"/>
                      <w:szCs w:val="21"/>
                      <w:lang w:val="en-US" w:eastAsia="zh-CN" w:bidi="ar-SA"/>
                    </w:rPr>
                  </w:pPr>
                  <w:r>
                    <w:rPr>
                      <w:sz w:val="21"/>
                      <w:szCs w:val="21"/>
                    </w:rPr>
                    <w:t>/</w:t>
                  </w:r>
                </w:p>
              </w:tc>
              <w:tc>
                <w:tcPr>
                  <w:tcW w:w="837" w:type="dxa"/>
                  <w:tcBorders>
                    <w:top w:val="single" w:color="auto" w:sz="4" w:space="0"/>
                    <w:bottom w:val="single" w:color="auto" w:sz="4" w:space="0"/>
                  </w:tcBorders>
                  <w:noWrap w:val="0"/>
                  <w:vAlign w:val="center"/>
                </w:tcPr>
                <w:p>
                  <w:pPr>
                    <w:widowControl/>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60" w:hRule="atLeast"/>
                <w:jc w:val="center"/>
              </w:trPr>
              <w:tc>
                <w:tcPr>
                  <w:tcW w:w="516" w:type="dxa"/>
                  <w:tcBorders>
                    <w:top w:val="single" w:color="auto" w:sz="4" w:space="0"/>
                  </w:tcBorders>
                  <w:noWrap w:val="0"/>
                  <w:vAlign w:val="center"/>
                </w:tcPr>
                <w:p>
                  <w:pPr>
                    <w:topLinePunct/>
                    <w:snapToGrid w:val="0"/>
                    <w:spacing w:line="240" w:lineRule="auto"/>
                    <w:jc w:val="center"/>
                    <w:rPr>
                      <w:rFonts w:hint="eastAsia" w:eastAsia="宋体"/>
                      <w:kern w:val="0"/>
                      <w:sz w:val="21"/>
                      <w:szCs w:val="21"/>
                      <w:lang w:val="en-US" w:eastAsia="zh-CN"/>
                    </w:rPr>
                  </w:pPr>
                  <w:r>
                    <w:rPr>
                      <w:rFonts w:hint="eastAsia"/>
                      <w:kern w:val="0"/>
                      <w:sz w:val="21"/>
                      <w:szCs w:val="21"/>
                      <w:lang w:val="en-US" w:eastAsia="zh-CN"/>
                    </w:rPr>
                    <w:t>3</w:t>
                  </w:r>
                </w:p>
              </w:tc>
              <w:tc>
                <w:tcPr>
                  <w:tcW w:w="1238" w:type="dxa"/>
                  <w:tcBorders>
                    <w:top w:val="single" w:color="auto" w:sz="4" w:space="0"/>
                  </w:tcBorders>
                  <w:noWrap w:val="0"/>
                  <w:vAlign w:val="center"/>
                </w:tcPr>
                <w:p>
                  <w:pPr>
                    <w:snapToGrid w:val="0"/>
                    <w:spacing w:line="240" w:lineRule="auto"/>
                    <w:jc w:val="center"/>
                    <w:rPr>
                      <w:rFonts w:ascii="Times New Roman" w:hAnsi="Times New Roman" w:eastAsia="宋体" w:cs="Times New Roman"/>
                      <w:kern w:val="2"/>
                      <w:sz w:val="21"/>
                      <w:szCs w:val="21"/>
                      <w:lang w:val="en-US" w:eastAsia="zh-CN" w:bidi="ar-SA"/>
                    </w:rPr>
                  </w:pPr>
                  <w:r>
                    <w:rPr>
                      <w:rFonts w:hint="eastAsia"/>
                      <w:sz w:val="21"/>
                      <w:szCs w:val="21"/>
                      <w:lang w:val="en-US" w:eastAsia="zh-CN"/>
                    </w:rPr>
                    <w:t>布袋收尘</w:t>
                  </w:r>
                </w:p>
              </w:tc>
              <w:tc>
                <w:tcPr>
                  <w:tcW w:w="659" w:type="dxa"/>
                  <w:vMerge w:val="continue"/>
                  <w:noWrap w:val="0"/>
                  <w:vAlign w:val="center"/>
                </w:tcPr>
                <w:p>
                  <w:pPr>
                    <w:snapToGrid w:val="0"/>
                    <w:spacing w:line="240" w:lineRule="auto"/>
                    <w:jc w:val="center"/>
                    <w:rPr>
                      <w:rFonts w:hint="eastAsia"/>
                      <w:kern w:val="0"/>
                      <w:sz w:val="21"/>
                      <w:szCs w:val="21"/>
                      <w:lang w:val="en-US" w:eastAsia="zh-CN"/>
                    </w:rPr>
                  </w:pPr>
                </w:p>
              </w:tc>
              <w:tc>
                <w:tcPr>
                  <w:tcW w:w="987" w:type="dxa"/>
                  <w:tcBorders>
                    <w:top w:val="single" w:color="auto" w:sz="4" w:space="0"/>
                  </w:tcBorders>
                  <w:noWrap w:val="0"/>
                  <w:vAlign w:val="center"/>
                </w:tcPr>
                <w:p>
                  <w:pPr>
                    <w:snapToGrid w:val="0"/>
                    <w:spacing w:line="240" w:lineRule="auto"/>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废气处理</w:t>
                  </w:r>
                </w:p>
              </w:tc>
              <w:tc>
                <w:tcPr>
                  <w:tcW w:w="638" w:type="dxa"/>
                  <w:tcBorders>
                    <w:top w:val="single" w:color="auto" w:sz="4" w:space="0"/>
                  </w:tcBorders>
                  <w:noWrap w:val="0"/>
                  <w:vAlign w:val="center"/>
                </w:tcPr>
                <w:p>
                  <w:pPr>
                    <w:snapToGrid w:val="0"/>
                    <w:spacing w:line="240" w:lineRule="auto"/>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固态</w:t>
                  </w:r>
                </w:p>
              </w:tc>
              <w:tc>
                <w:tcPr>
                  <w:tcW w:w="1700" w:type="dxa"/>
                  <w:tcBorders>
                    <w:top w:val="single" w:color="auto" w:sz="4" w:space="0"/>
                  </w:tcBorders>
                  <w:noWrap w:val="0"/>
                  <w:vAlign w:val="center"/>
                </w:tcPr>
                <w:p>
                  <w:pPr>
                    <w:snapToGrid w:val="0"/>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CaCO</w:t>
                  </w:r>
                  <w:r>
                    <w:rPr>
                      <w:rFonts w:hint="eastAsia"/>
                      <w:sz w:val="21"/>
                      <w:szCs w:val="21"/>
                      <w:vertAlign w:val="subscript"/>
                      <w:lang w:val="en-US" w:eastAsia="zh-CN"/>
                    </w:rPr>
                    <w:t>3</w:t>
                  </w:r>
                </w:p>
              </w:tc>
              <w:tc>
                <w:tcPr>
                  <w:tcW w:w="727" w:type="dxa"/>
                  <w:tcBorders>
                    <w:top w:val="single" w:color="auto" w:sz="4" w:space="0"/>
                  </w:tcBorders>
                  <w:noWrap w:val="0"/>
                  <w:vAlign w:val="center"/>
                </w:tcPr>
                <w:p>
                  <w:pPr>
                    <w:topLinePunct/>
                    <w:snapToGrid w:val="0"/>
                    <w:spacing w:line="240" w:lineRule="auto"/>
                    <w:jc w:val="center"/>
                    <w:rPr>
                      <w:rFonts w:ascii="Times New Roman" w:hAnsi="Times New Roman" w:eastAsia="宋体" w:cs="Times New Roman"/>
                      <w:kern w:val="2"/>
                      <w:sz w:val="21"/>
                      <w:szCs w:val="21"/>
                      <w:lang w:val="en-US" w:eastAsia="zh-CN" w:bidi="ar-SA"/>
                    </w:rPr>
                  </w:pPr>
                  <w:r>
                    <w:rPr>
                      <w:sz w:val="21"/>
                      <w:szCs w:val="21"/>
                    </w:rPr>
                    <w:t>/</w:t>
                  </w:r>
                </w:p>
              </w:tc>
              <w:tc>
                <w:tcPr>
                  <w:tcW w:w="770" w:type="dxa"/>
                  <w:tcBorders>
                    <w:top w:val="single" w:color="auto" w:sz="4" w:space="0"/>
                  </w:tcBorders>
                  <w:noWrap w:val="0"/>
                  <w:vAlign w:val="center"/>
                </w:tcPr>
                <w:p>
                  <w:pPr>
                    <w:topLinePunct/>
                    <w:snapToGrid w:val="0"/>
                    <w:spacing w:line="240" w:lineRule="auto"/>
                    <w:jc w:val="center"/>
                    <w:rPr>
                      <w:rFonts w:ascii="Times New Roman" w:hAnsi="Times New Roman" w:eastAsia="宋体" w:cs="Times New Roman"/>
                      <w:kern w:val="2"/>
                      <w:sz w:val="21"/>
                      <w:szCs w:val="21"/>
                      <w:lang w:val="en-US" w:eastAsia="zh-CN" w:bidi="ar-SA"/>
                    </w:rPr>
                  </w:pPr>
                  <w:r>
                    <w:rPr>
                      <w:sz w:val="21"/>
                      <w:szCs w:val="21"/>
                    </w:rPr>
                    <w:t>/</w:t>
                  </w:r>
                </w:p>
              </w:tc>
              <w:tc>
                <w:tcPr>
                  <w:tcW w:w="1340" w:type="dxa"/>
                  <w:tcBorders>
                    <w:top w:val="single" w:color="auto" w:sz="4" w:space="0"/>
                  </w:tcBorders>
                  <w:noWrap w:val="0"/>
                  <w:vAlign w:val="center"/>
                </w:tcPr>
                <w:p>
                  <w:pPr>
                    <w:snapToGrid w:val="0"/>
                    <w:spacing w:line="240" w:lineRule="auto"/>
                    <w:jc w:val="center"/>
                    <w:rPr>
                      <w:rFonts w:ascii="Times New Roman" w:hAnsi="Times New Roman" w:eastAsia="宋体" w:cs="Times New Roman"/>
                      <w:kern w:val="2"/>
                      <w:sz w:val="21"/>
                      <w:szCs w:val="21"/>
                      <w:lang w:val="en-US" w:eastAsia="zh-CN" w:bidi="ar-SA"/>
                    </w:rPr>
                  </w:pPr>
                  <w:r>
                    <w:rPr>
                      <w:sz w:val="21"/>
                      <w:szCs w:val="21"/>
                    </w:rPr>
                    <w:t>/</w:t>
                  </w:r>
                </w:p>
              </w:tc>
              <w:tc>
                <w:tcPr>
                  <w:tcW w:w="837" w:type="dxa"/>
                  <w:tcBorders>
                    <w:top w:val="single" w:color="auto" w:sz="4" w:space="0"/>
                  </w:tcBorders>
                  <w:noWrap w:val="0"/>
                  <w:vAlign w:val="center"/>
                </w:tcPr>
                <w:p>
                  <w:pPr>
                    <w:widowControl/>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0.2673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16" w:type="dxa"/>
                  <w:noWrap w:val="0"/>
                  <w:vAlign w:val="center"/>
                </w:tcPr>
                <w:p>
                  <w:pPr>
                    <w:snapToGrid w:val="0"/>
                    <w:spacing w:line="240" w:lineRule="auto"/>
                    <w:jc w:val="center"/>
                    <w:rPr>
                      <w:rFonts w:hint="eastAsia" w:eastAsia="宋体"/>
                      <w:sz w:val="21"/>
                      <w:szCs w:val="21"/>
                      <w:lang w:eastAsia="zh-CN"/>
                    </w:rPr>
                  </w:pPr>
                  <w:r>
                    <w:rPr>
                      <w:rFonts w:hint="eastAsia"/>
                      <w:sz w:val="21"/>
                      <w:szCs w:val="21"/>
                      <w:lang w:val="en-US" w:eastAsia="zh-CN"/>
                    </w:rPr>
                    <w:t>4</w:t>
                  </w:r>
                </w:p>
              </w:tc>
              <w:tc>
                <w:tcPr>
                  <w:tcW w:w="1238" w:type="dxa"/>
                  <w:noWrap w:val="0"/>
                  <w:vAlign w:val="center"/>
                </w:tcPr>
                <w:p>
                  <w:pPr>
                    <w:snapToGrid w:val="0"/>
                    <w:spacing w:line="240" w:lineRule="auto"/>
                    <w:jc w:val="center"/>
                    <w:rPr>
                      <w:rFonts w:ascii="Times New Roman" w:hAnsi="Times New Roman" w:eastAsia="宋体" w:cs="Times New Roman"/>
                      <w:kern w:val="2"/>
                      <w:sz w:val="21"/>
                      <w:szCs w:val="21"/>
                      <w:lang w:val="en-US" w:eastAsia="zh-CN" w:bidi="ar-SA"/>
                    </w:rPr>
                  </w:pPr>
                  <w:r>
                    <w:rPr>
                      <w:sz w:val="21"/>
                      <w:szCs w:val="21"/>
                    </w:rPr>
                    <w:t>废活性炭</w:t>
                  </w:r>
                </w:p>
              </w:tc>
              <w:tc>
                <w:tcPr>
                  <w:tcW w:w="659" w:type="dxa"/>
                  <w:noWrap w:val="0"/>
                  <w:vAlign w:val="center"/>
                </w:tcPr>
                <w:p>
                  <w:pPr>
                    <w:snapToGrid w:val="0"/>
                    <w:spacing w:line="240" w:lineRule="auto"/>
                    <w:jc w:val="center"/>
                    <w:rPr>
                      <w:rFonts w:hint="eastAsia" w:cs="Times New Roman"/>
                      <w:kern w:val="0"/>
                      <w:sz w:val="21"/>
                      <w:szCs w:val="21"/>
                      <w:lang w:val="en-US" w:eastAsia="zh-CN" w:bidi="ar-SA"/>
                    </w:rPr>
                  </w:pPr>
                  <w:r>
                    <w:rPr>
                      <w:rFonts w:hint="eastAsia" w:cs="Times New Roman"/>
                      <w:kern w:val="0"/>
                      <w:sz w:val="21"/>
                      <w:szCs w:val="21"/>
                      <w:lang w:val="en-US" w:eastAsia="zh-CN" w:bidi="ar-SA"/>
                    </w:rPr>
                    <w:t>危险</w:t>
                  </w:r>
                </w:p>
                <w:p>
                  <w:pPr>
                    <w:snapToGrid w:val="0"/>
                    <w:spacing w:line="240" w:lineRule="auto"/>
                    <w:jc w:val="center"/>
                    <w:rPr>
                      <w:rFonts w:hint="default" w:ascii="Times New Roman" w:hAnsi="Times New Roman" w:eastAsia="宋体" w:cs="Times New Roman"/>
                      <w:kern w:val="0"/>
                      <w:sz w:val="21"/>
                      <w:szCs w:val="21"/>
                      <w:lang w:val="en-US" w:eastAsia="zh-CN" w:bidi="ar-SA"/>
                    </w:rPr>
                  </w:pPr>
                  <w:r>
                    <w:rPr>
                      <w:rFonts w:hint="eastAsia" w:cs="Times New Roman"/>
                      <w:kern w:val="0"/>
                      <w:sz w:val="21"/>
                      <w:szCs w:val="21"/>
                      <w:lang w:val="en-US" w:eastAsia="zh-CN" w:bidi="ar-SA"/>
                    </w:rPr>
                    <w:t>固废</w:t>
                  </w:r>
                </w:p>
              </w:tc>
              <w:tc>
                <w:tcPr>
                  <w:tcW w:w="987" w:type="dxa"/>
                  <w:noWrap w:val="0"/>
                  <w:vAlign w:val="center"/>
                </w:tcPr>
                <w:p>
                  <w:pPr>
                    <w:snapToGrid w:val="0"/>
                    <w:spacing w:line="240" w:lineRule="auto"/>
                    <w:jc w:val="center"/>
                    <w:rPr>
                      <w:rFonts w:ascii="Times New Roman" w:hAnsi="Times New Roman" w:eastAsia="宋体" w:cs="Times New Roman"/>
                      <w:kern w:val="2"/>
                      <w:sz w:val="21"/>
                      <w:szCs w:val="21"/>
                      <w:lang w:val="en-US" w:eastAsia="zh-CN" w:bidi="ar-SA"/>
                    </w:rPr>
                  </w:pPr>
                  <w:r>
                    <w:rPr>
                      <w:sz w:val="21"/>
                      <w:szCs w:val="21"/>
                    </w:rPr>
                    <w:t>废气处理</w:t>
                  </w:r>
                </w:p>
              </w:tc>
              <w:tc>
                <w:tcPr>
                  <w:tcW w:w="638" w:type="dxa"/>
                  <w:noWrap w:val="0"/>
                  <w:vAlign w:val="center"/>
                </w:tcPr>
                <w:p>
                  <w:pPr>
                    <w:snapToGrid w:val="0"/>
                    <w:spacing w:line="240" w:lineRule="auto"/>
                    <w:jc w:val="center"/>
                    <w:rPr>
                      <w:rFonts w:ascii="Times New Roman" w:hAnsi="Times New Roman" w:eastAsia="宋体" w:cs="Times New Roman"/>
                      <w:kern w:val="2"/>
                      <w:sz w:val="21"/>
                      <w:szCs w:val="21"/>
                      <w:lang w:val="en-US" w:eastAsia="zh-CN" w:bidi="ar-SA"/>
                    </w:rPr>
                  </w:pPr>
                  <w:r>
                    <w:rPr>
                      <w:sz w:val="21"/>
                      <w:szCs w:val="21"/>
                    </w:rPr>
                    <w:t>固态</w:t>
                  </w:r>
                </w:p>
              </w:tc>
              <w:tc>
                <w:tcPr>
                  <w:tcW w:w="1700" w:type="dxa"/>
                  <w:noWrap w:val="0"/>
                  <w:vAlign w:val="center"/>
                </w:tcPr>
                <w:p>
                  <w:pPr>
                    <w:snapToGrid w:val="0"/>
                    <w:spacing w:line="240" w:lineRule="auto"/>
                    <w:jc w:val="center"/>
                    <w:rPr>
                      <w:rFonts w:ascii="Times New Roman" w:hAnsi="Times New Roman" w:eastAsia="宋体" w:cs="Times New Roman"/>
                      <w:kern w:val="2"/>
                      <w:sz w:val="21"/>
                      <w:szCs w:val="21"/>
                      <w:lang w:val="en-US" w:eastAsia="zh-CN" w:bidi="ar-SA"/>
                    </w:rPr>
                  </w:pPr>
                  <w:r>
                    <w:rPr>
                      <w:sz w:val="21"/>
                      <w:szCs w:val="21"/>
                    </w:rPr>
                    <w:t>活性炭、有机物</w:t>
                  </w:r>
                </w:p>
              </w:tc>
              <w:tc>
                <w:tcPr>
                  <w:tcW w:w="727" w:type="dxa"/>
                  <w:noWrap w:val="0"/>
                  <w:vAlign w:val="center"/>
                </w:tcPr>
                <w:p>
                  <w:pPr>
                    <w:snapToGrid w:val="0"/>
                    <w:spacing w:line="240" w:lineRule="auto"/>
                    <w:jc w:val="center"/>
                    <w:rPr>
                      <w:rFonts w:ascii="Times New Roman" w:hAnsi="Times New Roman" w:eastAsia="宋体" w:cs="Times New Roman"/>
                      <w:kern w:val="2"/>
                      <w:sz w:val="21"/>
                      <w:szCs w:val="21"/>
                      <w:lang w:val="en-US" w:eastAsia="zh-CN" w:bidi="ar-SA"/>
                    </w:rPr>
                  </w:pPr>
                  <w:r>
                    <w:rPr>
                      <w:sz w:val="21"/>
                      <w:szCs w:val="21"/>
                    </w:rPr>
                    <w:t>T/In</w:t>
                  </w:r>
                </w:p>
              </w:tc>
              <w:tc>
                <w:tcPr>
                  <w:tcW w:w="770" w:type="dxa"/>
                  <w:noWrap w:val="0"/>
                  <w:vAlign w:val="center"/>
                </w:tcPr>
                <w:p>
                  <w:pPr>
                    <w:snapToGrid w:val="0"/>
                    <w:spacing w:line="240" w:lineRule="auto"/>
                    <w:jc w:val="center"/>
                    <w:rPr>
                      <w:rFonts w:ascii="Times New Roman" w:hAnsi="Times New Roman" w:eastAsia="宋体" w:cs="Times New Roman"/>
                      <w:kern w:val="2"/>
                      <w:sz w:val="21"/>
                      <w:szCs w:val="21"/>
                      <w:lang w:val="en-US" w:eastAsia="zh-CN" w:bidi="ar-SA"/>
                    </w:rPr>
                  </w:pPr>
                  <w:r>
                    <w:rPr>
                      <w:sz w:val="21"/>
                      <w:szCs w:val="21"/>
                    </w:rPr>
                    <w:t>HW49</w:t>
                  </w:r>
                </w:p>
              </w:tc>
              <w:tc>
                <w:tcPr>
                  <w:tcW w:w="1340" w:type="dxa"/>
                  <w:noWrap w:val="0"/>
                  <w:vAlign w:val="center"/>
                </w:tcPr>
                <w:p>
                  <w:pPr>
                    <w:snapToGrid w:val="0"/>
                    <w:spacing w:line="240" w:lineRule="auto"/>
                    <w:jc w:val="center"/>
                    <w:rPr>
                      <w:rFonts w:ascii="Times New Roman" w:hAnsi="Times New Roman" w:eastAsia="宋体" w:cs="Times New Roman"/>
                      <w:kern w:val="2"/>
                      <w:sz w:val="21"/>
                      <w:szCs w:val="21"/>
                      <w:lang w:val="en-US" w:eastAsia="zh-CN" w:bidi="ar-SA"/>
                    </w:rPr>
                  </w:pPr>
                  <w:r>
                    <w:rPr>
                      <w:sz w:val="21"/>
                      <w:szCs w:val="21"/>
                    </w:rPr>
                    <w:t>900-041-49</w:t>
                  </w:r>
                </w:p>
              </w:tc>
              <w:tc>
                <w:tcPr>
                  <w:tcW w:w="837" w:type="dxa"/>
                  <w:noWrap w:val="0"/>
                  <w:vAlign w:val="center"/>
                </w:tcPr>
                <w:p>
                  <w:pPr>
                    <w:widowControl/>
                    <w:spacing w:line="240" w:lineRule="auto"/>
                    <w:jc w:val="center"/>
                    <w:textAlignment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65" w:hRule="atLeast"/>
                <w:jc w:val="center"/>
              </w:trPr>
              <w:tc>
                <w:tcPr>
                  <w:tcW w:w="516" w:type="dxa"/>
                  <w:tcBorders>
                    <w:bottom w:val="single" w:color="auto" w:sz="12" w:space="0"/>
                  </w:tcBorders>
                  <w:noWrap w:val="0"/>
                  <w:vAlign w:val="center"/>
                </w:tcPr>
                <w:p>
                  <w:pPr>
                    <w:snapToGrid w:val="0"/>
                    <w:spacing w:line="240" w:lineRule="auto"/>
                    <w:jc w:val="center"/>
                    <w:rPr>
                      <w:rFonts w:hint="eastAsia" w:eastAsia="宋体"/>
                      <w:sz w:val="21"/>
                      <w:szCs w:val="21"/>
                      <w:lang w:eastAsia="zh-CN"/>
                    </w:rPr>
                  </w:pPr>
                  <w:r>
                    <w:rPr>
                      <w:rFonts w:hint="eastAsia"/>
                      <w:sz w:val="21"/>
                      <w:szCs w:val="21"/>
                      <w:lang w:val="en-US" w:eastAsia="zh-CN"/>
                    </w:rPr>
                    <w:t>5</w:t>
                  </w:r>
                </w:p>
              </w:tc>
              <w:tc>
                <w:tcPr>
                  <w:tcW w:w="1238" w:type="dxa"/>
                  <w:tcBorders>
                    <w:bottom w:val="single" w:color="auto" w:sz="12" w:space="0"/>
                  </w:tcBorders>
                  <w:noWrap w:val="0"/>
                  <w:vAlign w:val="center"/>
                </w:tcPr>
                <w:p>
                  <w:pPr>
                    <w:snapToGrid w:val="0"/>
                    <w:spacing w:line="240" w:lineRule="auto"/>
                    <w:jc w:val="center"/>
                    <w:rPr>
                      <w:sz w:val="21"/>
                      <w:szCs w:val="21"/>
                    </w:rPr>
                  </w:pPr>
                  <w:r>
                    <w:rPr>
                      <w:sz w:val="21"/>
                      <w:szCs w:val="21"/>
                    </w:rPr>
                    <w:t>生活垃圾</w:t>
                  </w:r>
                </w:p>
              </w:tc>
              <w:tc>
                <w:tcPr>
                  <w:tcW w:w="659" w:type="dxa"/>
                  <w:tcBorders>
                    <w:bottom w:val="single" w:color="auto" w:sz="12" w:space="0"/>
                  </w:tcBorders>
                  <w:noWrap w:val="0"/>
                  <w:vAlign w:val="center"/>
                </w:tcPr>
                <w:p>
                  <w:pPr>
                    <w:snapToGrid w:val="0"/>
                    <w:spacing w:line="240" w:lineRule="auto"/>
                    <w:jc w:val="center"/>
                    <w:rPr>
                      <w:kern w:val="0"/>
                      <w:sz w:val="21"/>
                      <w:szCs w:val="21"/>
                    </w:rPr>
                  </w:pPr>
                  <w:r>
                    <w:rPr>
                      <w:kern w:val="0"/>
                      <w:sz w:val="21"/>
                      <w:szCs w:val="21"/>
                    </w:rPr>
                    <w:t>一般</w:t>
                  </w:r>
                </w:p>
                <w:p>
                  <w:pPr>
                    <w:snapToGrid w:val="0"/>
                    <w:spacing w:line="240" w:lineRule="auto"/>
                    <w:jc w:val="center"/>
                    <w:rPr>
                      <w:kern w:val="0"/>
                      <w:sz w:val="21"/>
                      <w:szCs w:val="21"/>
                    </w:rPr>
                  </w:pPr>
                  <w:r>
                    <w:rPr>
                      <w:kern w:val="0"/>
                      <w:sz w:val="21"/>
                      <w:szCs w:val="21"/>
                    </w:rPr>
                    <w:t>废物</w:t>
                  </w:r>
                </w:p>
              </w:tc>
              <w:tc>
                <w:tcPr>
                  <w:tcW w:w="987" w:type="dxa"/>
                  <w:tcBorders>
                    <w:bottom w:val="single" w:color="auto" w:sz="12" w:space="0"/>
                  </w:tcBorders>
                  <w:noWrap w:val="0"/>
                  <w:vAlign w:val="center"/>
                </w:tcPr>
                <w:p>
                  <w:pPr>
                    <w:snapToGrid w:val="0"/>
                    <w:spacing w:line="240" w:lineRule="auto"/>
                    <w:jc w:val="center"/>
                    <w:rPr>
                      <w:sz w:val="21"/>
                      <w:szCs w:val="21"/>
                    </w:rPr>
                  </w:pPr>
                  <w:r>
                    <w:rPr>
                      <w:sz w:val="21"/>
                      <w:szCs w:val="21"/>
                    </w:rPr>
                    <w:t>生活</w:t>
                  </w:r>
                </w:p>
              </w:tc>
              <w:tc>
                <w:tcPr>
                  <w:tcW w:w="638" w:type="dxa"/>
                  <w:tcBorders>
                    <w:bottom w:val="single" w:color="auto" w:sz="12" w:space="0"/>
                  </w:tcBorders>
                  <w:noWrap w:val="0"/>
                  <w:vAlign w:val="center"/>
                </w:tcPr>
                <w:p>
                  <w:pPr>
                    <w:snapToGrid w:val="0"/>
                    <w:spacing w:line="240" w:lineRule="auto"/>
                    <w:jc w:val="center"/>
                    <w:rPr>
                      <w:sz w:val="21"/>
                      <w:szCs w:val="21"/>
                    </w:rPr>
                  </w:pPr>
                  <w:r>
                    <w:rPr>
                      <w:sz w:val="21"/>
                      <w:szCs w:val="21"/>
                    </w:rPr>
                    <w:t>固态</w:t>
                  </w:r>
                </w:p>
              </w:tc>
              <w:tc>
                <w:tcPr>
                  <w:tcW w:w="1700" w:type="dxa"/>
                  <w:tcBorders>
                    <w:bottom w:val="single" w:color="auto" w:sz="12" w:space="0"/>
                  </w:tcBorders>
                  <w:noWrap w:val="0"/>
                  <w:vAlign w:val="center"/>
                </w:tcPr>
                <w:p>
                  <w:pPr>
                    <w:snapToGrid w:val="0"/>
                    <w:spacing w:line="240" w:lineRule="auto"/>
                    <w:jc w:val="center"/>
                    <w:rPr>
                      <w:sz w:val="21"/>
                      <w:szCs w:val="21"/>
                    </w:rPr>
                  </w:pPr>
                  <w:r>
                    <w:rPr>
                      <w:sz w:val="21"/>
                      <w:szCs w:val="21"/>
                    </w:rPr>
                    <w:t>生活垃圾</w:t>
                  </w:r>
                </w:p>
              </w:tc>
              <w:tc>
                <w:tcPr>
                  <w:tcW w:w="727" w:type="dxa"/>
                  <w:tcBorders>
                    <w:bottom w:val="single" w:color="auto" w:sz="12" w:space="0"/>
                  </w:tcBorders>
                  <w:noWrap w:val="0"/>
                  <w:vAlign w:val="center"/>
                </w:tcPr>
                <w:p>
                  <w:pPr>
                    <w:snapToGrid w:val="0"/>
                    <w:spacing w:line="240" w:lineRule="auto"/>
                    <w:jc w:val="center"/>
                    <w:rPr>
                      <w:sz w:val="21"/>
                      <w:szCs w:val="21"/>
                    </w:rPr>
                  </w:pPr>
                  <w:r>
                    <w:rPr>
                      <w:sz w:val="21"/>
                      <w:szCs w:val="21"/>
                    </w:rPr>
                    <w:t>/</w:t>
                  </w:r>
                </w:p>
              </w:tc>
              <w:tc>
                <w:tcPr>
                  <w:tcW w:w="770" w:type="dxa"/>
                  <w:tcBorders>
                    <w:bottom w:val="single" w:color="auto" w:sz="12" w:space="0"/>
                  </w:tcBorders>
                  <w:noWrap w:val="0"/>
                  <w:vAlign w:val="center"/>
                </w:tcPr>
                <w:p>
                  <w:pPr>
                    <w:snapToGrid w:val="0"/>
                    <w:spacing w:line="240" w:lineRule="auto"/>
                    <w:jc w:val="center"/>
                    <w:rPr>
                      <w:sz w:val="21"/>
                      <w:szCs w:val="21"/>
                    </w:rPr>
                  </w:pPr>
                  <w:r>
                    <w:rPr>
                      <w:sz w:val="21"/>
                      <w:szCs w:val="21"/>
                    </w:rPr>
                    <w:t>/</w:t>
                  </w:r>
                </w:p>
              </w:tc>
              <w:tc>
                <w:tcPr>
                  <w:tcW w:w="1340" w:type="dxa"/>
                  <w:tcBorders>
                    <w:bottom w:val="single" w:color="auto" w:sz="12" w:space="0"/>
                  </w:tcBorders>
                  <w:noWrap w:val="0"/>
                  <w:vAlign w:val="center"/>
                </w:tcPr>
                <w:p>
                  <w:pPr>
                    <w:snapToGrid w:val="0"/>
                    <w:spacing w:line="240" w:lineRule="auto"/>
                    <w:jc w:val="center"/>
                    <w:rPr>
                      <w:sz w:val="21"/>
                      <w:szCs w:val="21"/>
                    </w:rPr>
                  </w:pPr>
                  <w:r>
                    <w:rPr>
                      <w:sz w:val="21"/>
                      <w:szCs w:val="21"/>
                    </w:rPr>
                    <w:t>/</w:t>
                  </w:r>
                </w:p>
              </w:tc>
              <w:tc>
                <w:tcPr>
                  <w:tcW w:w="837" w:type="dxa"/>
                  <w:tcBorders>
                    <w:bottom w:val="single" w:color="auto" w:sz="12" w:space="0"/>
                  </w:tcBorders>
                  <w:noWrap w:val="0"/>
                  <w:vAlign w:val="center"/>
                </w:tcPr>
                <w:p>
                  <w:pPr>
                    <w:widowControl/>
                    <w:spacing w:line="240" w:lineRule="auto"/>
                    <w:jc w:val="center"/>
                    <w:textAlignment w:val="center"/>
                    <w:rPr>
                      <w:sz w:val="21"/>
                      <w:szCs w:val="21"/>
                    </w:rPr>
                  </w:pPr>
                  <w:r>
                    <w:rPr>
                      <w:color w:val="000000"/>
                      <w:kern w:val="0"/>
                      <w:sz w:val="21"/>
                      <w:szCs w:val="21"/>
                      <w:lang w:bidi="ar"/>
                    </w:rPr>
                    <w:t>6</w:t>
                  </w:r>
                </w:p>
              </w:tc>
            </w:tr>
          </w:tbl>
          <w:p>
            <w:pPr>
              <w:widowControl/>
              <w:spacing w:before="156" w:beforeLines="50"/>
              <w:jc w:val="center"/>
            </w:pPr>
            <w:r>
              <w:rPr>
                <w:b/>
                <w:sz w:val="21"/>
                <w:szCs w:val="21"/>
              </w:rPr>
              <w:t>表5-7 工程分析中危险废物</w:t>
            </w:r>
            <w:r>
              <w:rPr>
                <w:b/>
                <w:bCs/>
                <w:kern w:val="0"/>
                <w:sz w:val="21"/>
              </w:rPr>
              <w:t>汇总表</w:t>
            </w:r>
          </w:p>
          <w:tbl>
            <w:tblPr>
              <w:tblStyle w:val="2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420"/>
              <w:gridCol w:w="1245"/>
              <w:gridCol w:w="811"/>
              <w:gridCol w:w="1210"/>
              <w:gridCol w:w="778"/>
              <w:gridCol w:w="623"/>
              <w:gridCol w:w="623"/>
              <w:gridCol w:w="704"/>
              <w:gridCol w:w="778"/>
              <w:gridCol w:w="622"/>
              <w:gridCol w:w="623"/>
              <w:gridCol w:w="98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64" w:hRule="atLeast"/>
                <w:jc w:val="center"/>
              </w:trPr>
              <w:tc>
                <w:tcPr>
                  <w:tcW w:w="420" w:type="dxa"/>
                  <w:tcBorders>
                    <w:top w:val="single" w:color="auto" w:sz="12" w:space="0"/>
                    <w:bottom w:val="single" w:color="auto" w:sz="12" w:space="0"/>
                  </w:tcBorders>
                  <w:noWrap w:val="0"/>
                  <w:vAlign w:val="center"/>
                </w:tcPr>
                <w:p>
                  <w:pPr>
                    <w:topLinePunct/>
                    <w:snapToGrid w:val="0"/>
                    <w:spacing w:line="240" w:lineRule="auto"/>
                    <w:jc w:val="center"/>
                    <w:rPr>
                      <w:kern w:val="0"/>
                      <w:sz w:val="21"/>
                      <w:szCs w:val="21"/>
                    </w:rPr>
                  </w:pPr>
                  <w:r>
                    <w:rPr>
                      <w:kern w:val="0"/>
                      <w:sz w:val="21"/>
                      <w:szCs w:val="21"/>
                    </w:rPr>
                    <w:t>序号</w:t>
                  </w:r>
                </w:p>
              </w:tc>
              <w:tc>
                <w:tcPr>
                  <w:tcW w:w="1245" w:type="dxa"/>
                  <w:tcBorders>
                    <w:top w:val="single" w:color="auto" w:sz="12" w:space="0"/>
                    <w:bottom w:val="single" w:color="auto" w:sz="12" w:space="0"/>
                  </w:tcBorders>
                  <w:noWrap w:val="0"/>
                  <w:vAlign w:val="center"/>
                </w:tcPr>
                <w:p>
                  <w:pPr>
                    <w:topLinePunct/>
                    <w:snapToGrid w:val="0"/>
                    <w:spacing w:line="240" w:lineRule="auto"/>
                    <w:jc w:val="center"/>
                    <w:rPr>
                      <w:kern w:val="0"/>
                      <w:sz w:val="21"/>
                      <w:szCs w:val="21"/>
                    </w:rPr>
                  </w:pPr>
                  <w:r>
                    <w:rPr>
                      <w:kern w:val="0"/>
                      <w:sz w:val="21"/>
                      <w:szCs w:val="21"/>
                    </w:rPr>
                    <w:t>危险废物</w:t>
                  </w:r>
                </w:p>
                <w:p>
                  <w:pPr>
                    <w:topLinePunct/>
                    <w:snapToGrid w:val="0"/>
                    <w:spacing w:line="240" w:lineRule="auto"/>
                    <w:jc w:val="center"/>
                    <w:rPr>
                      <w:kern w:val="0"/>
                      <w:sz w:val="21"/>
                      <w:szCs w:val="21"/>
                    </w:rPr>
                  </w:pPr>
                  <w:r>
                    <w:rPr>
                      <w:kern w:val="0"/>
                      <w:sz w:val="21"/>
                      <w:szCs w:val="21"/>
                    </w:rPr>
                    <w:t>名称</w:t>
                  </w:r>
                </w:p>
              </w:tc>
              <w:tc>
                <w:tcPr>
                  <w:tcW w:w="811" w:type="dxa"/>
                  <w:tcBorders>
                    <w:top w:val="single" w:color="auto" w:sz="12" w:space="0"/>
                    <w:bottom w:val="single" w:color="auto" w:sz="12" w:space="0"/>
                  </w:tcBorders>
                  <w:noWrap w:val="0"/>
                  <w:vAlign w:val="center"/>
                </w:tcPr>
                <w:p>
                  <w:pPr>
                    <w:topLinePunct/>
                    <w:snapToGrid w:val="0"/>
                    <w:spacing w:line="240" w:lineRule="auto"/>
                    <w:jc w:val="center"/>
                    <w:rPr>
                      <w:kern w:val="0"/>
                      <w:sz w:val="21"/>
                      <w:szCs w:val="21"/>
                    </w:rPr>
                  </w:pPr>
                  <w:r>
                    <w:rPr>
                      <w:kern w:val="0"/>
                      <w:sz w:val="21"/>
                      <w:szCs w:val="21"/>
                    </w:rPr>
                    <w:t>废物</w:t>
                  </w:r>
                </w:p>
                <w:p>
                  <w:pPr>
                    <w:topLinePunct/>
                    <w:snapToGrid w:val="0"/>
                    <w:spacing w:line="240" w:lineRule="auto"/>
                    <w:jc w:val="center"/>
                    <w:rPr>
                      <w:kern w:val="0"/>
                      <w:sz w:val="21"/>
                      <w:szCs w:val="21"/>
                    </w:rPr>
                  </w:pPr>
                  <w:r>
                    <w:rPr>
                      <w:kern w:val="0"/>
                      <w:sz w:val="21"/>
                      <w:szCs w:val="21"/>
                    </w:rPr>
                    <w:t>类别</w:t>
                  </w:r>
                </w:p>
              </w:tc>
              <w:tc>
                <w:tcPr>
                  <w:tcW w:w="1210" w:type="dxa"/>
                  <w:tcBorders>
                    <w:top w:val="single" w:color="auto" w:sz="12" w:space="0"/>
                    <w:bottom w:val="single" w:color="auto" w:sz="12" w:space="0"/>
                  </w:tcBorders>
                  <w:noWrap w:val="0"/>
                  <w:vAlign w:val="center"/>
                </w:tcPr>
                <w:p>
                  <w:pPr>
                    <w:topLinePunct/>
                    <w:snapToGrid w:val="0"/>
                    <w:spacing w:line="240" w:lineRule="auto"/>
                    <w:jc w:val="center"/>
                    <w:rPr>
                      <w:kern w:val="0"/>
                      <w:sz w:val="21"/>
                      <w:szCs w:val="21"/>
                    </w:rPr>
                  </w:pPr>
                  <w:r>
                    <w:rPr>
                      <w:kern w:val="0"/>
                      <w:sz w:val="21"/>
                      <w:szCs w:val="21"/>
                    </w:rPr>
                    <w:t>废物代码</w:t>
                  </w:r>
                </w:p>
              </w:tc>
              <w:tc>
                <w:tcPr>
                  <w:tcW w:w="778" w:type="dxa"/>
                  <w:tcBorders>
                    <w:top w:val="single" w:color="auto" w:sz="12" w:space="0"/>
                    <w:bottom w:val="single" w:color="auto" w:sz="12" w:space="0"/>
                  </w:tcBorders>
                  <w:noWrap w:val="0"/>
                  <w:vAlign w:val="center"/>
                </w:tcPr>
                <w:p>
                  <w:pPr>
                    <w:topLinePunct/>
                    <w:snapToGrid w:val="0"/>
                    <w:spacing w:line="240" w:lineRule="auto"/>
                    <w:jc w:val="center"/>
                    <w:rPr>
                      <w:kern w:val="0"/>
                      <w:sz w:val="21"/>
                      <w:szCs w:val="21"/>
                    </w:rPr>
                  </w:pPr>
                  <w:r>
                    <w:rPr>
                      <w:kern w:val="0"/>
                      <w:sz w:val="21"/>
                      <w:szCs w:val="21"/>
                    </w:rPr>
                    <w:t>产生量（t/a）</w:t>
                  </w:r>
                </w:p>
              </w:tc>
              <w:tc>
                <w:tcPr>
                  <w:tcW w:w="623" w:type="dxa"/>
                  <w:tcBorders>
                    <w:top w:val="single" w:color="auto" w:sz="12" w:space="0"/>
                    <w:bottom w:val="single" w:color="auto" w:sz="12" w:space="0"/>
                  </w:tcBorders>
                  <w:noWrap w:val="0"/>
                  <w:vAlign w:val="center"/>
                </w:tcPr>
                <w:p>
                  <w:pPr>
                    <w:topLinePunct/>
                    <w:snapToGrid w:val="0"/>
                    <w:spacing w:line="240" w:lineRule="auto"/>
                    <w:jc w:val="center"/>
                    <w:rPr>
                      <w:kern w:val="0"/>
                      <w:sz w:val="21"/>
                      <w:szCs w:val="21"/>
                    </w:rPr>
                  </w:pPr>
                  <w:r>
                    <w:rPr>
                      <w:kern w:val="0"/>
                      <w:sz w:val="21"/>
                      <w:szCs w:val="21"/>
                    </w:rPr>
                    <w:t>产生工序</w:t>
                  </w:r>
                </w:p>
              </w:tc>
              <w:tc>
                <w:tcPr>
                  <w:tcW w:w="623" w:type="dxa"/>
                  <w:tcBorders>
                    <w:top w:val="single" w:color="auto" w:sz="12" w:space="0"/>
                    <w:bottom w:val="single" w:color="auto" w:sz="12" w:space="0"/>
                  </w:tcBorders>
                  <w:noWrap w:val="0"/>
                  <w:vAlign w:val="center"/>
                </w:tcPr>
                <w:p>
                  <w:pPr>
                    <w:topLinePunct/>
                    <w:snapToGrid w:val="0"/>
                    <w:spacing w:line="240" w:lineRule="auto"/>
                    <w:jc w:val="center"/>
                    <w:rPr>
                      <w:kern w:val="0"/>
                      <w:sz w:val="21"/>
                      <w:szCs w:val="21"/>
                    </w:rPr>
                  </w:pPr>
                  <w:r>
                    <w:rPr>
                      <w:kern w:val="0"/>
                      <w:sz w:val="21"/>
                      <w:szCs w:val="21"/>
                    </w:rPr>
                    <w:t>形态</w:t>
                  </w:r>
                </w:p>
              </w:tc>
              <w:tc>
                <w:tcPr>
                  <w:tcW w:w="704" w:type="dxa"/>
                  <w:tcBorders>
                    <w:top w:val="single" w:color="auto" w:sz="12" w:space="0"/>
                    <w:bottom w:val="single" w:color="auto" w:sz="12" w:space="0"/>
                  </w:tcBorders>
                  <w:noWrap w:val="0"/>
                  <w:vAlign w:val="center"/>
                </w:tcPr>
                <w:p>
                  <w:pPr>
                    <w:topLinePunct/>
                    <w:snapToGrid w:val="0"/>
                    <w:spacing w:line="240" w:lineRule="auto"/>
                    <w:jc w:val="center"/>
                    <w:rPr>
                      <w:kern w:val="0"/>
                      <w:sz w:val="21"/>
                      <w:szCs w:val="21"/>
                    </w:rPr>
                  </w:pPr>
                  <w:r>
                    <w:rPr>
                      <w:kern w:val="0"/>
                      <w:sz w:val="21"/>
                      <w:szCs w:val="21"/>
                    </w:rPr>
                    <w:t>主要</w:t>
                  </w:r>
                </w:p>
                <w:p>
                  <w:pPr>
                    <w:topLinePunct/>
                    <w:snapToGrid w:val="0"/>
                    <w:spacing w:line="240" w:lineRule="auto"/>
                    <w:jc w:val="center"/>
                    <w:rPr>
                      <w:kern w:val="0"/>
                      <w:sz w:val="21"/>
                      <w:szCs w:val="21"/>
                    </w:rPr>
                  </w:pPr>
                  <w:r>
                    <w:rPr>
                      <w:kern w:val="0"/>
                      <w:sz w:val="21"/>
                      <w:szCs w:val="21"/>
                    </w:rPr>
                    <w:t>成分</w:t>
                  </w:r>
                </w:p>
              </w:tc>
              <w:tc>
                <w:tcPr>
                  <w:tcW w:w="778" w:type="dxa"/>
                  <w:tcBorders>
                    <w:top w:val="single" w:color="auto" w:sz="12" w:space="0"/>
                    <w:bottom w:val="single" w:color="auto" w:sz="12" w:space="0"/>
                  </w:tcBorders>
                  <w:noWrap w:val="0"/>
                  <w:vAlign w:val="center"/>
                </w:tcPr>
                <w:p>
                  <w:pPr>
                    <w:topLinePunct/>
                    <w:snapToGrid w:val="0"/>
                    <w:spacing w:line="240" w:lineRule="auto"/>
                    <w:jc w:val="center"/>
                    <w:rPr>
                      <w:kern w:val="0"/>
                      <w:sz w:val="21"/>
                      <w:szCs w:val="21"/>
                    </w:rPr>
                  </w:pPr>
                  <w:r>
                    <w:rPr>
                      <w:kern w:val="0"/>
                      <w:sz w:val="21"/>
                      <w:szCs w:val="21"/>
                    </w:rPr>
                    <w:t>有害</w:t>
                  </w:r>
                </w:p>
                <w:p>
                  <w:pPr>
                    <w:topLinePunct/>
                    <w:snapToGrid w:val="0"/>
                    <w:spacing w:line="240" w:lineRule="auto"/>
                    <w:jc w:val="center"/>
                    <w:rPr>
                      <w:kern w:val="0"/>
                      <w:sz w:val="21"/>
                      <w:szCs w:val="21"/>
                    </w:rPr>
                  </w:pPr>
                  <w:r>
                    <w:rPr>
                      <w:kern w:val="0"/>
                      <w:sz w:val="21"/>
                      <w:szCs w:val="21"/>
                    </w:rPr>
                    <w:t>成分</w:t>
                  </w:r>
                </w:p>
              </w:tc>
              <w:tc>
                <w:tcPr>
                  <w:tcW w:w="622" w:type="dxa"/>
                  <w:tcBorders>
                    <w:top w:val="single" w:color="auto" w:sz="12" w:space="0"/>
                    <w:bottom w:val="single" w:color="auto" w:sz="12" w:space="0"/>
                  </w:tcBorders>
                  <w:noWrap w:val="0"/>
                  <w:vAlign w:val="center"/>
                </w:tcPr>
                <w:p>
                  <w:pPr>
                    <w:topLinePunct/>
                    <w:snapToGrid w:val="0"/>
                    <w:spacing w:line="240" w:lineRule="auto"/>
                    <w:jc w:val="center"/>
                    <w:rPr>
                      <w:kern w:val="0"/>
                      <w:sz w:val="21"/>
                      <w:szCs w:val="21"/>
                    </w:rPr>
                  </w:pPr>
                  <w:r>
                    <w:rPr>
                      <w:kern w:val="0"/>
                      <w:sz w:val="21"/>
                      <w:szCs w:val="21"/>
                    </w:rPr>
                    <w:t>危险特性</w:t>
                  </w:r>
                </w:p>
              </w:tc>
              <w:tc>
                <w:tcPr>
                  <w:tcW w:w="623" w:type="dxa"/>
                  <w:tcBorders>
                    <w:top w:val="single" w:color="auto" w:sz="12" w:space="0"/>
                    <w:bottom w:val="single" w:color="auto" w:sz="12" w:space="0"/>
                  </w:tcBorders>
                  <w:noWrap w:val="0"/>
                  <w:vAlign w:val="center"/>
                </w:tcPr>
                <w:p>
                  <w:pPr>
                    <w:topLinePunct/>
                    <w:snapToGrid w:val="0"/>
                    <w:spacing w:line="240" w:lineRule="auto"/>
                    <w:jc w:val="center"/>
                    <w:rPr>
                      <w:kern w:val="0"/>
                      <w:sz w:val="21"/>
                      <w:szCs w:val="21"/>
                    </w:rPr>
                  </w:pPr>
                  <w:r>
                    <w:rPr>
                      <w:kern w:val="0"/>
                      <w:sz w:val="21"/>
                      <w:szCs w:val="21"/>
                    </w:rPr>
                    <w:t>产废周期</w:t>
                  </w:r>
                </w:p>
              </w:tc>
              <w:tc>
                <w:tcPr>
                  <w:tcW w:w="985" w:type="dxa"/>
                  <w:tcBorders>
                    <w:top w:val="single" w:color="auto" w:sz="12" w:space="0"/>
                    <w:bottom w:val="single" w:color="auto" w:sz="12" w:space="0"/>
                  </w:tcBorders>
                  <w:noWrap w:val="0"/>
                  <w:vAlign w:val="center"/>
                </w:tcPr>
                <w:p>
                  <w:pPr>
                    <w:topLinePunct/>
                    <w:snapToGrid w:val="0"/>
                    <w:spacing w:line="240" w:lineRule="auto"/>
                    <w:jc w:val="center"/>
                    <w:rPr>
                      <w:kern w:val="0"/>
                      <w:sz w:val="21"/>
                      <w:szCs w:val="21"/>
                    </w:rPr>
                  </w:pPr>
                  <w:r>
                    <w:rPr>
                      <w:kern w:val="0"/>
                      <w:sz w:val="21"/>
                      <w:szCs w:val="21"/>
                    </w:rPr>
                    <w:t>污染防治措施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420" w:type="dxa"/>
                  <w:tcBorders>
                    <w:top w:val="single" w:color="auto" w:sz="12" w:space="0"/>
                    <w:bottom w:val="single" w:color="auto" w:sz="12" w:space="0"/>
                  </w:tcBorders>
                  <w:noWrap w:val="0"/>
                  <w:vAlign w:val="center"/>
                </w:tcPr>
                <w:p>
                  <w:pPr>
                    <w:snapToGrid w:val="0"/>
                    <w:spacing w:line="240" w:lineRule="auto"/>
                    <w:jc w:val="center"/>
                    <w:rPr>
                      <w:kern w:val="0"/>
                      <w:sz w:val="21"/>
                      <w:szCs w:val="21"/>
                    </w:rPr>
                  </w:pPr>
                  <w:r>
                    <w:rPr>
                      <w:sz w:val="21"/>
                      <w:szCs w:val="21"/>
                    </w:rPr>
                    <w:t>1</w:t>
                  </w:r>
                </w:p>
              </w:tc>
              <w:tc>
                <w:tcPr>
                  <w:tcW w:w="1245" w:type="dxa"/>
                  <w:tcBorders>
                    <w:top w:val="single" w:color="auto" w:sz="12" w:space="0"/>
                    <w:bottom w:val="single" w:color="auto" w:sz="12" w:space="0"/>
                  </w:tcBorders>
                  <w:noWrap w:val="0"/>
                  <w:vAlign w:val="center"/>
                </w:tcPr>
                <w:p>
                  <w:pPr>
                    <w:snapToGrid w:val="0"/>
                    <w:spacing w:line="240" w:lineRule="auto"/>
                    <w:jc w:val="center"/>
                    <w:rPr>
                      <w:rFonts w:hint="eastAsia" w:eastAsia="宋体"/>
                      <w:kern w:val="0"/>
                      <w:sz w:val="21"/>
                      <w:szCs w:val="21"/>
                      <w:lang w:eastAsia="zh-CN"/>
                    </w:rPr>
                  </w:pPr>
                  <w:r>
                    <w:rPr>
                      <w:sz w:val="21"/>
                      <w:szCs w:val="21"/>
                    </w:rPr>
                    <w:t>废</w:t>
                  </w:r>
                  <w:r>
                    <w:rPr>
                      <w:rFonts w:hint="eastAsia"/>
                      <w:sz w:val="21"/>
                      <w:szCs w:val="21"/>
                      <w:lang w:val="en-US" w:eastAsia="zh-CN"/>
                    </w:rPr>
                    <w:t>活性炭</w:t>
                  </w:r>
                </w:p>
              </w:tc>
              <w:tc>
                <w:tcPr>
                  <w:tcW w:w="811" w:type="dxa"/>
                  <w:tcBorders>
                    <w:top w:val="single" w:color="auto" w:sz="12" w:space="0"/>
                    <w:bottom w:val="single" w:color="auto" w:sz="12" w:space="0"/>
                  </w:tcBorders>
                  <w:noWrap w:val="0"/>
                  <w:vAlign w:val="center"/>
                </w:tcPr>
                <w:p>
                  <w:pPr>
                    <w:snapToGrid w:val="0"/>
                    <w:spacing w:line="240" w:lineRule="auto"/>
                    <w:jc w:val="center"/>
                    <w:rPr>
                      <w:kern w:val="0"/>
                      <w:sz w:val="21"/>
                      <w:szCs w:val="21"/>
                    </w:rPr>
                  </w:pPr>
                  <w:r>
                    <w:rPr>
                      <w:sz w:val="21"/>
                      <w:szCs w:val="21"/>
                    </w:rPr>
                    <w:t>HW49</w:t>
                  </w:r>
                </w:p>
              </w:tc>
              <w:tc>
                <w:tcPr>
                  <w:tcW w:w="1210" w:type="dxa"/>
                  <w:tcBorders>
                    <w:top w:val="single" w:color="auto" w:sz="12" w:space="0"/>
                    <w:bottom w:val="single" w:color="auto" w:sz="12" w:space="0"/>
                  </w:tcBorders>
                  <w:noWrap w:val="0"/>
                  <w:vAlign w:val="center"/>
                </w:tcPr>
                <w:p>
                  <w:pPr>
                    <w:snapToGrid w:val="0"/>
                    <w:spacing w:line="240" w:lineRule="auto"/>
                    <w:jc w:val="center"/>
                    <w:rPr>
                      <w:kern w:val="0"/>
                      <w:sz w:val="21"/>
                      <w:szCs w:val="21"/>
                    </w:rPr>
                  </w:pPr>
                  <w:r>
                    <w:rPr>
                      <w:sz w:val="21"/>
                      <w:szCs w:val="21"/>
                    </w:rPr>
                    <w:t>900-041-49</w:t>
                  </w:r>
                </w:p>
              </w:tc>
              <w:tc>
                <w:tcPr>
                  <w:tcW w:w="778" w:type="dxa"/>
                  <w:tcBorders>
                    <w:top w:val="single" w:color="auto" w:sz="12" w:space="0"/>
                    <w:bottom w:val="single" w:color="auto" w:sz="12" w:space="0"/>
                  </w:tcBorders>
                  <w:noWrap w:val="0"/>
                  <w:vAlign w:val="center"/>
                </w:tcPr>
                <w:p>
                  <w:pPr>
                    <w:widowControl/>
                    <w:spacing w:line="240" w:lineRule="auto"/>
                    <w:jc w:val="center"/>
                    <w:textAlignment w:val="center"/>
                    <w:rPr>
                      <w:rFonts w:hint="eastAsia" w:eastAsia="宋体"/>
                      <w:kern w:val="0"/>
                      <w:sz w:val="21"/>
                      <w:szCs w:val="21"/>
                      <w:lang w:eastAsia="zh-CN"/>
                    </w:rPr>
                  </w:pPr>
                  <w:r>
                    <w:rPr>
                      <w:rFonts w:hint="eastAsia"/>
                      <w:color w:val="000000"/>
                      <w:kern w:val="0"/>
                      <w:sz w:val="21"/>
                      <w:szCs w:val="21"/>
                      <w:lang w:val="en-US" w:eastAsia="zh-CN" w:bidi="ar"/>
                    </w:rPr>
                    <w:t>1</w:t>
                  </w:r>
                </w:p>
              </w:tc>
              <w:tc>
                <w:tcPr>
                  <w:tcW w:w="623" w:type="dxa"/>
                  <w:tcBorders>
                    <w:top w:val="single" w:color="auto" w:sz="12" w:space="0"/>
                    <w:bottom w:val="single" w:color="auto" w:sz="12" w:space="0"/>
                  </w:tcBorders>
                  <w:noWrap w:val="0"/>
                  <w:vAlign w:val="center"/>
                </w:tcPr>
                <w:p>
                  <w:pPr>
                    <w:snapToGrid w:val="0"/>
                    <w:spacing w:line="240" w:lineRule="auto"/>
                    <w:jc w:val="center"/>
                    <w:rPr>
                      <w:kern w:val="0"/>
                      <w:sz w:val="21"/>
                      <w:szCs w:val="21"/>
                    </w:rPr>
                  </w:pPr>
                  <w:r>
                    <w:rPr>
                      <w:sz w:val="21"/>
                      <w:szCs w:val="21"/>
                    </w:rPr>
                    <w:t>修车</w:t>
                  </w:r>
                </w:p>
              </w:tc>
              <w:tc>
                <w:tcPr>
                  <w:tcW w:w="623" w:type="dxa"/>
                  <w:tcBorders>
                    <w:top w:val="single" w:color="auto" w:sz="12" w:space="0"/>
                    <w:bottom w:val="single" w:color="auto" w:sz="12" w:space="0"/>
                  </w:tcBorders>
                  <w:noWrap w:val="0"/>
                  <w:vAlign w:val="center"/>
                </w:tcPr>
                <w:p>
                  <w:pPr>
                    <w:snapToGrid w:val="0"/>
                    <w:spacing w:line="240" w:lineRule="auto"/>
                    <w:jc w:val="center"/>
                    <w:rPr>
                      <w:kern w:val="0"/>
                      <w:sz w:val="21"/>
                      <w:szCs w:val="21"/>
                    </w:rPr>
                  </w:pPr>
                  <w:r>
                    <w:rPr>
                      <w:sz w:val="21"/>
                      <w:szCs w:val="21"/>
                    </w:rPr>
                    <w:t>固态</w:t>
                  </w:r>
                </w:p>
              </w:tc>
              <w:tc>
                <w:tcPr>
                  <w:tcW w:w="704" w:type="dxa"/>
                  <w:tcBorders>
                    <w:top w:val="single" w:color="auto" w:sz="12" w:space="0"/>
                    <w:bottom w:val="single" w:color="auto" w:sz="12" w:space="0"/>
                  </w:tcBorders>
                  <w:noWrap w:val="0"/>
                  <w:vAlign w:val="center"/>
                </w:tcPr>
                <w:p>
                  <w:pPr>
                    <w:snapToGrid w:val="0"/>
                    <w:spacing w:line="240" w:lineRule="auto"/>
                    <w:jc w:val="center"/>
                    <w:rPr>
                      <w:rFonts w:hint="eastAsia" w:eastAsia="宋体"/>
                      <w:kern w:val="0"/>
                      <w:sz w:val="21"/>
                      <w:szCs w:val="21"/>
                      <w:lang w:eastAsia="zh-CN"/>
                    </w:rPr>
                  </w:pPr>
                  <w:r>
                    <w:rPr>
                      <w:rFonts w:hint="eastAsia"/>
                      <w:sz w:val="21"/>
                      <w:szCs w:val="21"/>
                      <w:lang w:val="en-US" w:eastAsia="zh-CN"/>
                    </w:rPr>
                    <w:t>活性炭</w:t>
                  </w:r>
                </w:p>
              </w:tc>
              <w:tc>
                <w:tcPr>
                  <w:tcW w:w="778" w:type="dxa"/>
                  <w:tcBorders>
                    <w:top w:val="single" w:color="auto" w:sz="12" w:space="0"/>
                    <w:bottom w:val="single" w:color="auto" w:sz="12" w:space="0"/>
                  </w:tcBorders>
                  <w:noWrap w:val="0"/>
                  <w:vAlign w:val="center"/>
                </w:tcPr>
                <w:p>
                  <w:pPr>
                    <w:snapToGrid w:val="0"/>
                    <w:spacing w:line="240" w:lineRule="auto"/>
                    <w:jc w:val="center"/>
                    <w:rPr>
                      <w:rFonts w:hint="eastAsia" w:eastAsia="宋体"/>
                      <w:kern w:val="0"/>
                      <w:sz w:val="21"/>
                      <w:szCs w:val="21"/>
                      <w:lang w:eastAsia="zh-CN"/>
                    </w:rPr>
                  </w:pPr>
                  <w:r>
                    <w:rPr>
                      <w:rFonts w:hint="eastAsia"/>
                      <w:sz w:val="21"/>
                      <w:szCs w:val="21"/>
                      <w:lang w:val="en-US" w:eastAsia="zh-CN"/>
                    </w:rPr>
                    <w:t>有机物</w:t>
                  </w:r>
                </w:p>
              </w:tc>
              <w:tc>
                <w:tcPr>
                  <w:tcW w:w="622" w:type="dxa"/>
                  <w:tcBorders>
                    <w:top w:val="single" w:color="auto" w:sz="12" w:space="0"/>
                    <w:bottom w:val="single" w:color="auto" w:sz="12" w:space="0"/>
                  </w:tcBorders>
                  <w:noWrap w:val="0"/>
                  <w:vAlign w:val="center"/>
                </w:tcPr>
                <w:p>
                  <w:pPr>
                    <w:snapToGrid w:val="0"/>
                    <w:spacing w:line="240" w:lineRule="auto"/>
                    <w:jc w:val="center"/>
                    <w:rPr>
                      <w:kern w:val="0"/>
                      <w:sz w:val="21"/>
                      <w:szCs w:val="21"/>
                    </w:rPr>
                  </w:pPr>
                  <w:r>
                    <w:rPr>
                      <w:sz w:val="21"/>
                      <w:szCs w:val="21"/>
                    </w:rPr>
                    <w:t xml:space="preserve">T/In </w:t>
                  </w:r>
                </w:p>
              </w:tc>
              <w:tc>
                <w:tcPr>
                  <w:tcW w:w="623" w:type="dxa"/>
                  <w:tcBorders>
                    <w:top w:val="single" w:color="auto" w:sz="12" w:space="0"/>
                    <w:bottom w:val="single" w:color="auto" w:sz="12" w:space="0"/>
                  </w:tcBorders>
                  <w:noWrap w:val="0"/>
                  <w:vAlign w:val="center"/>
                </w:tcPr>
                <w:p>
                  <w:pPr>
                    <w:snapToGrid w:val="0"/>
                    <w:spacing w:line="240" w:lineRule="auto"/>
                    <w:jc w:val="center"/>
                    <w:rPr>
                      <w:rFonts w:hint="eastAsia" w:eastAsia="宋体"/>
                      <w:kern w:val="0"/>
                      <w:sz w:val="21"/>
                      <w:szCs w:val="21"/>
                      <w:lang w:eastAsia="zh-CN"/>
                    </w:rPr>
                  </w:pPr>
                  <w:r>
                    <w:rPr>
                      <w:rFonts w:hint="eastAsia"/>
                      <w:sz w:val="21"/>
                      <w:szCs w:val="21"/>
                      <w:lang w:val="en-US" w:eastAsia="zh-CN"/>
                    </w:rPr>
                    <w:t>每季</w:t>
                  </w:r>
                </w:p>
              </w:tc>
              <w:tc>
                <w:tcPr>
                  <w:tcW w:w="985" w:type="dxa"/>
                  <w:tcBorders>
                    <w:top w:val="single" w:color="auto" w:sz="12" w:space="0"/>
                    <w:bottom w:val="single" w:color="auto" w:sz="12" w:space="0"/>
                  </w:tcBorders>
                  <w:noWrap w:val="0"/>
                  <w:vAlign w:val="center"/>
                </w:tcPr>
                <w:p>
                  <w:pPr>
                    <w:topLinePunct/>
                    <w:snapToGrid w:val="0"/>
                    <w:spacing w:line="240" w:lineRule="auto"/>
                    <w:jc w:val="center"/>
                    <w:rPr>
                      <w:rFonts w:hint="default" w:eastAsia="宋体"/>
                      <w:kern w:val="0"/>
                      <w:sz w:val="21"/>
                      <w:szCs w:val="21"/>
                      <w:lang w:val="en-US" w:eastAsia="zh-CN"/>
                    </w:rPr>
                  </w:pPr>
                  <w:r>
                    <w:rPr>
                      <w:rFonts w:hint="eastAsia"/>
                      <w:kern w:val="0"/>
                      <w:sz w:val="21"/>
                      <w:szCs w:val="21"/>
                      <w:lang w:val="en-US" w:eastAsia="zh-CN"/>
                    </w:rPr>
                    <w:t>委外</w:t>
                  </w:r>
                </w:p>
              </w:tc>
            </w:tr>
          </w:tbl>
          <w:p>
            <w:pPr>
              <w:jc w:val="center"/>
              <w:rPr>
                <w:rFonts w:hint="eastAsia"/>
                <w:b/>
                <w:bCs w:val="0"/>
                <w:sz w:val="21"/>
                <w:szCs w:val="21"/>
                <w:lang w:val="en-US" w:eastAsia="zh-CN"/>
              </w:rPr>
            </w:pPr>
            <w:r>
              <w:rPr>
                <w:rFonts w:hint="eastAsia"/>
                <w:b/>
                <w:bCs w:val="0"/>
                <w:sz w:val="21"/>
                <w:szCs w:val="21"/>
                <w:lang w:val="en-US" w:eastAsia="zh-CN"/>
              </w:rPr>
              <w:t>表5-8扩建后全厂固体废物分析结果汇总表</w:t>
            </w:r>
          </w:p>
          <w:tbl>
            <w:tblPr>
              <w:tblStyle w:val="27"/>
              <w:tblW w:w="9422"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left w:w="108" w:type="dxa"/>
                <w:right w:w="108" w:type="dxa"/>
              </w:tblCellMar>
            </w:tblPr>
            <w:tblGrid>
              <w:gridCol w:w="356"/>
              <w:gridCol w:w="805"/>
              <w:gridCol w:w="709"/>
              <w:gridCol w:w="845"/>
              <w:gridCol w:w="505"/>
              <w:gridCol w:w="845"/>
              <w:gridCol w:w="887"/>
              <w:gridCol w:w="682"/>
              <w:gridCol w:w="872"/>
              <w:gridCol w:w="1269"/>
              <w:gridCol w:w="940"/>
              <w:gridCol w:w="70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left w:w="108" w:type="dxa"/>
                  <w:right w:w="108" w:type="dxa"/>
                </w:tblCellMar>
              </w:tblPrEx>
              <w:trPr>
                <w:trHeight w:val="23" w:hRule="atLeast"/>
              </w:trPr>
              <w:tc>
                <w:tcPr>
                  <w:tcW w:w="356" w:type="dxa"/>
                  <w:tcBorders>
                    <w:bottom w:val="single" w:color="auto" w:sz="12" w:space="0"/>
                  </w:tcBorders>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序号</w:t>
                  </w:r>
                </w:p>
              </w:tc>
              <w:tc>
                <w:tcPr>
                  <w:tcW w:w="805" w:type="dxa"/>
                  <w:tcBorders>
                    <w:bottom w:val="single" w:color="auto" w:sz="12" w:space="0"/>
                  </w:tcBorders>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固废名称</w:t>
                  </w:r>
                </w:p>
              </w:tc>
              <w:tc>
                <w:tcPr>
                  <w:tcW w:w="709" w:type="dxa"/>
                  <w:tcBorders>
                    <w:bottom w:val="single" w:color="auto" w:sz="12" w:space="0"/>
                  </w:tcBorders>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属性</w:t>
                  </w:r>
                </w:p>
              </w:tc>
              <w:tc>
                <w:tcPr>
                  <w:tcW w:w="845" w:type="dxa"/>
                  <w:tcBorders>
                    <w:bottom w:val="single" w:color="auto" w:sz="12" w:space="0"/>
                  </w:tcBorders>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产生工序</w:t>
                  </w:r>
                </w:p>
              </w:tc>
              <w:tc>
                <w:tcPr>
                  <w:tcW w:w="505" w:type="dxa"/>
                  <w:tcBorders>
                    <w:bottom w:val="single" w:color="auto" w:sz="12" w:space="0"/>
                  </w:tcBorders>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形态</w:t>
                  </w:r>
                </w:p>
              </w:tc>
              <w:tc>
                <w:tcPr>
                  <w:tcW w:w="845" w:type="dxa"/>
                  <w:tcBorders>
                    <w:bottom w:val="single" w:color="auto" w:sz="12" w:space="0"/>
                  </w:tcBorders>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主要成分</w:t>
                  </w:r>
                </w:p>
              </w:tc>
              <w:tc>
                <w:tcPr>
                  <w:tcW w:w="887" w:type="dxa"/>
                  <w:tcBorders>
                    <w:bottom w:val="single" w:color="auto" w:sz="12" w:space="0"/>
                  </w:tcBorders>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危险特性鉴别办法</w:t>
                  </w:r>
                </w:p>
              </w:tc>
              <w:tc>
                <w:tcPr>
                  <w:tcW w:w="682" w:type="dxa"/>
                  <w:tcBorders>
                    <w:bottom w:val="single" w:color="auto" w:sz="12" w:space="0"/>
                  </w:tcBorders>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危险特性</w:t>
                  </w:r>
                </w:p>
              </w:tc>
              <w:tc>
                <w:tcPr>
                  <w:tcW w:w="872" w:type="dxa"/>
                  <w:tcBorders>
                    <w:bottom w:val="single" w:color="auto" w:sz="12" w:space="0"/>
                  </w:tcBorders>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废物类别</w:t>
                  </w:r>
                </w:p>
              </w:tc>
              <w:tc>
                <w:tcPr>
                  <w:tcW w:w="1269" w:type="dxa"/>
                  <w:tcBorders>
                    <w:bottom w:val="single" w:color="auto" w:sz="12" w:space="0"/>
                  </w:tcBorders>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废物代码</w:t>
                  </w:r>
                </w:p>
              </w:tc>
              <w:tc>
                <w:tcPr>
                  <w:tcW w:w="940" w:type="dxa"/>
                  <w:tcBorders>
                    <w:bottom w:val="single" w:color="auto" w:sz="12" w:space="0"/>
                  </w:tcBorders>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估算产生量（t/a）</w:t>
                  </w:r>
                </w:p>
              </w:tc>
              <w:tc>
                <w:tcPr>
                  <w:tcW w:w="707" w:type="dxa"/>
                  <w:tcBorders>
                    <w:bottom w:val="single" w:color="auto" w:sz="12" w:space="0"/>
                  </w:tcBorders>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污染防治措施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left w:w="108" w:type="dxa"/>
                  <w:right w:w="108" w:type="dxa"/>
                </w:tblCellMar>
              </w:tblPrEx>
              <w:trPr>
                <w:trHeight w:val="23" w:hRule="atLeast"/>
              </w:trPr>
              <w:tc>
                <w:tcPr>
                  <w:tcW w:w="356" w:type="dxa"/>
                  <w:tcBorders>
                    <w:top w:val="single" w:color="auto" w:sz="12" w:space="0"/>
                  </w:tcBorders>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1</w:t>
                  </w:r>
                </w:p>
              </w:tc>
              <w:tc>
                <w:tcPr>
                  <w:tcW w:w="805" w:type="dxa"/>
                  <w:tcBorders>
                    <w:top w:val="single" w:color="auto" w:sz="12" w:space="0"/>
                  </w:tcBorders>
                  <w:vAlign w:val="center"/>
                </w:tcPr>
                <w:p>
                  <w:pPr>
                    <w:snapToGrid w:val="0"/>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不合格品</w:t>
                  </w:r>
                </w:p>
              </w:tc>
              <w:tc>
                <w:tcPr>
                  <w:tcW w:w="709" w:type="dxa"/>
                  <w:vMerge w:val="restart"/>
                  <w:tcBorders>
                    <w:top w:val="single" w:color="auto" w:sz="12" w:space="0"/>
                  </w:tcBorders>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一般固废</w:t>
                  </w:r>
                </w:p>
              </w:tc>
              <w:tc>
                <w:tcPr>
                  <w:tcW w:w="845" w:type="dxa"/>
                  <w:tcBorders>
                    <w:top w:val="single" w:color="auto" w:sz="12" w:space="0"/>
                  </w:tcBorders>
                  <w:vAlign w:val="center"/>
                </w:tcPr>
                <w:p>
                  <w:pPr>
                    <w:snapToGrid w:val="0"/>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检验</w:t>
                  </w:r>
                </w:p>
              </w:tc>
              <w:tc>
                <w:tcPr>
                  <w:tcW w:w="505" w:type="dxa"/>
                  <w:tcBorders>
                    <w:top w:val="single" w:color="auto" w:sz="12" w:space="0"/>
                  </w:tcBorders>
                  <w:vAlign w:val="center"/>
                </w:tcPr>
                <w:p>
                  <w:pPr>
                    <w:snapToGrid w:val="0"/>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固态</w:t>
                  </w:r>
                </w:p>
              </w:tc>
              <w:tc>
                <w:tcPr>
                  <w:tcW w:w="845" w:type="dxa"/>
                  <w:tcBorders>
                    <w:top w:val="single" w:color="auto" w:sz="12" w:space="0"/>
                  </w:tcBorders>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塑料</w:t>
                  </w:r>
                </w:p>
              </w:tc>
              <w:tc>
                <w:tcPr>
                  <w:tcW w:w="887" w:type="dxa"/>
                  <w:vMerge w:val="restart"/>
                  <w:tcBorders>
                    <w:top w:val="single" w:color="auto" w:sz="12" w:space="0"/>
                  </w:tcBorders>
                  <w:vAlign w:val="center"/>
                </w:tcPr>
                <w:p>
                  <w:pPr>
                    <w:bidi w:val="0"/>
                    <w:spacing w:line="240" w:lineRule="auto"/>
                    <w:jc w:val="center"/>
                    <w:rPr>
                      <w:rFonts w:hint="default"/>
                      <w:sz w:val="21"/>
                      <w:szCs w:val="21"/>
                      <w:vertAlign w:val="baseline"/>
                      <w:lang w:val="en-US" w:eastAsia="zh-CN"/>
                    </w:rPr>
                  </w:pPr>
                  <w:r>
                    <w:rPr>
                      <w:rFonts w:hint="default"/>
                      <w:sz w:val="21"/>
                      <w:szCs w:val="21"/>
                      <w:vertAlign w:val="baseline"/>
                      <w:lang w:val="en-US" w:eastAsia="zh-CN"/>
                    </w:rPr>
                    <w:t>《国家</w:t>
                  </w:r>
                </w:p>
                <w:p>
                  <w:pPr>
                    <w:bidi w:val="0"/>
                    <w:spacing w:line="240" w:lineRule="auto"/>
                    <w:jc w:val="center"/>
                    <w:rPr>
                      <w:rFonts w:hint="default"/>
                      <w:sz w:val="21"/>
                      <w:szCs w:val="21"/>
                      <w:vertAlign w:val="baseline"/>
                      <w:lang w:val="en-US" w:eastAsia="zh-CN"/>
                    </w:rPr>
                  </w:pPr>
                  <w:r>
                    <w:rPr>
                      <w:rFonts w:hint="default"/>
                      <w:sz w:val="21"/>
                      <w:szCs w:val="21"/>
                      <w:vertAlign w:val="baseline"/>
                      <w:lang w:val="en-US" w:eastAsia="zh-CN"/>
                    </w:rPr>
                    <w:t>危险废</w:t>
                  </w:r>
                </w:p>
                <w:p>
                  <w:pPr>
                    <w:bidi w:val="0"/>
                    <w:spacing w:line="240" w:lineRule="auto"/>
                    <w:jc w:val="center"/>
                    <w:rPr>
                      <w:rFonts w:hint="default"/>
                      <w:sz w:val="21"/>
                      <w:szCs w:val="21"/>
                      <w:vertAlign w:val="baseline"/>
                      <w:lang w:val="en-US" w:eastAsia="zh-CN"/>
                    </w:rPr>
                  </w:pPr>
                  <w:r>
                    <w:rPr>
                      <w:rFonts w:hint="default"/>
                      <w:sz w:val="21"/>
                      <w:szCs w:val="21"/>
                      <w:vertAlign w:val="baseline"/>
                      <w:lang w:val="en-US" w:eastAsia="zh-CN"/>
                    </w:rPr>
                    <w:t>物名录》</w:t>
                  </w:r>
                </w:p>
                <w:p>
                  <w:pPr>
                    <w:bidi w:val="0"/>
                    <w:spacing w:line="240" w:lineRule="auto"/>
                    <w:jc w:val="center"/>
                    <w:rPr>
                      <w:rFonts w:hint="default"/>
                      <w:sz w:val="21"/>
                      <w:szCs w:val="21"/>
                      <w:vertAlign w:val="baseline"/>
                      <w:lang w:val="en-US" w:eastAsia="zh-CN"/>
                    </w:rPr>
                  </w:pPr>
                  <w:r>
                    <w:rPr>
                      <w:rFonts w:hint="default"/>
                      <w:sz w:val="21"/>
                      <w:szCs w:val="21"/>
                      <w:vertAlign w:val="baseline"/>
                      <w:lang w:val="en-US" w:eastAsia="zh-CN"/>
                    </w:rPr>
                    <w:t>（</w:t>
                  </w:r>
                  <w:r>
                    <w:rPr>
                      <w:rFonts w:hint="eastAsia"/>
                      <w:sz w:val="21"/>
                      <w:szCs w:val="21"/>
                      <w:vertAlign w:val="baseline"/>
                      <w:lang w:val="en-US" w:eastAsia="zh-CN"/>
                    </w:rPr>
                    <w:t>2021</w:t>
                  </w:r>
                  <w:r>
                    <w:rPr>
                      <w:rFonts w:hint="default"/>
                      <w:sz w:val="21"/>
                      <w:szCs w:val="21"/>
                      <w:vertAlign w:val="baseline"/>
                      <w:lang w:val="en-US" w:eastAsia="zh-CN"/>
                    </w:rPr>
                    <w:t>）</w:t>
                  </w:r>
                </w:p>
              </w:tc>
              <w:tc>
                <w:tcPr>
                  <w:tcW w:w="682" w:type="dxa"/>
                  <w:tcBorders>
                    <w:top w:val="single" w:color="auto" w:sz="12" w:space="0"/>
                  </w:tcBorders>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w:t>
                  </w:r>
                </w:p>
              </w:tc>
              <w:tc>
                <w:tcPr>
                  <w:tcW w:w="872" w:type="dxa"/>
                  <w:tcBorders>
                    <w:top w:val="single" w:color="auto" w:sz="12" w:space="0"/>
                  </w:tcBorders>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85</w:t>
                  </w:r>
                </w:p>
              </w:tc>
              <w:tc>
                <w:tcPr>
                  <w:tcW w:w="1269" w:type="dxa"/>
                  <w:tcBorders>
                    <w:top w:val="single" w:color="auto" w:sz="12" w:space="0"/>
                  </w:tcBorders>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w:t>
                  </w:r>
                </w:p>
              </w:tc>
              <w:tc>
                <w:tcPr>
                  <w:tcW w:w="940" w:type="dxa"/>
                  <w:tcBorders>
                    <w:top w:val="single" w:color="auto" w:sz="12" w:space="0"/>
                  </w:tcBorders>
                  <w:vAlign w:val="center"/>
                </w:tcPr>
                <w:p>
                  <w:pPr>
                    <w:widowControl/>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0.6</w:t>
                  </w:r>
                </w:p>
              </w:tc>
              <w:tc>
                <w:tcPr>
                  <w:tcW w:w="707" w:type="dxa"/>
                  <w:tcBorders>
                    <w:top w:val="single" w:color="auto" w:sz="12" w:space="0"/>
                  </w:tcBorders>
                  <w:vAlign w:val="center"/>
                </w:tcPr>
                <w:p>
                  <w:pPr>
                    <w:bidi w:val="0"/>
                    <w:spacing w:line="240" w:lineRule="auto"/>
                    <w:jc w:val="center"/>
                    <w:rPr>
                      <w:rFonts w:hint="default"/>
                      <w:sz w:val="21"/>
                      <w:szCs w:val="21"/>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left w:w="108" w:type="dxa"/>
                  <w:right w:w="108" w:type="dxa"/>
                </w:tblCellMar>
              </w:tblPrEx>
              <w:trPr>
                <w:trHeight w:val="23" w:hRule="atLeast"/>
              </w:trPr>
              <w:tc>
                <w:tcPr>
                  <w:tcW w:w="356" w:type="dxa"/>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2</w:t>
                  </w:r>
                </w:p>
              </w:tc>
              <w:tc>
                <w:tcPr>
                  <w:tcW w:w="805" w:type="dxa"/>
                  <w:vAlign w:val="center"/>
                </w:tcPr>
                <w:p>
                  <w:pPr>
                    <w:snapToGrid w:val="0"/>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废包装</w:t>
                  </w:r>
                </w:p>
              </w:tc>
              <w:tc>
                <w:tcPr>
                  <w:tcW w:w="709" w:type="dxa"/>
                  <w:vMerge w:val="continue"/>
                  <w:tcBorders/>
                  <w:vAlign w:val="center"/>
                </w:tcPr>
                <w:p>
                  <w:pPr>
                    <w:bidi w:val="0"/>
                    <w:spacing w:line="240" w:lineRule="auto"/>
                    <w:jc w:val="center"/>
                    <w:rPr>
                      <w:rFonts w:hint="default"/>
                      <w:sz w:val="21"/>
                      <w:szCs w:val="21"/>
                      <w:vertAlign w:val="baseline"/>
                      <w:lang w:val="en-US" w:eastAsia="zh-CN"/>
                    </w:rPr>
                  </w:pPr>
                </w:p>
              </w:tc>
              <w:tc>
                <w:tcPr>
                  <w:tcW w:w="845" w:type="dxa"/>
                  <w:vAlign w:val="center"/>
                </w:tcPr>
                <w:p>
                  <w:pPr>
                    <w:snapToGrid w:val="0"/>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入库</w:t>
                  </w:r>
                </w:p>
              </w:tc>
              <w:tc>
                <w:tcPr>
                  <w:tcW w:w="505" w:type="dxa"/>
                  <w:vAlign w:val="center"/>
                </w:tcPr>
                <w:p>
                  <w:pPr>
                    <w:snapToGrid w:val="0"/>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固态</w:t>
                  </w:r>
                </w:p>
              </w:tc>
              <w:tc>
                <w:tcPr>
                  <w:tcW w:w="845" w:type="dxa"/>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塑料</w:t>
                  </w:r>
                </w:p>
              </w:tc>
              <w:tc>
                <w:tcPr>
                  <w:tcW w:w="887" w:type="dxa"/>
                  <w:vMerge w:val="continue"/>
                  <w:tcBorders/>
                  <w:vAlign w:val="center"/>
                </w:tcPr>
                <w:p>
                  <w:pPr>
                    <w:bidi w:val="0"/>
                    <w:spacing w:line="240" w:lineRule="auto"/>
                    <w:jc w:val="center"/>
                    <w:rPr>
                      <w:rFonts w:hint="default"/>
                      <w:sz w:val="21"/>
                      <w:szCs w:val="21"/>
                      <w:vertAlign w:val="baseline"/>
                      <w:lang w:val="en-US" w:eastAsia="zh-CN"/>
                    </w:rPr>
                  </w:pPr>
                </w:p>
              </w:tc>
              <w:tc>
                <w:tcPr>
                  <w:tcW w:w="682" w:type="dxa"/>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w:t>
                  </w:r>
                </w:p>
              </w:tc>
              <w:tc>
                <w:tcPr>
                  <w:tcW w:w="872" w:type="dxa"/>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85</w:t>
                  </w:r>
                </w:p>
              </w:tc>
              <w:tc>
                <w:tcPr>
                  <w:tcW w:w="1269" w:type="dxa"/>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w:t>
                  </w:r>
                </w:p>
              </w:tc>
              <w:tc>
                <w:tcPr>
                  <w:tcW w:w="940" w:type="dxa"/>
                  <w:vAlign w:val="center"/>
                </w:tcPr>
                <w:p>
                  <w:pPr>
                    <w:widowControl/>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6</w:t>
                  </w:r>
                </w:p>
              </w:tc>
              <w:tc>
                <w:tcPr>
                  <w:tcW w:w="707" w:type="dxa"/>
                  <w:vAlign w:val="center"/>
                </w:tcPr>
                <w:p>
                  <w:pPr>
                    <w:bidi w:val="0"/>
                    <w:spacing w:line="240" w:lineRule="auto"/>
                    <w:jc w:val="center"/>
                    <w:rPr>
                      <w:rFonts w:hint="default"/>
                      <w:sz w:val="21"/>
                      <w:szCs w:val="21"/>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left w:w="108" w:type="dxa"/>
                  <w:right w:w="108" w:type="dxa"/>
                </w:tblCellMar>
              </w:tblPrEx>
              <w:trPr>
                <w:trHeight w:val="23" w:hRule="atLeast"/>
              </w:trPr>
              <w:tc>
                <w:tcPr>
                  <w:tcW w:w="356" w:type="dxa"/>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3</w:t>
                  </w:r>
                </w:p>
              </w:tc>
              <w:tc>
                <w:tcPr>
                  <w:tcW w:w="805" w:type="dxa"/>
                  <w:vAlign w:val="center"/>
                </w:tcPr>
                <w:p>
                  <w:pPr>
                    <w:snapToGrid w:val="0"/>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布袋收尘</w:t>
                  </w:r>
                </w:p>
              </w:tc>
              <w:tc>
                <w:tcPr>
                  <w:tcW w:w="709" w:type="dxa"/>
                  <w:vMerge w:val="continue"/>
                  <w:tcBorders/>
                  <w:vAlign w:val="center"/>
                </w:tcPr>
                <w:p>
                  <w:pPr>
                    <w:bidi w:val="0"/>
                    <w:spacing w:line="240" w:lineRule="auto"/>
                    <w:jc w:val="center"/>
                    <w:rPr>
                      <w:rFonts w:hint="default"/>
                      <w:sz w:val="21"/>
                      <w:szCs w:val="21"/>
                      <w:vertAlign w:val="baseline"/>
                      <w:lang w:val="en-US" w:eastAsia="zh-CN"/>
                    </w:rPr>
                  </w:pPr>
                </w:p>
              </w:tc>
              <w:tc>
                <w:tcPr>
                  <w:tcW w:w="845" w:type="dxa"/>
                  <w:vAlign w:val="center"/>
                </w:tcPr>
                <w:p>
                  <w:pPr>
                    <w:snapToGrid w:val="0"/>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废气处理</w:t>
                  </w:r>
                </w:p>
              </w:tc>
              <w:tc>
                <w:tcPr>
                  <w:tcW w:w="505" w:type="dxa"/>
                  <w:vAlign w:val="center"/>
                </w:tcPr>
                <w:p>
                  <w:pPr>
                    <w:snapToGrid w:val="0"/>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固态</w:t>
                  </w:r>
                </w:p>
              </w:tc>
              <w:tc>
                <w:tcPr>
                  <w:tcW w:w="845" w:type="dxa"/>
                  <w:vAlign w:val="center"/>
                </w:tcPr>
                <w:p>
                  <w:pPr>
                    <w:snapToGrid w:val="0"/>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CaCO</w:t>
                  </w:r>
                  <w:r>
                    <w:rPr>
                      <w:rFonts w:hint="eastAsia"/>
                      <w:sz w:val="21"/>
                      <w:szCs w:val="21"/>
                      <w:vertAlign w:val="subscript"/>
                      <w:lang w:val="en-US" w:eastAsia="zh-CN"/>
                    </w:rPr>
                    <w:t>3</w:t>
                  </w:r>
                </w:p>
              </w:tc>
              <w:tc>
                <w:tcPr>
                  <w:tcW w:w="887" w:type="dxa"/>
                  <w:vMerge w:val="continue"/>
                  <w:tcBorders/>
                  <w:vAlign w:val="center"/>
                </w:tcPr>
                <w:p>
                  <w:pPr>
                    <w:bidi w:val="0"/>
                    <w:spacing w:line="240" w:lineRule="auto"/>
                    <w:jc w:val="center"/>
                    <w:rPr>
                      <w:rFonts w:hint="default"/>
                      <w:sz w:val="21"/>
                      <w:szCs w:val="21"/>
                      <w:vertAlign w:val="baseline"/>
                      <w:lang w:val="en-US" w:eastAsia="zh-CN"/>
                    </w:rPr>
                  </w:pPr>
                </w:p>
              </w:tc>
              <w:tc>
                <w:tcPr>
                  <w:tcW w:w="682" w:type="dxa"/>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w:t>
                  </w:r>
                </w:p>
              </w:tc>
              <w:tc>
                <w:tcPr>
                  <w:tcW w:w="872" w:type="dxa"/>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99</w:t>
                  </w:r>
                </w:p>
              </w:tc>
              <w:tc>
                <w:tcPr>
                  <w:tcW w:w="1269" w:type="dxa"/>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w:t>
                  </w:r>
                </w:p>
              </w:tc>
              <w:tc>
                <w:tcPr>
                  <w:tcW w:w="940" w:type="dxa"/>
                  <w:vAlign w:val="center"/>
                </w:tcPr>
                <w:p>
                  <w:pPr>
                    <w:widowControl/>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0.2673</w:t>
                  </w:r>
                </w:p>
              </w:tc>
              <w:tc>
                <w:tcPr>
                  <w:tcW w:w="707" w:type="dxa"/>
                  <w:vAlign w:val="center"/>
                </w:tcPr>
                <w:p>
                  <w:pPr>
                    <w:bidi w:val="0"/>
                    <w:spacing w:line="240" w:lineRule="auto"/>
                    <w:jc w:val="center"/>
                    <w:rPr>
                      <w:rFonts w:hint="default"/>
                      <w:sz w:val="21"/>
                      <w:szCs w:val="21"/>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left w:w="108" w:type="dxa"/>
                  <w:right w:w="108" w:type="dxa"/>
                </w:tblCellMar>
              </w:tblPrEx>
              <w:trPr>
                <w:trHeight w:val="23" w:hRule="atLeast"/>
              </w:trPr>
              <w:tc>
                <w:tcPr>
                  <w:tcW w:w="356" w:type="dxa"/>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4</w:t>
                  </w:r>
                </w:p>
              </w:tc>
              <w:tc>
                <w:tcPr>
                  <w:tcW w:w="805" w:type="dxa"/>
                  <w:vAlign w:val="center"/>
                </w:tcPr>
                <w:p>
                  <w:pPr>
                    <w:snapToGrid w:val="0"/>
                    <w:spacing w:line="240" w:lineRule="auto"/>
                    <w:jc w:val="center"/>
                    <w:rPr>
                      <w:rFonts w:hint="default" w:ascii="Times New Roman" w:hAnsi="Times New Roman" w:eastAsia="宋体" w:cs="Times New Roman"/>
                      <w:kern w:val="2"/>
                      <w:sz w:val="21"/>
                      <w:szCs w:val="21"/>
                      <w:lang w:val="en-US" w:eastAsia="zh-CN" w:bidi="ar-SA"/>
                    </w:rPr>
                  </w:pPr>
                  <w:r>
                    <w:rPr>
                      <w:sz w:val="21"/>
                      <w:szCs w:val="21"/>
                    </w:rPr>
                    <w:t>废活性炭</w:t>
                  </w:r>
                </w:p>
              </w:tc>
              <w:tc>
                <w:tcPr>
                  <w:tcW w:w="0" w:type="auto"/>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危险废物</w:t>
                  </w:r>
                </w:p>
              </w:tc>
              <w:tc>
                <w:tcPr>
                  <w:tcW w:w="0" w:type="auto"/>
                  <w:vAlign w:val="center"/>
                </w:tcPr>
                <w:p>
                  <w:pPr>
                    <w:snapToGrid w:val="0"/>
                    <w:spacing w:line="240" w:lineRule="auto"/>
                    <w:jc w:val="center"/>
                    <w:rPr>
                      <w:rFonts w:hint="default" w:ascii="Times New Roman" w:hAnsi="Times New Roman" w:eastAsia="宋体" w:cs="Times New Roman"/>
                      <w:kern w:val="2"/>
                      <w:sz w:val="21"/>
                      <w:szCs w:val="21"/>
                      <w:lang w:val="en-US" w:eastAsia="zh-CN" w:bidi="ar-SA"/>
                    </w:rPr>
                  </w:pPr>
                  <w:r>
                    <w:rPr>
                      <w:sz w:val="21"/>
                      <w:szCs w:val="21"/>
                    </w:rPr>
                    <w:t>废气处理</w:t>
                  </w:r>
                </w:p>
              </w:tc>
              <w:tc>
                <w:tcPr>
                  <w:tcW w:w="505" w:type="dxa"/>
                  <w:vAlign w:val="center"/>
                </w:tcPr>
                <w:p>
                  <w:pPr>
                    <w:snapToGrid w:val="0"/>
                    <w:spacing w:line="240" w:lineRule="auto"/>
                    <w:jc w:val="center"/>
                    <w:rPr>
                      <w:rFonts w:hint="default" w:ascii="Times New Roman" w:hAnsi="Times New Roman" w:eastAsia="宋体" w:cs="Times New Roman"/>
                      <w:kern w:val="2"/>
                      <w:sz w:val="21"/>
                      <w:szCs w:val="21"/>
                      <w:lang w:val="en-US" w:eastAsia="zh-CN" w:bidi="ar-SA"/>
                    </w:rPr>
                  </w:pPr>
                  <w:r>
                    <w:rPr>
                      <w:sz w:val="21"/>
                      <w:szCs w:val="21"/>
                    </w:rPr>
                    <w:t>固态</w:t>
                  </w:r>
                </w:p>
              </w:tc>
              <w:tc>
                <w:tcPr>
                  <w:tcW w:w="845" w:type="dxa"/>
                  <w:vAlign w:val="center"/>
                </w:tcPr>
                <w:p>
                  <w:pPr>
                    <w:snapToGrid w:val="0"/>
                    <w:spacing w:line="240" w:lineRule="auto"/>
                    <w:jc w:val="center"/>
                    <w:rPr>
                      <w:rFonts w:hint="default" w:ascii="Times New Roman" w:hAnsi="Times New Roman" w:eastAsia="宋体" w:cs="Times New Roman"/>
                      <w:kern w:val="2"/>
                      <w:sz w:val="21"/>
                      <w:szCs w:val="21"/>
                      <w:lang w:val="en-US" w:eastAsia="zh-CN" w:bidi="ar-SA"/>
                    </w:rPr>
                  </w:pPr>
                  <w:r>
                    <w:rPr>
                      <w:sz w:val="21"/>
                      <w:szCs w:val="21"/>
                    </w:rPr>
                    <w:t>活性炭、有机物</w:t>
                  </w:r>
                </w:p>
              </w:tc>
              <w:tc>
                <w:tcPr>
                  <w:tcW w:w="887" w:type="dxa"/>
                  <w:vMerge w:val="continue"/>
                  <w:tcBorders/>
                  <w:vAlign w:val="center"/>
                </w:tcPr>
                <w:p>
                  <w:pPr>
                    <w:bidi w:val="0"/>
                    <w:spacing w:line="240" w:lineRule="auto"/>
                    <w:jc w:val="center"/>
                    <w:rPr>
                      <w:rFonts w:hint="default"/>
                      <w:sz w:val="21"/>
                      <w:szCs w:val="21"/>
                      <w:vertAlign w:val="baseline"/>
                      <w:lang w:val="en-US" w:eastAsia="zh-CN"/>
                    </w:rPr>
                  </w:pPr>
                </w:p>
              </w:tc>
              <w:tc>
                <w:tcPr>
                  <w:tcW w:w="682" w:type="dxa"/>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T/ln</w:t>
                  </w:r>
                </w:p>
              </w:tc>
              <w:tc>
                <w:tcPr>
                  <w:tcW w:w="872" w:type="dxa"/>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HW49</w:t>
                  </w:r>
                </w:p>
              </w:tc>
              <w:tc>
                <w:tcPr>
                  <w:tcW w:w="1269" w:type="dxa"/>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900-041-49</w:t>
                  </w:r>
                </w:p>
              </w:tc>
              <w:tc>
                <w:tcPr>
                  <w:tcW w:w="940" w:type="dxa"/>
                  <w:vAlign w:val="center"/>
                </w:tcPr>
                <w:p>
                  <w:pPr>
                    <w:widowControl/>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2</w:t>
                  </w:r>
                </w:p>
              </w:tc>
              <w:tc>
                <w:tcPr>
                  <w:tcW w:w="707" w:type="dxa"/>
                  <w:vAlign w:val="center"/>
                </w:tcPr>
                <w:p>
                  <w:pPr>
                    <w:bidi w:val="0"/>
                    <w:spacing w:line="240" w:lineRule="auto"/>
                    <w:jc w:val="center"/>
                    <w:rPr>
                      <w:rFonts w:hint="default"/>
                      <w:sz w:val="21"/>
                      <w:szCs w:val="21"/>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left w:w="108" w:type="dxa"/>
                  <w:right w:w="108" w:type="dxa"/>
                </w:tblCellMar>
              </w:tblPrEx>
              <w:trPr>
                <w:trHeight w:val="23" w:hRule="atLeast"/>
              </w:trPr>
              <w:tc>
                <w:tcPr>
                  <w:tcW w:w="356" w:type="dxa"/>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5</w:t>
                  </w:r>
                </w:p>
              </w:tc>
              <w:tc>
                <w:tcPr>
                  <w:tcW w:w="805" w:type="dxa"/>
                  <w:vAlign w:val="center"/>
                </w:tcPr>
                <w:p>
                  <w:pPr>
                    <w:snapToGrid w:val="0"/>
                    <w:spacing w:line="240" w:lineRule="auto"/>
                    <w:jc w:val="center"/>
                    <w:rPr>
                      <w:rFonts w:hint="eastAsia" w:eastAsia="宋体"/>
                      <w:sz w:val="21"/>
                      <w:szCs w:val="21"/>
                      <w:lang w:val="en-US" w:eastAsia="zh-CN"/>
                    </w:rPr>
                  </w:pPr>
                  <w:r>
                    <w:rPr>
                      <w:rFonts w:hint="eastAsia"/>
                      <w:sz w:val="21"/>
                      <w:szCs w:val="21"/>
                      <w:lang w:val="en-US" w:eastAsia="zh-CN"/>
                    </w:rPr>
                    <w:t>生活垃圾</w:t>
                  </w:r>
                </w:p>
              </w:tc>
              <w:tc>
                <w:tcPr>
                  <w:tcW w:w="0" w:type="auto"/>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一般固废</w:t>
                  </w:r>
                </w:p>
              </w:tc>
              <w:tc>
                <w:tcPr>
                  <w:tcW w:w="0" w:type="auto"/>
                  <w:vAlign w:val="center"/>
                </w:tcPr>
                <w:p>
                  <w:pPr>
                    <w:snapToGrid w:val="0"/>
                    <w:spacing w:line="240" w:lineRule="auto"/>
                    <w:jc w:val="center"/>
                    <w:rPr>
                      <w:rFonts w:hint="default" w:ascii="Times New Roman" w:hAnsi="Times New Roman" w:eastAsia="宋体" w:cs="Times New Roman"/>
                      <w:kern w:val="2"/>
                      <w:sz w:val="21"/>
                      <w:szCs w:val="21"/>
                      <w:lang w:val="en-US" w:eastAsia="zh-CN" w:bidi="ar-SA"/>
                    </w:rPr>
                  </w:pPr>
                  <w:r>
                    <w:rPr>
                      <w:sz w:val="21"/>
                      <w:szCs w:val="21"/>
                    </w:rPr>
                    <w:t>生活</w:t>
                  </w:r>
                </w:p>
              </w:tc>
              <w:tc>
                <w:tcPr>
                  <w:tcW w:w="505" w:type="dxa"/>
                  <w:vAlign w:val="center"/>
                </w:tcPr>
                <w:p>
                  <w:pPr>
                    <w:snapToGrid w:val="0"/>
                    <w:spacing w:line="240" w:lineRule="auto"/>
                    <w:jc w:val="center"/>
                    <w:rPr>
                      <w:rFonts w:hint="default" w:ascii="Times New Roman" w:hAnsi="Times New Roman" w:eastAsia="宋体" w:cs="Times New Roman"/>
                      <w:kern w:val="2"/>
                      <w:sz w:val="21"/>
                      <w:szCs w:val="21"/>
                      <w:lang w:val="en-US" w:eastAsia="zh-CN" w:bidi="ar-SA"/>
                    </w:rPr>
                  </w:pPr>
                  <w:r>
                    <w:rPr>
                      <w:sz w:val="21"/>
                      <w:szCs w:val="21"/>
                    </w:rPr>
                    <w:t>固态</w:t>
                  </w:r>
                </w:p>
              </w:tc>
              <w:tc>
                <w:tcPr>
                  <w:tcW w:w="845" w:type="dxa"/>
                  <w:vAlign w:val="center"/>
                </w:tcPr>
                <w:p>
                  <w:pPr>
                    <w:bidi w:val="0"/>
                    <w:spacing w:line="240" w:lineRule="auto"/>
                    <w:jc w:val="center"/>
                    <w:rPr>
                      <w:rFonts w:hint="eastAsia"/>
                      <w:sz w:val="21"/>
                      <w:szCs w:val="21"/>
                      <w:vertAlign w:val="baseline"/>
                      <w:lang w:val="en-US" w:eastAsia="zh-CN"/>
                    </w:rPr>
                  </w:pPr>
                  <w:r>
                    <w:rPr>
                      <w:rFonts w:hint="eastAsia"/>
                      <w:sz w:val="21"/>
                      <w:szCs w:val="21"/>
                      <w:vertAlign w:val="baseline"/>
                      <w:lang w:val="en-US" w:eastAsia="zh-CN"/>
                    </w:rPr>
                    <w:t>生活</w:t>
                  </w:r>
                </w:p>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垃圾</w:t>
                  </w:r>
                </w:p>
              </w:tc>
              <w:tc>
                <w:tcPr>
                  <w:tcW w:w="887" w:type="dxa"/>
                  <w:vMerge w:val="continue"/>
                  <w:tcBorders/>
                  <w:vAlign w:val="center"/>
                </w:tcPr>
                <w:p>
                  <w:pPr>
                    <w:bidi w:val="0"/>
                    <w:spacing w:line="240" w:lineRule="auto"/>
                    <w:jc w:val="center"/>
                    <w:rPr>
                      <w:rFonts w:hint="default"/>
                      <w:sz w:val="21"/>
                      <w:szCs w:val="21"/>
                      <w:vertAlign w:val="baseline"/>
                      <w:lang w:val="en-US" w:eastAsia="zh-CN"/>
                    </w:rPr>
                  </w:pPr>
                </w:p>
              </w:tc>
              <w:tc>
                <w:tcPr>
                  <w:tcW w:w="682" w:type="dxa"/>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w:t>
                  </w:r>
                </w:p>
              </w:tc>
              <w:tc>
                <w:tcPr>
                  <w:tcW w:w="872" w:type="dxa"/>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99</w:t>
                  </w:r>
                </w:p>
              </w:tc>
              <w:tc>
                <w:tcPr>
                  <w:tcW w:w="1269" w:type="dxa"/>
                  <w:vAlign w:val="center"/>
                </w:tcPr>
                <w:p>
                  <w:pPr>
                    <w:bidi w:val="0"/>
                    <w:spacing w:line="240" w:lineRule="auto"/>
                    <w:jc w:val="center"/>
                    <w:rPr>
                      <w:rFonts w:hint="default"/>
                      <w:sz w:val="21"/>
                      <w:szCs w:val="21"/>
                      <w:vertAlign w:val="baseline"/>
                      <w:lang w:val="en-US" w:eastAsia="zh-CN"/>
                    </w:rPr>
                  </w:pPr>
                  <w:r>
                    <w:rPr>
                      <w:rFonts w:hint="eastAsia"/>
                      <w:sz w:val="21"/>
                      <w:szCs w:val="21"/>
                      <w:vertAlign w:val="baseline"/>
                      <w:lang w:val="en-US" w:eastAsia="zh-CN"/>
                    </w:rPr>
                    <w:t>/</w:t>
                  </w:r>
                </w:p>
              </w:tc>
              <w:tc>
                <w:tcPr>
                  <w:tcW w:w="940" w:type="dxa"/>
                  <w:vAlign w:val="center"/>
                </w:tcPr>
                <w:p>
                  <w:pPr>
                    <w:widowControl/>
                    <w:spacing w:line="240" w:lineRule="auto"/>
                    <w:jc w:val="center"/>
                    <w:textAlignment w:val="center"/>
                    <w:rPr>
                      <w:rFonts w:hint="eastAsia" w:ascii="Times New Roman" w:hAnsi="Times New Roman" w:eastAsia="宋体" w:cs="Times New Roman"/>
                      <w:kern w:val="2"/>
                      <w:sz w:val="21"/>
                      <w:szCs w:val="21"/>
                      <w:lang w:val="en-US" w:eastAsia="zh-CN" w:bidi="ar-SA"/>
                    </w:rPr>
                  </w:pPr>
                  <w:r>
                    <w:rPr>
                      <w:rFonts w:hint="eastAsia"/>
                      <w:color w:val="000000"/>
                      <w:kern w:val="0"/>
                      <w:sz w:val="21"/>
                      <w:szCs w:val="21"/>
                      <w:lang w:val="en-US" w:eastAsia="zh-CN" w:bidi="ar"/>
                    </w:rPr>
                    <w:t>9</w:t>
                  </w:r>
                </w:p>
              </w:tc>
              <w:tc>
                <w:tcPr>
                  <w:tcW w:w="707" w:type="dxa"/>
                  <w:vAlign w:val="center"/>
                </w:tcPr>
                <w:p>
                  <w:pPr>
                    <w:bidi w:val="0"/>
                    <w:spacing w:line="240" w:lineRule="auto"/>
                    <w:jc w:val="center"/>
                    <w:rPr>
                      <w:rFonts w:hint="default"/>
                      <w:sz w:val="21"/>
                      <w:szCs w:val="21"/>
                      <w:vertAlign w:val="baseline"/>
                      <w:lang w:val="en-US" w:eastAsia="zh-CN"/>
                    </w:rPr>
                  </w:pPr>
                </w:p>
              </w:tc>
            </w:tr>
          </w:tbl>
          <w:p>
            <w:pPr>
              <w:bidi w:val="0"/>
              <w:rPr>
                <w:rFonts w:hint="default"/>
                <w:lang w:val="en-US" w:eastAsia="zh-CN"/>
              </w:rPr>
            </w:pPr>
          </w:p>
          <w:p>
            <w:pPr>
              <w:ind w:firstLine="482" w:firstLineChars="200"/>
              <w:rPr>
                <w:b/>
                <w:bCs w:val="0"/>
              </w:rPr>
            </w:pPr>
            <w:r>
              <w:rPr>
                <w:rFonts w:hint="eastAsia"/>
                <w:b/>
                <w:bCs w:val="0"/>
                <w:lang w:val="en-US" w:eastAsia="zh-CN"/>
              </w:rPr>
              <w:t>2）</w:t>
            </w:r>
            <w:r>
              <w:rPr>
                <w:rFonts w:hint="eastAsia"/>
                <w:b/>
                <w:bCs w:val="0"/>
              </w:rPr>
              <w:t>贮存场所污染防治措施</w:t>
            </w:r>
          </w:p>
          <w:p>
            <w:pPr>
              <w:ind w:firstLine="480" w:firstLineChars="200"/>
              <w:rPr>
                <w:bCs/>
              </w:rPr>
            </w:pPr>
            <w:r>
              <w:rPr>
                <w:rFonts w:hint="eastAsia"/>
                <w:bCs/>
              </w:rPr>
              <w:t>项目危险废物暂存仓库严格按照《危险废物贮存污染控制标准》（GB18597-2001）的要求规范建设和维护使用。做到防雨、防风、防晒、防渗漏等措施，并制定好危险废物转移运输中的污染防范及事故应急措施。具体情况如下：</w:t>
            </w:r>
          </w:p>
          <w:p>
            <w:pPr>
              <w:ind w:firstLine="480" w:firstLineChars="200"/>
              <w:rPr>
                <w:bCs/>
              </w:rPr>
            </w:pPr>
            <w:r>
              <w:rPr>
                <w:rFonts w:hint="eastAsia"/>
                <w:bCs/>
              </w:rPr>
              <w:t xml:space="preserve">1）危废暂存场所建设要求 </w:t>
            </w:r>
          </w:p>
          <w:p>
            <w:pPr>
              <w:ind w:firstLine="480" w:firstLineChars="200"/>
              <w:rPr>
                <w:bCs/>
              </w:rPr>
            </w:pPr>
            <w:r>
              <w:rPr>
                <w:rFonts w:hint="eastAsia"/>
                <w:bCs/>
              </w:rPr>
              <w:t>①地面与墙脚要用坚固、防渗的材料建造，建筑材料必须与危险废物相容。设置防渗、防漏、防雨等措施，基础防渗层为1m厚粘土层（渗透系数≤10-7cm/s），并进行0.4m厚的混凝土浇筑，最上层为2.5mm的环氧树脂防腐防渗涂层，渗透系数≤10-10cm/s。</w:t>
            </w:r>
          </w:p>
          <w:p>
            <w:pPr>
              <w:ind w:firstLine="480" w:firstLineChars="200"/>
              <w:rPr>
                <w:bCs/>
              </w:rPr>
            </w:pPr>
            <w:r>
              <w:rPr>
                <w:rFonts w:hint="eastAsia"/>
                <w:bCs/>
              </w:rPr>
              <w:t xml:space="preserve">②必须有泄漏液体收集装置、气体导出口及气体净化装置。 </w:t>
            </w:r>
          </w:p>
          <w:p>
            <w:pPr>
              <w:ind w:firstLine="480" w:firstLineChars="200"/>
              <w:rPr>
                <w:bCs/>
              </w:rPr>
            </w:pPr>
            <w:r>
              <w:rPr>
                <w:rFonts w:hint="eastAsia"/>
                <w:bCs/>
              </w:rPr>
              <w:t xml:space="preserve">③设施内要有安全照明设施和观察窗口。 </w:t>
            </w:r>
          </w:p>
          <w:p>
            <w:pPr>
              <w:ind w:firstLine="480" w:firstLineChars="200"/>
              <w:rPr>
                <w:bCs/>
              </w:rPr>
            </w:pPr>
            <w:r>
              <w:rPr>
                <w:rFonts w:hint="eastAsia"/>
                <w:bCs/>
              </w:rPr>
              <w:t xml:space="preserve">④用以存放装载液体、半固体危险废物容器的地方，必须有耐腐蚀的硬化地面，且表面无裂隙。 </w:t>
            </w:r>
          </w:p>
          <w:p>
            <w:pPr>
              <w:ind w:firstLine="480" w:firstLineChars="200"/>
              <w:rPr>
                <w:bCs/>
              </w:rPr>
            </w:pPr>
            <w:r>
              <w:rPr>
                <w:rFonts w:hint="eastAsia"/>
                <w:bCs/>
              </w:rPr>
              <w:t xml:space="preserve">⑤应设计堵截泄漏的裙脚，地面与裙脚所围建的容积不低于堵截最大容器的最大储量或总储量的五分之一。 </w:t>
            </w:r>
          </w:p>
          <w:p>
            <w:pPr>
              <w:ind w:firstLine="480" w:firstLineChars="200"/>
              <w:rPr>
                <w:bCs/>
              </w:rPr>
            </w:pPr>
            <w:r>
              <w:rPr>
                <w:rFonts w:hint="eastAsia"/>
                <w:bCs/>
              </w:rPr>
              <w:t xml:space="preserve">⑥不相容的危险废物必须分开存放，并设有隔离间隔断。 </w:t>
            </w:r>
          </w:p>
          <w:p>
            <w:pPr>
              <w:ind w:firstLine="480" w:firstLineChars="200"/>
              <w:rPr>
                <w:bCs/>
              </w:rPr>
            </w:pPr>
            <w:r>
              <w:rPr>
                <w:rFonts w:hint="eastAsia"/>
                <w:bCs/>
              </w:rPr>
              <w:t xml:space="preserve">2）危废暂存场所管理要求 </w:t>
            </w:r>
          </w:p>
          <w:p>
            <w:pPr>
              <w:ind w:firstLine="480" w:firstLineChars="200"/>
              <w:rPr>
                <w:bCs/>
              </w:rPr>
            </w:pPr>
            <w:r>
              <w:rPr>
                <w:rFonts w:hint="eastAsia"/>
                <w:bCs/>
              </w:rPr>
              <w:t xml:space="preserve">①盛装在容器内的同类危险废物可以堆叠存放。 </w:t>
            </w:r>
          </w:p>
          <w:p>
            <w:pPr>
              <w:ind w:firstLine="480" w:firstLineChars="200"/>
              <w:rPr>
                <w:bCs/>
              </w:rPr>
            </w:pPr>
            <w:r>
              <w:rPr>
                <w:rFonts w:hint="eastAsia"/>
                <w:bCs/>
              </w:rPr>
              <w:t xml:space="preserve">②每个堆间应留有搬运通道。 </w:t>
            </w:r>
          </w:p>
          <w:p>
            <w:pPr>
              <w:ind w:firstLine="480" w:firstLineChars="200"/>
              <w:rPr>
                <w:bCs/>
              </w:rPr>
            </w:pPr>
            <w:r>
              <w:rPr>
                <w:rFonts w:hint="eastAsia"/>
                <w:bCs/>
              </w:rPr>
              <w:t xml:space="preserve">③危险废物产生者和危险废物贮存设施经营者均须作好危险废物情况的记录，记录上须注明危险废物的名称、来源、数量、特性和包装容器的类别、入库日期、存放库位、废物出库日期及接收单位名称。 危险废物的记录和货单在危险废物回取后应继续保留三年。 </w:t>
            </w:r>
          </w:p>
          <w:p>
            <w:pPr>
              <w:ind w:firstLine="480" w:firstLineChars="200"/>
              <w:rPr>
                <w:bCs/>
              </w:rPr>
            </w:pPr>
            <w:r>
              <w:rPr>
                <w:rFonts w:hint="eastAsia"/>
                <w:bCs/>
              </w:rPr>
              <w:t xml:space="preserve">④必须定期对所贮存的危险废物包装容器及贮存设施进行检查，发现破损，应及时采取措施清理更换。 </w:t>
            </w:r>
          </w:p>
          <w:p>
            <w:pPr>
              <w:ind w:firstLine="480" w:firstLineChars="200"/>
              <w:rPr>
                <w:bCs/>
              </w:rPr>
            </w:pPr>
            <w:r>
              <w:rPr>
                <w:rFonts w:hint="eastAsia"/>
                <w:bCs/>
              </w:rPr>
              <w:t xml:space="preserve">⑤不得将不相容的废物混合或合并存放。 </w:t>
            </w:r>
          </w:p>
          <w:p>
            <w:pPr>
              <w:ind w:firstLine="480" w:firstLineChars="200"/>
              <w:rPr>
                <w:bCs/>
              </w:rPr>
            </w:pPr>
            <w:r>
              <w:rPr>
                <w:rFonts w:hint="eastAsia"/>
                <w:bCs/>
              </w:rPr>
              <w:t xml:space="preserve">⑥危险废物贮存设施都必须按GB15562.2的规定设置警示标志。 </w:t>
            </w:r>
          </w:p>
          <w:p>
            <w:pPr>
              <w:ind w:firstLine="480" w:firstLineChars="200"/>
              <w:rPr>
                <w:bCs/>
              </w:rPr>
            </w:pPr>
            <w:r>
              <w:rPr>
                <w:rFonts w:hint="eastAsia"/>
                <w:bCs/>
              </w:rPr>
              <w:t xml:space="preserve">⑦危险废物贮存设施周围应设置围墙或其它防护栅栏。 </w:t>
            </w:r>
          </w:p>
          <w:p>
            <w:pPr>
              <w:ind w:firstLine="480" w:firstLineChars="200"/>
              <w:rPr>
                <w:bCs/>
              </w:rPr>
            </w:pPr>
            <w:r>
              <w:rPr>
                <w:rFonts w:hint="eastAsia"/>
                <w:bCs/>
              </w:rPr>
              <w:t xml:space="preserve">⑧危险废物贮存设施应配备通讯设备、照明设施、安全防护服装及工具，并设有应急防护设施。 </w:t>
            </w:r>
          </w:p>
          <w:p>
            <w:pPr>
              <w:ind w:firstLine="480" w:firstLineChars="200"/>
              <w:rPr>
                <w:bCs/>
              </w:rPr>
            </w:pPr>
            <w:r>
              <w:rPr>
                <w:rFonts w:hint="eastAsia"/>
                <w:bCs/>
              </w:rPr>
              <w:t>⑨危险废物贮存设施内清理出来的泄漏物，一律按危险废物处理。</w:t>
            </w:r>
          </w:p>
          <w:p>
            <w:pPr>
              <w:ind w:firstLine="480" w:firstLineChars="200"/>
              <w:rPr>
                <w:bCs/>
              </w:rPr>
            </w:pPr>
            <w:r>
              <w:rPr>
                <w:rFonts w:hint="eastAsia"/>
                <w:bCs/>
              </w:rPr>
              <w:t>（2）运输过程污染防治措施</w:t>
            </w:r>
          </w:p>
          <w:p>
            <w:pPr>
              <w:ind w:firstLine="480" w:firstLineChars="200"/>
              <w:rPr>
                <w:bCs/>
              </w:rPr>
            </w:pPr>
            <w:r>
              <w:rPr>
                <w:rFonts w:hint="eastAsia" w:ascii="宋体" w:hAnsi="宋体" w:cs="宋体"/>
                <w:bCs/>
              </w:rPr>
              <w:t>①</w:t>
            </w:r>
            <w:r>
              <w:rPr>
                <w:rFonts w:hint="eastAsia"/>
                <w:bCs/>
              </w:rPr>
              <w:t>本项目危险废物运输由持有危险废物经营许可证的单位按照许可范围组织实施，承担危险废物运输的单位应获得交通运输部门颁发的危险货物运输资质，采用公路运输方式。</w:t>
            </w:r>
          </w:p>
          <w:p>
            <w:pPr>
              <w:widowControl/>
              <w:spacing w:before="156" w:beforeLines="50"/>
              <w:jc w:val="both"/>
            </w:pPr>
            <w:r>
              <w:rPr>
                <w:rFonts w:hint="eastAsia" w:ascii="宋体" w:hAnsi="宋体" w:cs="宋体"/>
                <w:bCs/>
              </w:rPr>
              <w:t>②</w:t>
            </w:r>
            <w:r>
              <w:rPr>
                <w:rFonts w:hint="eastAsia"/>
                <w:bCs/>
              </w:rPr>
              <w:t>运输车辆有明显标识专车专用，禁止混装其他物品，单独收集，密闭运输，自动装卸，驾驶人员需进行专业培训；随车配备必要的消防器材和应急用具，悬挂危险品运输标志；确保废弃物包装完好，若有破损或密封不严，及时更换，更换包装作危废处置；禁止混合运输性质不形容或未经安全性处置的危废，运输车辆禁止人货混载。</w:t>
            </w:r>
          </w:p>
        </w:tc>
      </w:tr>
    </w:tbl>
    <w:p>
      <w:pPr>
        <w:rPr>
          <w:rFonts w:hint="eastAsia"/>
          <w:lang w:val="en-US" w:eastAsia="zh-CN"/>
        </w:rPr>
      </w:pPr>
      <w:bookmarkStart w:id="9" w:name="_Toc31318"/>
      <w:r>
        <w:rPr>
          <w:rFonts w:hint="eastAsia"/>
          <w:lang w:val="en-US" w:eastAsia="zh-CN"/>
        </w:rPr>
        <w:br w:type="page"/>
      </w:r>
    </w:p>
    <w:p>
      <w:pPr>
        <w:pStyle w:val="3"/>
        <w:bidi w:val="0"/>
        <w:rPr>
          <w:rFonts w:hint="default"/>
        </w:rPr>
      </w:pPr>
      <w:r>
        <w:rPr>
          <w:rFonts w:hint="eastAsia"/>
          <w:lang w:val="en-US" w:eastAsia="zh-CN"/>
        </w:rPr>
        <w:t>六、</w:t>
      </w:r>
      <w:r>
        <w:rPr>
          <w:rFonts w:hint="default"/>
        </w:rPr>
        <w:t>项目主要污染物产生及预计排放情况</w:t>
      </w:r>
      <w:bookmarkEnd w:id="9"/>
    </w:p>
    <w:tbl>
      <w:tblPr>
        <w:tblStyle w:val="2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497"/>
        <w:gridCol w:w="163"/>
        <w:gridCol w:w="1288"/>
        <w:gridCol w:w="1515"/>
        <w:gridCol w:w="1078"/>
        <w:gridCol w:w="468"/>
        <w:gridCol w:w="486"/>
        <w:gridCol w:w="1131"/>
        <w:gridCol w:w="943"/>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 w:hRule="atLeast"/>
          <w:jc w:val="center"/>
        </w:trPr>
        <w:tc>
          <w:tcPr>
            <w:tcW w:w="1127" w:type="dxa"/>
            <w:gridSpan w:val="2"/>
            <w:tcBorders>
              <w:top w:val="single" w:color="auto" w:sz="12" w:space="0"/>
              <w:bottom w:val="single" w:color="auto" w:sz="12" w:space="0"/>
              <w:tl2br w:val="single" w:color="auto" w:sz="4" w:space="0"/>
            </w:tcBorders>
            <w:noWrap w:val="0"/>
            <w:vAlign w:val="center"/>
          </w:tcPr>
          <w:p>
            <w:pPr>
              <w:snapToGrid w:val="0"/>
              <w:spacing w:line="240" w:lineRule="auto"/>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 xml:space="preserve">    内容</w:t>
            </w:r>
          </w:p>
          <w:p>
            <w:pPr>
              <w:snapToGrid w:val="0"/>
              <w:spacing w:line="240" w:lineRule="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类型</w:t>
            </w:r>
          </w:p>
        </w:tc>
        <w:tc>
          <w:tcPr>
            <w:tcW w:w="1451" w:type="dxa"/>
            <w:gridSpan w:val="2"/>
            <w:tcBorders>
              <w:top w:val="single" w:color="auto" w:sz="12" w:space="0"/>
              <w:bottom w:val="single" w:color="auto" w:sz="12" w:space="0"/>
            </w:tcBorders>
            <w:noWrap w:val="0"/>
            <w:vAlign w:val="center"/>
          </w:tcPr>
          <w:p>
            <w:pPr>
              <w:snapToGrid w:val="0"/>
              <w:spacing w:line="240" w:lineRule="auto"/>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产生源</w:t>
            </w:r>
          </w:p>
          <w:p>
            <w:pPr>
              <w:snapToGrid w:val="0"/>
              <w:spacing w:line="240" w:lineRule="auto"/>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（编号）</w:t>
            </w:r>
          </w:p>
        </w:tc>
        <w:tc>
          <w:tcPr>
            <w:tcW w:w="1515" w:type="dxa"/>
            <w:tcBorders>
              <w:top w:val="single" w:color="auto" w:sz="12" w:space="0"/>
              <w:bottom w:val="single" w:color="auto" w:sz="12" w:space="0"/>
            </w:tcBorders>
            <w:noWrap w:val="0"/>
            <w:vAlign w:val="center"/>
          </w:tcPr>
          <w:p>
            <w:pPr>
              <w:snapToGrid w:val="0"/>
              <w:spacing w:line="240" w:lineRule="auto"/>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污染物</w:t>
            </w:r>
          </w:p>
          <w:p>
            <w:pPr>
              <w:snapToGrid w:val="0"/>
              <w:spacing w:line="240" w:lineRule="auto"/>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名称</w:t>
            </w:r>
          </w:p>
        </w:tc>
        <w:tc>
          <w:tcPr>
            <w:tcW w:w="1078" w:type="dxa"/>
            <w:tcBorders>
              <w:top w:val="single" w:color="auto" w:sz="12" w:space="0"/>
              <w:bottom w:val="single" w:color="auto" w:sz="12" w:space="0"/>
            </w:tcBorders>
            <w:noWrap w:val="0"/>
            <w:vAlign w:val="center"/>
          </w:tcPr>
          <w:p>
            <w:pPr>
              <w:snapToGrid w:val="0"/>
              <w:spacing w:line="240" w:lineRule="auto"/>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产生浓度mg/m</w:t>
            </w:r>
            <w:r>
              <w:rPr>
                <w:rFonts w:hint="default" w:ascii="Times New Roman" w:hAnsi="Times New Roman" w:eastAsia="宋体" w:cs="Times New Roman"/>
                <w:b/>
                <w:sz w:val="24"/>
                <w:szCs w:val="24"/>
                <w:vertAlign w:val="superscript"/>
              </w:rPr>
              <w:t>3</w:t>
            </w:r>
          </w:p>
        </w:tc>
        <w:tc>
          <w:tcPr>
            <w:tcW w:w="954" w:type="dxa"/>
            <w:gridSpan w:val="2"/>
            <w:tcBorders>
              <w:top w:val="single" w:color="auto" w:sz="12" w:space="0"/>
              <w:bottom w:val="single" w:color="auto" w:sz="12" w:space="0"/>
            </w:tcBorders>
            <w:noWrap w:val="0"/>
            <w:vAlign w:val="center"/>
          </w:tcPr>
          <w:p>
            <w:pPr>
              <w:snapToGrid w:val="0"/>
              <w:spacing w:line="240" w:lineRule="auto"/>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产生量</w:t>
            </w:r>
          </w:p>
          <w:p>
            <w:pPr>
              <w:snapToGrid w:val="0"/>
              <w:spacing w:line="240" w:lineRule="auto"/>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t/a</w:t>
            </w:r>
          </w:p>
        </w:tc>
        <w:tc>
          <w:tcPr>
            <w:tcW w:w="1131" w:type="dxa"/>
            <w:tcBorders>
              <w:top w:val="single" w:color="auto" w:sz="12" w:space="0"/>
              <w:bottom w:val="single" w:color="auto" w:sz="12" w:space="0"/>
            </w:tcBorders>
            <w:noWrap w:val="0"/>
            <w:vAlign w:val="center"/>
          </w:tcPr>
          <w:p>
            <w:pPr>
              <w:snapToGrid w:val="0"/>
              <w:spacing w:line="240" w:lineRule="auto"/>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排放浓度mg/m</w:t>
            </w:r>
            <w:r>
              <w:rPr>
                <w:rFonts w:hint="default" w:ascii="Times New Roman" w:hAnsi="Times New Roman" w:eastAsia="宋体" w:cs="Times New Roman"/>
                <w:b/>
                <w:sz w:val="24"/>
                <w:szCs w:val="24"/>
                <w:vertAlign w:val="superscript"/>
              </w:rPr>
              <w:t>3</w:t>
            </w:r>
          </w:p>
        </w:tc>
        <w:tc>
          <w:tcPr>
            <w:tcW w:w="943" w:type="dxa"/>
            <w:tcBorders>
              <w:top w:val="single" w:color="auto" w:sz="12" w:space="0"/>
              <w:bottom w:val="single" w:color="auto" w:sz="12" w:space="0"/>
            </w:tcBorders>
            <w:noWrap w:val="0"/>
            <w:vAlign w:val="center"/>
          </w:tcPr>
          <w:p>
            <w:pPr>
              <w:snapToGrid w:val="0"/>
              <w:spacing w:line="240" w:lineRule="auto"/>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排放量</w:t>
            </w:r>
          </w:p>
          <w:p>
            <w:pPr>
              <w:snapToGrid w:val="0"/>
              <w:spacing w:line="240" w:lineRule="auto"/>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t/a</w:t>
            </w:r>
          </w:p>
        </w:tc>
        <w:tc>
          <w:tcPr>
            <w:tcW w:w="1440" w:type="dxa"/>
            <w:tcBorders>
              <w:top w:val="single" w:color="auto" w:sz="12" w:space="0"/>
              <w:bottom w:val="single" w:color="auto" w:sz="12" w:space="0"/>
            </w:tcBorders>
            <w:noWrap w:val="0"/>
            <w:vAlign w:val="center"/>
          </w:tcPr>
          <w:p>
            <w:pPr>
              <w:snapToGrid w:val="0"/>
              <w:spacing w:line="240" w:lineRule="auto"/>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排放方式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127" w:type="dxa"/>
            <w:gridSpan w:val="2"/>
            <w:vMerge w:val="restart"/>
            <w:tcBorders>
              <w:top w:val="single" w:color="auto" w:sz="12" w:space="0"/>
            </w:tcBorders>
            <w:noWrap w:val="0"/>
            <w:vAlign w:val="center"/>
          </w:tcPr>
          <w:p>
            <w:pPr>
              <w:snapToGrid w:val="0"/>
              <w:spacing w:line="240" w:lineRule="auto"/>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大气</w:t>
            </w:r>
          </w:p>
          <w:p>
            <w:pPr>
              <w:snapToGrid w:val="0"/>
              <w:spacing w:line="240" w:lineRule="auto"/>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污染物</w:t>
            </w:r>
          </w:p>
        </w:tc>
        <w:tc>
          <w:tcPr>
            <w:tcW w:w="1451" w:type="dxa"/>
            <w:gridSpan w:val="2"/>
            <w:tcBorders>
              <w:top w:val="single" w:color="auto" w:sz="12" w:space="0"/>
            </w:tcBorders>
            <w:noWrap w:val="0"/>
            <w:vAlign w:val="center"/>
          </w:tcPr>
          <w:p>
            <w:pPr>
              <w:widowControl/>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P1</w:t>
            </w:r>
          </w:p>
        </w:tc>
        <w:tc>
          <w:tcPr>
            <w:tcW w:w="1515" w:type="dxa"/>
            <w:tcBorders>
              <w:top w:val="single" w:color="auto" w:sz="12" w:space="0"/>
              <w:bottom w:val="single" w:color="auto" w:sz="4" w:space="0"/>
            </w:tcBorders>
            <w:noWrap w:val="0"/>
            <w:vAlign w:val="center"/>
          </w:tcPr>
          <w:p>
            <w:pPr>
              <w:snapToGrid w:val="0"/>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非甲烷总烃</w:t>
            </w:r>
          </w:p>
        </w:tc>
        <w:tc>
          <w:tcPr>
            <w:tcW w:w="1078" w:type="dxa"/>
            <w:tcBorders>
              <w:top w:val="single" w:color="auto" w:sz="12" w:space="0"/>
            </w:tcBorders>
            <w:noWrap w:val="0"/>
            <w:vAlign w:val="center"/>
          </w:tcPr>
          <w:p>
            <w:pPr>
              <w:widowControl/>
              <w:snapToGrid w:val="0"/>
              <w:spacing w:line="240" w:lineRule="auto"/>
              <w:jc w:val="center"/>
              <w:textAlignment w:val="center"/>
              <w:rPr>
                <w:rFonts w:hint="default" w:ascii="Times New Roman" w:hAnsi="Times New Roman" w:eastAsia="宋体" w:cs="Times New Roman"/>
                <w:sz w:val="24"/>
                <w:szCs w:val="24"/>
                <w:lang w:val="en-US" w:eastAsia="zh-CN"/>
              </w:rPr>
            </w:pPr>
            <w:r>
              <w:rPr>
                <w:rFonts w:hint="eastAsia" w:cs="Times New Roman"/>
                <w:sz w:val="24"/>
                <w:szCs w:val="24"/>
                <w:lang w:val="en-US" w:eastAsia="zh-CN"/>
              </w:rPr>
              <w:t>141</w:t>
            </w:r>
          </w:p>
        </w:tc>
        <w:tc>
          <w:tcPr>
            <w:tcW w:w="954" w:type="dxa"/>
            <w:gridSpan w:val="2"/>
            <w:tcBorders>
              <w:top w:val="single" w:color="auto" w:sz="12" w:space="0"/>
            </w:tcBorders>
            <w:noWrap w:val="0"/>
            <w:vAlign w:val="center"/>
          </w:tcPr>
          <w:p>
            <w:pPr>
              <w:snapToGrid w:val="0"/>
              <w:spacing w:line="240" w:lineRule="auto"/>
              <w:jc w:val="center"/>
              <w:rPr>
                <w:rFonts w:hint="default" w:ascii="Times New Roman" w:hAnsi="Times New Roman" w:eastAsia="宋体" w:cs="Times New Roman"/>
                <w:sz w:val="24"/>
                <w:szCs w:val="24"/>
                <w:lang w:val="en-US" w:eastAsia="zh-CN"/>
              </w:rPr>
            </w:pPr>
            <w:r>
              <w:rPr>
                <w:rFonts w:hint="eastAsia" w:cs="Times New Roman"/>
                <w:sz w:val="24"/>
                <w:szCs w:val="24"/>
                <w:lang w:val="en-US" w:eastAsia="zh-CN"/>
              </w:rPr>
              <w:t>1.35</w:t>
            </w:r>
          </w:p>
        </w:tc>
        <w:tc>
          <w:tcPr>
            <w:tcW w:w="1131" w:type="dxa"/>
            <w:tcBorders>
              <w:top w:val="single" w:color="auto" w:sz="12" w:space="0"/>
            </w:tcBorders>
            <w:noWrap w:val="0"/>
            <w:vAlign w:val="center"/>
          </w:tcPr>
          <w:p>
            <w:pPr>
              <w:widowControl/>
              <w:snapToGrid w:val="0"/>
              <w:spacing w:line="240" w:lineRule="auto"/>
              <w:jc w:val="center"/>
              <w:textAlignment w:val="center"/>
              <w:rPr>
                <w:rFonts w:hint="default" w:ascii="Times New Roman" w:hAnsi="Times New Roman" w:eastAsia="宋体" w:cs="Times New Roman"/>
                <w:sz w:val="24"/>
                <w:szCs w:val="24"/>
                <w:lang w:val="en-US" w:eastAsia="zh-CN"/>
              </w:rPr>
            </w:pPr>
            <w:r>
              <w:rPr>
                <w:rFonts w:hint="eastAsia" w:cs="Times New Roman"/>
                <w:sz w:val="24"/>
                <w:szCs w:val="24"/>
                <w:lang w:val="en-US" w:eastAsia="zh-CN"/>
              </w:rPr>
              <w:t>14.1</w:t>
            </w:r>
          </w:p>
        </w:tc>
        <w:tc>
          <w:tcPr>
            <w:tcW w:w="943" w:type="dxa"/>
            <w:tcBorders>
              <w:top w:val="single" w:color="auto" w:sz="12" w:space="0"/>
            </w:tcBorders>
            <w:noWrap w:val="0"/>
            <w:vAlign w:val="center"/>
          </w:tcPr>
          <w:p>
            <w:pPr>
              <w:snapToGrid w:val="0"/>
              <w:spacing w:line="240" w:lineRule="auto"/>
              <w:jc w:val="center"/>
              <w:rPr>
                <w:rFonts w:hint="default" w:ascii="Times New Roman" w:hAnsi="Times New Roman" w:eastAsia="宋体" w:cs="Times New Roman"/>
                <w:sz w:val="24"/>
                <w:szCs w:val="24"/>
                <w:lang w:val="en-US" w:eastAsia="zh-CN"/>
              </w:rPr>
            </w:pPr>
            <w:r>
              <w:rPr>
                <w:rFonts w:hint="eastAsia" w:cs="Times New Roman"/>
                <w:sz w:val="24"/>
                <w:szCs w:val="24"/>
                <w:lang w:val="en-US" w:eastAsia="zh-CN"/>
              </w:rPr>
              <w:t>0.135</w:t>
            </w:r>
          </w:p>
        </w:tc>
        <w:tc>
          <w:tcPr>
            <w:tcW w:w="1440" w:type="dxa"/>
            <w:tcBorders>
              <w:top w:val="single" w:color="auto" w:sz="12" w:space="0"/>
            </w:tcBorders>
            <w:noWrap w:val="0"/>
            <w:vAlign w:val="center"/>
          </w:tcPr>
          <w:p>
            <w:pPr>
              <w:snapToGrid w:val="0"/>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15米排气筒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127" w:type="dxa"/>
            <w:gridSpan w:val="2"/>
            <w:vMerge w:val="continue"/>
            <w:noWrap w:val="0"/>
            <w:vAlign w:val="center"/>
          </w:tcPr>
          <w:p>
            <w:pPr>
              <w:snapToGrid w:val="0"/>
              <w:spacing w:line="240" w:lineRule="auto"/>
              <w:jc w:val="center"/>
              <w:rPr>
                <w:rFonts w:hint="default" w:ascii="Times New Roman" w:hAnsi="Times New Roman" w:eastAsia="宋体" w:cs="Times New Roman"/>
                <w:sz w:val="24"/>
                <w:szCs w:val="24"/>
              </w:rPr>
            </w:pPr>
          </w:p>
        </w:tc>
        <w:tc>
          <w:tcPr>
            <w:tcW w:w="1451" w:type="dxa"/>
            <w:gridSpan w:val="2"/>
            <w:vMerge w:val="restart"/>
            <w:noWrap w:val="0"/>
            <w:vAlign w:val="center"/>
          </w:tcPr>
          <w:p>
            <w:pPr>
              <w:snapToGrid w:val="0"/>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无组织排放</w:t>
            </w:r>
          </w:p>
        </w:tc>
        <w:tc>
          <w:tcPr>
            <w:tcW w:w="1515" w:type="dxa"/>
            <w:tcBorders>
              <w:bottom w:val="single" w:color="auto" w:sz="4" w:space="0"/>
            </w:tcBorders>
            <w:noWrap w:val="0"/>
            <w:vAlign w:val="center"/>
          </w:tcPr>
          <w:p>
            <w:pPr>
              <w:autoSpaceDE w:val="0"/>
              <w:snapToGrid w:val="0"/>
              <w:spacing w:line="240" w:lineRule="auto"/>
              <w:jc w:val="center"/>
              <w:rPr>
                <w:rFonts w:hint="eastAsia" w:ascii="Times New Roman" w:hAnsi="Times New Roman" w:eastAsia="宋体" w:cs="Times New Roman"/>
                <w:sz w:val="24"/>
                <w:szCs w:val="24"/>
                <w:lang w:eastAsia="zh-CN"/>
              </w:rPr>
            </w:pPr>
            <w:r>
              <w:rPr>
                <w:rFonts w:hint="eastAsia" w:cs="Times New Roman"/>
                <w:kern w:val="0"/>
                <w:sz w:val="24"/>
                <w:szCs w:val="24"/>
                <w:lang w:val="en-US" w:eastAsia="zh-CN"/>
              </w:rPr>
              <w:t>颗粒物</w:t>
            </w:r>
          </w:p>
        </w:tc>
        <w:tc>
          <w:tcPr>
            <w:tcW w:w="1078" w:type="dxa"/>
            <w:noWrap w:val="0"/>
            <w:vAlign w:val="center"/>
          </w:tcPr>
          <w:p>
            <w:pPr>
              <w:snapToGrid w:val="0"/>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p>
        </w:tc>
        <w:tc>
          <w:tcPr>
            <w:tcW w:w="954" w:type="dxa"/>
            <w:gridSpan w:val="2"/>
            <w:noWrap w:val="0"/>
            <w:vAlign w:val="center"/>
          </w:tcPr>
          <w:p>
            <w:pPr>
              <w:snapToGrid w:val="0"/>
              <w:spacing w:line="240" w:lineRule="auto"/>
              <w:jc w:val="center"/>
              <w:textAlignment w:val="center"/>
              <w:rPr>
                <w:rFonts w:hint="default" w:ascii="Times New Roman" w:hAnsi="Times New Roman" w:eastAsia="宋体" w:cs="Times New Roman"/>
                <w:sz w:val="24"/>
                <w:szCs w:val="24"/>
                <w:lang w:val="en-US" w:eastAsia="zh-CN"/>
              </w:rPr>
            </w:pPr>
            <w:r>
              <w:rPr>
                <w:rFonts w:hint="eastAsia" w:cs="Times New Roman"/>
                <w:sz w:val="24"/>
                <w:szCs w:val="24"/>
                <w:lang w:val="en-US" w:eastAsia="zh-CN"/>
              </w:rPr>
              <w:t>0.15</w:t>
            </w:r>
          </w:p>
        </w:tc>
        <w:tc>
          <w:tcPr>
            <w:tcW w:w="1131" w:type="dxa"/>
            <w:noWrap w:val="0"/>
            <w:vAlign w:val="center"/>
          </w:tcPr>
          <w:p>
            <w:pPr>
              <w:snapToGrid w:val="0"/>
              <w:spacing w:line="240" w:lineRule="auto"/>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p>
        </w:tc>
        <w:tc>
          <w:tcPr>
            <w:tcW w:w="943" w:type="dxa"/>
            <w:noWrap w:val="0"/>
            <w:vAlign w:val="center"/>
          </w:tcPr>
          <w:p>
            <w:pPr>
              <w:snapToGrid w:val="0"/>
              <w:spacing w:line="240" w:lineRule="auto"/>
              <w:jc w:val="center"/>
              <w:textAlignment w:val="center"/>
              <w:rPr>
                <w:rFonts w:hint="default" w:ascii="Times New Roman" w:hAnsi="Times New Roman" w:eastAsia="宋体" w:cs="Times New Roman"/>
                <w:sz w:val="24"/>
                <w:szCs w:val="24"/>
                <w:lang w:val="en-US" w:eastAsia="zh-CN"/>
              </w:rPr>
            </w:pPr>
            <w:r>
              <w:rPr>
                <w:rFonts w:hint="eastAsia" w:cs="Times New Roman"/>
                <w:sz w:val="24"/>
                <w:szCs w:val="24"/>
                <w:lang w:val="en-US" w:eastAsia="zh-CN"/>
              </w:rPr>
              <w:t>0.15</w:t>
            </w:r>
          </w:p>
        </w:tc>
        <w:tc>
          <w:tcPr>
            <w:tcW w:w="1440" w:type="dxa"/>
            <w:vMerge w:val="restart"/>
            <w:noWrap w:val="0"/>
            <w:vAlign w:val="center"/>
          </w:tcPr>
          <w:p>
            <w:pPr>
              <w:snapToGrid w:val="0"/>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127" w:type="dxa"/>
            <w:gridSpan w:val="2"/>
            <w:vMerge w:val="continue"/>
            <w:noWrap w:val="0"/>
            <w:vAlign w:val="center"/>
          </w:tcPr>
          <w:p>
            <w:pPr>
              <w:snapToGrid w:val="0"/>
              <w:spacing w:line="240" w:lineRule="auto"/>
              <w:jc w:val="center"/>
              <w:rPr>
                <w:rFonts w:hint="default" w:ascii="Times New Roman" w:hAnsi="Times New Roman" w:eastAsia="宋体" w:cs="Times New Roman"/>
                <w:sz w:val="24"/>
                <w:szCs w:val="24"/>
              </w:rPr>
            </w:pPr>
          </w:p>
        </w:tc>
        <w:tc>
          <w:tcPr>
            <w:tcW w:w="1451" w:type="dxa"/>
            <w:gridSpan w:val="2"/>
            <w:vMerge w:val="continue"/>
            <w:noWrap w:val="0"/>
            <w:vAlign w:val="center"/>
          </w:tcPr>
          <w:p>
            <w:pPr>
              <w:snapToGrid w:val="0"/>
              <w:spacing w:line="240" w:lineRule="auto"/>
              <w:jc w:val="center"/>
              <w:rPr>
                <w:rFonts w:hint="default" w:ascii="Times New Roman" w:hAnsi="Times New Roman" w:eastAsia="宋体" w:cs="Times New Roman"/>
                <w:sz w:val="24"/>
                <w:szCs w:val="24"/>
              </w:rPr>
            </w:pPr>
          </w:p>
        </w:tc>
        <w:tc>
          <w:tcPr>
            <w:tcW w:w="1515" w:type="dxa"/>
            <w:tcBorders>
              <w:bottom w:val="single" w:color="auto" w:sz="4" w:space="0"/>
            </w:tcBorders>
            <w:noWrap w:val="0"/>
            <w:vAlign w:val="center"/>
          </w:tcPr>
          <w:p>
            <w:pPr>
              <w:autoSpaceDE w:val="0"/>
              <w:snapToGrid w:val="0"/>
              <w:spacing w:line="24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非甲烷总烃</w:t>
            </w:r>
          </w:p>
        </w:tc>
        <w:tc>
          <w:tcPr>
            <w:tcW w:w="1078" w:type="dxa"/>
            <w:noWrap w:val="0"/>
            <w:vAlign w:val="center"/>
          </w:tcPr>
          <w:p>
            <w:pPr>
              <w:snapToGrid w:val="0"/>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p>
        </w:tc>
        <w:tc>
          <w:tcPr>
            <w:tcW w:w="954" w:type="dxa"/>
            <w:gridSpan w:val="2"/>
            <w:noWrap w:val="0"/>
            <w:vAlign w:val="center"/>
          </w:tcPr>
          <w:p>
            <w:pPr>
              <w:snapToGrid w:val="0"/>
              <w:spacing w:line="240" w:lineRule="auto"/>
              <w:jc w:val="center"/>
              <w:textAlignment w:val="center"/>
              <w:rPr>
                <w:rFonts w:hint="default" w:ascii="Times New Roman" w:hAnsi="Times New Roman" w:eastAsia="宋体" w:cs="Times New Roman"/>
                <w:sz w:val="24"/>
                <w:szCs w:val="24"/>
                <w:lang w:val="en-US" w:eastAsia="zh-CN"/>
              </w:rPr>
            </w:pPr>
            <w:r>
              <w:rPr>
                <w:rFonts w:hint="eastAsia" w:cs="Times New Roman"/>
                <w:sz w:val="24"/>
                <w:szCs w:val="24"/>
                <w:lang w:val="en-US" w:eastAsia="zh-CN"/>
              </w:rPr>
              <w:t>0.3</w:t>
            </w:r>
          </w:p>
        </w:tc>
        <w:tc>
          <w:tcPr>
            <w:tcW w:w="1131" w:type="dxa"/>
            <w:noWrap w:val="0"/>
            <w:vAlign w:val="center"/>
          </w:tcPr>
          <w:p>
            <w:pPr>
              <w:snapToGrid w:val="0"/>
              <w:spacing w:line="240" w:lineRule="auto"/>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p>
        </w:tc>
        <w:tc>
          <w:tcPr>
            <w:tcW w:w="943" w:type="dxa"/>
            <w:noWrap w:val="0"/>
            <w:vAlign w:val="center"/>
          </w:tcPr>
          <w:p>
            <w:pPr>
              <w:snapToGrid w:val="0"/>
              <w:spacing w:line="240" w:lineRule="auto"/>
              <w:jc w:val="center"/>
              <w:textAlignment w:val="center"/>
              <w:rPr>
                <w:rFonts w:hint="default" w:ascii="Times New Roman" w:hAnsi="Times New Roman" w:eastAsia="宋体" w:cs="Times New Roman"/>
                <w:sz w:val="24"/>
                <w:szCs w:val="24"/>
                <w:lang w:val="en-US" w:eastAsia="zh-CN"/>
              </w:rPr>
            </w:pPr>
            <w:r>
              <w:rPr>
                <w:rFonts w:hint="eastAsia" w:cs="Times New Roman"/>
                <w:sz w:val="24"/>
                <w:szCs w:val="24"/>
                <w:lang w:val="en-US" w:eastAsia="zh-CN"/>
              </w:rPr>
              <w:t>0.3</w:t>
            </w:r>
          </w:p>
        </w:tc>
        <w:tc>
          <w:tcPr>
            <w:tcW w:w="1440" w:type="dxa"/>
            <w:vMerge w:val="continue"/>
            <w:noWrap w:val="0"/>
            <w:vAlign w:val="center"/>
          </w:tcPr>
          <w:p>
            <w:pPr>
              <w:snapToGrid w:val="0"/>
              <w:spacing w:line="240" w:lineRule="auto"/>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127" w:type="dxa"/>
            <w:gridSpan w:val="2"/>
            <w:vMerge w:val="restart"/>
            <w:noWrap w:val="0"/>
            <w:vAlign w:val="center"/>
          </w:tcPr>
          <w:p>
            <w:pPr>
              <w:snapToGrid w:val="0"/>
              <w:spacing w:line="240" w:lineRule="auto"/>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水</w:t>
            </w:r>
          </w:p>
          <w:p>
            <w:pPr>
              <w:snapToGrid w:val="0"/>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污染物</w:t>
            </w:r>
          </w:p>
        </w:tc>
        <w:tc>
          <w:tcPr>
            <w:tcW w:w="1451" w:type="dxa"/>
            <w:gridSpan w:val="2"/>
            <w:vMerge w:val="restart"/>
            <w:noWrap w:val="0"/>
            <w:vAlign w:val="center"/>
          </w:tcPr>
          <w:p>
            <w:pPr>
              <w:snapToGrid w:val="0"/>
              <w:spacing w:line="240" w:lineRule="auto"/>
              <w:ind w:hanging="2"/>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生活污水</w:t>
            </w:r>
            <w:r>
              <w:rPr>
                <w:rFonts w:hint="eastAsia" w:cs="Times New Roman"/>
                <w:sz w:val="24"/>
                <w:szCs w:val="24"/>
                <w:lang w:val="en-US" w:eastAsia="zh-CN"/>
              </w:rPr>
              <w:t>45</w:t>
            </w:r>
            <w:r>
              <w:rPr>
                <w:rFonts w:hint="default" w:ascii="Times New Roman" w:hAnsi="Times New Roman" w:eastAsia="宋体" w:cs="Times New Roman"/>
                <w:sz w:val="24"/>
                <w:szCs w:val="24"/>
              </w:rPr>
              <w:t>6t/a</w:t>
            </w:r>
          </w:p>
        </w:tc>
        <w:tc>
          <w:tcPr>
            <w:tcW w:w="1515" w:type="dxa"/>
            <w:noWrap w:val="0"/>
            <w:vAlign w:val="center"/>
          </w:tcPr>
          <w:p>
            <w:pPr>
              <w:snapToGrid w:val="0"/>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污染物</w:t>
            </w:r>
          </w:p>
          <w:p>
            <w:pPr>
              <w:snapToGrid w:val="0"/>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名称</w:t>
            </w:r>
          </w:p>
        </w:tc>
        <w:tc>
          <w:tcPr>
            <w:tcW w:w="1078" w:type="dxa"/>
            <w:noWrap w:val="0"/>
            <w:vAlign w:val="center"/>
          </w:tcPr>
          <w:p>
            <w:pPr>
              <w:snapToGrid w:val="0"/>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产生浓度mg/L</w:t>
            </w:r>
          </w:p>
        </w:tc>
        <w:tc>
          <w:tcPr>
            <w:tcW w:w="954" w:type="dxa"/>
            <w:gridSpan w:val="2"/>
            <w:noWrap w:val="0"/>
            <w:vAlign w:val="center"/>
          </w:tcPr>
          <w:p>
            <w:pPr>
              <w:snapToGrid w:val="0"/>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产生量t/a</w:t>
            </w:r>
          </w:p>
        </w:tc>
        <w:tc>
          <w:tcPr>
            <w:tcW w:w="1131" w:type="dxa"/>
            <w:noWrap w:val="0"/>
            <w:vAlign w:val="center"/>
          </w:tcPr>
          <w:p>
            <w:pPr>
              <w:snapToGrid w:val="0"/>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排放浓度</w:t>
            </w:r>
          </w:p>
          <w:p>
            <w:pPr>
              <w:snapToGrid w:val="0"/>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mg/L</w:t>
            </w:r>
          </w:p>
        </w:tc>
        <w:tc>
          <w:tcPr>
            <w:tcW w:w="943" w:type="dxa"/>
            <w:noWrap w:val="0"/>
            <w:vAlign w:val="center"/>
          </w:tcPr>
          <w:p>
            <w:pPr>
              <w:snapToGrid w:val="0"/>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排放量</w:t>
            </w:r>
          </w:p>
          <w:p>
            <w:pPr>
              <w:snapToGrid w:val="0"/>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t/a</w:t>
            </w:r>
          </w:p>
        </w:tc>
        <w:tc>
          <w:tcPr>
            <w:tcW w:w="1440" w:type="dxa"/>
            <w:noWrap w:val="0"/>
            <w:vAlign w:val="center"/>
          </w:tcPr>
          <w:p>
            <w:pPr>
              <w:snapToGrid w:val="0"/>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排放</w:t>
            </w:r>
          </w:p>
          <w:p>
            <w:pPr>
              <w:snapToGrid w:val="0"/>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127" w:type="dxa"/>
            <w:gridSpan w:val="2"/>
            <w:vMerge w:val="continue"/>
            <w:noWrap w:val="0"/>
            <w:vAlign w:val="center"/>
          </w:tcPr>
          <w:p>
            <w:pPr>
              <w:snapToGrid w:val="0"/>
              <w:spacing w:line="240" w:lineRule="auto"/>
              <w:jc w:val="center"/>
              <w:rPr>
                <w:rFonts w:hint="default" w:ascii="Times New Roman" w:hAnsi="Times New Roman" w:eastAsia="宋体" w:cs="Times New Roman"/>
                <w:sz w:val="24"/>
                <w:szCs w:val="24"/>
              </w:rPr>
            </w:pPr>
          </w:p>
        </w:tc>
        <w:tc>
          <w:tcPr>
            <w:tcW w:w="1451" w:type="dxa"/>
            <w:gridSpan w:val="2"/>
            <w:vMerge w:val="continue"/>
            <w:noWrap w:val="0"/>
            <w:vAlign w:val="center"/>
          </w:tcPr>
          <w:p>
            <w:pPr>
              <w:snapToGrid w:val="0"/>
              <w:spacing w:line="240" w:lineRule="auto"/>
              <w:ind w:hanging="2"/>
              <w:jc w:val="center"/>
              <w:rPr>
                <w:rFonts w:hint="default" w:ascii="Times New Roman" w:hAnsi="Times New Roman" w:eastAsia="宋体" w:cs="Times New Roman"/>
                <w:sz w:val="24"/>
                <w:szCs w:val="24"/>
              </w:rPr>
            </w:pPr>
          </w:p>
        </w:tc>
        <w:tc>
          <w:tcPr>
            <w:tcW w:w="1515" w:type="dxa"/>
            <w:noWrap w:val="0"/>
            <w:vAlign w:val="center"/>
          </w:tcPr>
          <w:p>
            <w:pPr>
              <w:snapToGrid w:val="0"/>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COD</w:t>
            </w:r>
          </w:p>
        </w:tc>
        <w:tc>
          <w:tcPr>
            <w:tcW w:w="1078" w:type="dxa"/>
            <w:noWrap w:val="0"/>
            <w:vAlign w:val="center"/>
          </w:tcPr>
          <w:p>
            <w:pPr>
              <w:pStyle w:val="2"/>
              <w:spacing w:line="240" w:lineRule="auto"/>
              <w:ind w:firstLine="0" w:firstLineChars="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450</w:t>
            </w:r>
          </w:p>
        </w:tc>
        <w:tc>
          <w:tcPr>
            <w:tcW w:w="954" w:type="dxa"/>
            <w:gridSpan w:val="2"/>
            <w:noWrap w:val="0"/>
            <w:vAlign w:val="center"/>
          </w:tcPr>
          <w:p>
            <w:pPr>
              <w:pStyle w:val="2"/>
              <w:spacing w:line="240" w:lineRule="auto"/>
              <w:ind w:firstLine="0" w:firstLineChars="0"/>
              <w:jc w:val="center"/>
              <w:rPr>
                <w:rFonts w:hint="default" w:ascii="Times New Roman" w:hAnsi="Times New Roman" w:eastAsia="宋体" w:cs="Times New Roman"/>
                <w:kern w:val="2"/>
                <w:sz w:val="24"/>
                <w:szCs w:val="24"/>
                <w:lang w:val="en-US" w:eastAsia="zh-CN" w:bidi="ar-SA"/>
              </w:rPr>
            </w:pPr>
            <w:r>
              <w:rPr>
                <w:rFonts w:hint="eastAsia"/>
                <w:sz w:val="24"/>
                <w:szCs w:val="24"/>
                <w:lang w:val="en-US" w:eastAsia="zh-CN"/>
              </w:rPr>
              <w:t>0.2052</w:t>
            </w:r>
          </w:p>
        </w:tc>
        <w:tc>
          <w:tcPr>
            <w:tcW w:w="1131" w:type="dxa"/>
            <w:noWrap w:val="0"/>
            <w:vAlign w:val="center"/>
          </w:tcPr>
          <w:p>
            <w:pPr>
              <w:pStyle w:val="2"/>
              <w:spacing w:line="240" w:lineRule="auto"/>
              <w:ind w:firstLine="0" w:firstLineChars="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450</w:t>
            </w:r>
          </w:p>
        </w:tc>
        <w:tc>
          <w:tcPr>
            <w:tcW w:w="943" w:type="dxa"/>
            <w:noWrap w:val="0"/>
            <w:vAlign w:val="center"/>
          </w:tcPr>
          <w:p>
            <w:pPr>
              <w:pStyle w:val="2"/>
              <w:spacing w:line="240" w:lineRule="auto"/>
              <w:ind w:firstLine="0" w:firstLineChars="0"/>
              <w:jc w:val="center"/>
              <w:rPr>
                <w:rFonts w:hint="default" w:ascii="Times New Roman" w:hAnsi="Times New Roman" w:eastAsia="宋体" w:cs="Times New Roman"/>
                <w:kern w:val="2"/>
                <w:sz w:val="24"/>
                <w:szCs w:val="24"/>
                <w:lang w:val="en-US" w:eastAsia="zh-CN" w:bidi="ar-SA"/>
              </w:rPr>
            </w:pPr>
            <w:r>
              <w:rPr>
                <w:rFonts w:hint="eastAsia"/>
                <w:sz w:val="24"/>
                <w:szCs w:val="24"/>
                <w:lang w:val="en-US" w:eastAsia="zh-CN"/>
              </w:rPr>
              <w:t>0.2052</w:t>
            </w:r>
          </w:p>
        </w:tc>
        <w:tc>
          <w:tcPr>
            <w:tcW w:w="1440" w:type="dxa"/>
            <w:vMerge w:val="restart"/>
            <w:noWrap w:val="0"/>
            <w:vAlign w:val="center"/>
          </w:tcPr>
          <w:p>
            <w:pPr>
              <w:snapToGrid w:val="0"/>
              <w:spacing w:line="240" w:lineRule="auto"/>
              <w:jc w:val="center"/>
              <w:rPr>
                <w:rFonts w:hint="default" w:ascii="Times New Roman" w:hAnsi="Times New Roman" w:eastAsia="宋体" w:cs="Times New Roman"/>
                <w:sz w:val="24"/>
                <w:szCs w:val="24"/>
              </w:rPr>
            </w:pPr>
            <w:r>
              <w:rPr>
                <w:rFonts w:hint="eastAsia" w:cs="Times New Roman"/>
                <w:sz w:val="24"/>
                <w:szCs w:val="24"/>
                <w:lang w:val="en-US" w:eastAsia="zh-CN"/>
              </w:rPr>
              <w:t>白荡净水厂</w:t>
            </w:r>
            <w:r>
              <w:rPr>
                <w:rFonts w:hint="default" w:ascii="Times New Roman" w:hAnsi="Times New Roman" w:eastAsia="宋体"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127" w:type="dxa"/>
            <w:gridSpan w:val="2"/>
            <w:vMerge w:val="continue"/>
            <w:noWrap w:val="0"/>
            <w:vAlign w:val="center"/>
          </w:tcPr>
          <w:p>
            <w:pPr>
              <w:snapToGrid w:val="0"/>
              <w:spacing w:line="240" w:lineRule="auto"/>
              <w:jc w:val="center"/>
              <w:rPr>
                <w:rFonts w:hint="default" w:ascii="Times New Roman" w:hAnsi="Times New Roman" w:eastAsia="宋体" w:cs="Times New Roman"/>
                <w:sz w:val="24"/>
                <w:szCs w:val="24"/>
              </w:rPr>
            </w:pPr>
          </w:p>
        </w:tc>
        <w:tc>
          <w:tcPr>
            <w:tcW w:w="1451" w:type="dxa"/>
            <w:gridSpan w:val="2"/>
            <w:vMerge w:val="continue"/>
            <w:noWrap w:val="0"/>
            <w:vAlign w:val="center"/>
          </w:tcPr>
          <w:p>
            <w:pPr>
              <w:snapToGrid w:val="0"/>
              <w:spacing w:line="240" w:lineRule="auto"/>
              <w:ind w:hanging="2"/>
              <w:jc w:val="center"/>
              <w:rPr>
                <w:rFonts w:hint="default" w:ascii="Times New Roman" w:hAnsi="Times New Roman" w:eastAsia="宋体" w:cs="Times New Roman"/>
                <w:sz w:val="24"/>
                <w:szCs w:val="24"/>
              </w:rPr>
            </w:pPr>
          </w:p>
        </w:tc>
        <w:tc>
          <w:tcPr>
            <w:tcW w:w="1515" w:type="dxa"/>
            <w:noWrap w:val="0"/>
            <w:vAlign w:val="center"/>
          </w:tcPr>
          <w:p>
            <w:pPr>
              <w:snapToGrid w:val="0"/>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SS</w:t>
            </w:r>
          </w:p>
        </w:tc>
        <w:tc>
          <w:tcPr>
            <w:tcW w:w="1078" w:type="dxa"/>
            <w:noWrap w:val="0"/>
            <w:vAlign w:val="center"/>
          </w:tcPr>
          <w:p>
            <w:pPr>
              <w:pStyle w:val="2"/>
              <w:spacing w:line="240" w:lineRule="auto"/>
              <w:ind w:firstLine="0" w:firstLineChars="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300</w:t>
            </w:r>
          </w:p>
        </w:tc>
        <w:tc>
          <w:tcPr>
            <w:tcW w:w="954" w:type="dxa"/>
            <w:gridSpan w:val="2"/>
            <w:noWrap w:val="0"/>
            <w:vAlign w:val="center"/>
          </w:tcPr>
          <w:p>
            <w:pPr>
              <w:pStyle w:val="2"/>
              <w:spacing w:line="240" w:lineRule="auto"/>
              <w:ind w:firstLine="0" w:firstLineChars="0"/>
              <w:jc w:val="center"/>
              <w:rPr>
                <w:rFonts w:hint="default" w:ascii="Times New Roman" w:hAnsi="Times New Roman" w:eastAsia="宋体" w:cs="Times New Roman"/>
                <w:kern w:val="2"/>
                <w:sz w:val="24"/>
                <w:szCs w:val="24"/>
                <w:lang w:val="en-US" w:eastAsia="zh-CN" w:bidi="ar-SA"/>
              </w:rPr>
            </w:pPr>
            <w:r>
              <w:rPr>
                <w:rFonts w:hint="eastAsia"/>
                <w:sz w:val="24"/>
                <w:szCs w:val="24"/>
                <w:lang w:val="en-US" w:eastAsia="zh-CN"/>
              </w:rPr>
              <w:t>0.1368</w:t>
            </w:r>
          </w:p>
        </w:tc>
        <w:tc>
          <w:tcPr>
            <w:tcW w:w="1131" w:type="dxa"/>
            <w:noWrap w:val="0"/>
            <w:vAlign w:val="center"/>
          </w:tcPr>
          <w:p>
            <w:pPr>
              <w:pStyle w:val="2"/>
              <w:spacing w:line="240" w:lineRule="auto"/>
              <w:ind w:firstLine="0" w:firstLineChars="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300</w:t>
            </w:r>
          </w:p>
        </w:tc>
        <w:tc>
          <w:tcPr>
            <w:tcW w:w="943" w:type="dxa"/>
            <w:noWrap w:val="0"/>
            <w:vAlign w:val="center"/>
          </w:tcPr>
          <w:p>
            <w:pPr>
              <w:pStyle w:val="2"/>
              <w:spacing w:line="240" w:lineRule="auto"/>
              <w:ind w:firstLine="0" w:firstLineChars="0"/>
              <w:jc w:val="center"/>
              <w:rPr>
                <w:rFonts w:hint="default" w:ascii="Times New Roman" w:hAnsi="Times New Roman" w:eastAsia="宋体" w:cs="Times New Roman"/>
                <w:kern w:val="2"/>
                <w:sz w:val="24"/>
                <w:szCs w:val="24"/>
                <w:lang w:val="en-US" w:eastAsia="zh-CN" w:bidi="ar-SA"/>
              </w:rPr>
            </w:pPr>
            <w:r>
              <w:rPr>
                <w:rFonts w:hint="eastAsia"/>
                <w:sz w:val="24"/>
                <w:szCs w:val="24"/>
                <w:lang w:val="en-US" w:eastAsia="zh-CN"/>
              </w:rPr>
              <w:t>0.1368</w:t>
            </w:r>
          </w:p>
        </w:tc>
        <w:tc>
          <w:tcPr>
            <w:tcW w:w="1440" w:type="dxa"/>
            <w:vMerge w:val="continue"/>
            <w:noWrap w:val="0"/>
            <w:vAlign w:val="center"/>
          </w:tcPr>
          <w:p>
            <w:pPr>
              <w:snapToGrid w:val="0"/>
              <w:spacing w:line="240" w:lineRule="auto"/>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127" w:type="dxa"/>
            <w:gridSpan w:val="2"/>
            <w:vMerge w:val="continue"/>
            <w:noWrap w:val="0"/>
            <w:vAlign w:val="center"/>
          </w:tcPr>
          <w:p>
            <w:pPr>
              <w:snapToGrid w:val="0"/>
              <w:spacing w:line="240" w:lineRule="auto"/>
              <w:jc w:val="center"/>
              <w:rPr>
                <w:rFonts w:hint="default" w:ascii="Times New Roman" w:hAnsi="Times New Roman" w:eastAsia="宋体" w:cs="Times New Roman"/>
                <w:sz w:val="24"/>
                <w:szCs w:val="24"/>
              </w:rPr>
            </w:pPr>
          </w:p>
        </w:tc>
        <w:tc>
          <w:tcPr>
            <w:tcW w:w="1451" w:type="dxa"/>
            <w:gridSpan w:val="2"/>
            <w:vMerge w:val="continue"/>
            <w:noWrap w:val="0"/>
            <w:vAlign w:val="center"/>
          </w:tcPr>
          <w:p>
            <w:pPr>
              <w:snapToGrid w:val="0"/>
              <w:spacing w:line="240" w:lineRule="auto"/>
              <w:ind w:hanging="2"/>
              <w:jc w:val="center"/>
              <w:rPr>
                <w:rFonts w:hint="default" w:ascii="Times New Roman" w:hAnsi="Times New Roman" w:eastAsia="宋体" w:cs="Times New Roman"/>
                <w:sz w:val="24"/>
                <w:szCs w:val="24"/>
              </w:rPr>
            </w:pPr>
          </w:p>
        </w:tc>
        <w:tc>
          <w:tcPr>
            <w:tcW w:w="1515" w:type="dxa"/>
            <w:noWrap w:val="0"/>
            <w:vAlign w:val="center"/>
          </w:tcPr>
          <w:p>
            <w:pPr>
              <w:snapToGrid w:val="0"/>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NH</w:t>
            </w:r>
            <w:r>
              <w:rPr>
                <w:rFonts w:hint="default" w:ascii="Times New Roman" w:hAnsi="Times New Roman" w:eastAsia="宋体" w:cs="Times New Roman"/>
                <w:sz w:val="24"/>
                <w:szCs w:val="24"/>
                <w:vertAlign w:val="subscript"/>
              </w:rPr>
              <w:t>3</w:t>
            </w:r>
            <w:r>
              <w:rPr>
                <w:rFonts w:hint="default" w:ascii="Times New Roman" w:hAnsi="Times New Roman" w:eastAsia="宋体" w:cs="Times New Roman"/>
                <w:sz w:val="24"/>
                <w:szCs w:val="24"/>
              </w:rPr>
              <w:t>-N</w:t>
            </w:r>
          </w:p>
        </w:tc>
        <w:tc>
          <w:tcPr>
            <w:tcW w:w="1078" w:type="dxa"/>
            <w:noWrap w:val="0"/>
            <w:vAlign w:val="center"/>
          </w:tcPr>
          <w:p>
            <w:pPr>
              <w:pStyle w:val="2"/>
              <w:spacing w:line="240" w:lineRule="auto"/>
              <w:ind w:firstLine="0" w:firstLineChars="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35</w:t>
            </w:r>
          </w:p>
        </w:tc>
        <w:tc>
          <w:tcPr>
            <w:tcW w:w="954" w:type="dxa"/>
            <w:gridSpan w:val="2"/>
            <w:noWrap w:val="0"/>
            <w:vAlign w:val="center"/>
          </w:tcPr>
          <w:p>
            <w:pPr>
              <w:pStyle w:val="2"/>
              <w:spacing w:line="240" w:lineRule="auto"/>
              <w:ind w:firstLine="0" w:firstLineChars="0"/>
              <w:jc w:val="center"/>
              <w:rPr>
                <w:rFonts w:hint="default" w:ascii="Times New Roman" w:hAnsi="Times New Roman" w:eastAsia="宋体" w:cs="Times New Roman"/>
                <w:kern w:val="2"/>
                <w:sz w:val="24"/>
                <w:szCs w:val="24"/>
                <w:lang w:val="en-US" w:eastAsia="zh-CN" w:bidi="ar-SA"/>
              </w:rPr>
            </w:pPr>
            <w:r>
              <w:rPr>
                <w:rFonts w:hint="eastAsia"/>
                <w:sz w:val="24"/>
                <w:szCs w:val="24"/>
                <w:lang w:val="en-US" w:eastAsia="zh-CN"/>
              </w:rPr>
              <w:t>0.01596</w:t>
            </w:r>
          </w:p>
        </w:tc>
        <w:tc>
          <w:tcPr>
            <w:tcW w:w="1131" w:type="dxa"/>
            <w:noWrap w:val="0"/>
            <w:vAlign w:val="center"/>
          </w:tcPr>
          <w:p>
            <w:pPr>
              <w:pStyle w:val="2"/>
              <w:spacing w:line="240" w:lineRule="auto"/>
              <w:ind w:firstLine="0" w:firstLineChars="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35</w:t>
            </w:r>
          </w:p>
        </w:tc>
        <w:tc>
          <w:tcPr>
            <w:tcW w:w="943" w:type="dxa"/>
            <w:noWrap w:val="0"/>
            <w:vAlign w:val="center"/>
          </w:tcPr>
          <w:p>
            <w:pPr>
              <w:pStyle w:val="2"/>
              <w:spacing w:line="240" w:lineRule="auto"/>
              <w:ind w:firstLine="0" w:firstLineChars="0"/>
              <w:jc w:val="center"/>
              <w:rPr>
                <w:rFonts w:hint="default" w:ascii="Times New Roman" w:hAnsi="Times New Roman" w:eastAsia="宋体" w:cs="Times New Roman"/>
                <w:kern w:val="2"/>
                <w:sz w:val="24"/>
                <w:szCs w:val="24"/>
                <w:lang w:val="en-US" w:eastAsia="zh-CN" w:bidi="ar-SA"/>
              </w:rPr>
            </w:pPr>
            <w:r>
              <w:rPr>
                <w:rFonts w:hint="eastAsia"/>
                <w:sz w:val="24"/>
                <w:szCs w:val="24"/>
                <w:lang w:val="en-US" w:eastAsia="zh-CN"/>
              </w:rPr>
              <w:t>0.01596</w:t>
            </w:r>
          </w:p>
        </w:tc>
        <w:tc>
          <w:tcPr>
            <w:tcW w:w="1440" w:type="dxa"/>
            <w:vMerge w:val="continue"/>
            <w:noWrap w:val="0"/>
            <w:vAlign w:val="center"/>
          </w:tcPr>
          <w:p>
            <w:pPr>
              <w:snapToGrid w:val="0"/>
              <w:spacing w:line="240" w:lineRule="auto"/>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127" w:type="dxa"/>
            <w:gridSpan w:val="2"/>
            <w:vMerge w:val="continue"/>
            <w:noWrap w:val="0"/>
            <w:vAlign w:val="center"/>
          </w:tcPr>
          <w:p>
            <w:pPr>
              <w:snapToGrid w:val="0"/>
              <w:spacing w:line="240" w:lineRule="auto"/>
              <w:jc w:val="center"/>
              <w:rPr>
                <w:rFonts w:hint="default" w:ascii="Times New Roman" w:hAnsi="Times New Roman" w:eastAsia="宋体" w:cs="Times New Roman"/>
                <w:sz w:val="24"/>
                <w:szCs w:val="24"/>
              </w:rPr>
            </w:pPr>
          </w:p>
        </w:tc>
        <w:tc>
          <w:tcPr>
            <w:tcW w:w="1451" w:type="dxa"/>
            <w:gridSpan w:val="2"/>
            <w:vMerge w:val="continue"/>
            <w:noWrap w:val="0"/>
            <w:vAlign w:val="center"/>
          </w:tcPr>
          <w:p>
            <w:pPr>
              <w:snapToGrid w:val="0"/>
              <w:spacing w:line="240" w:lineRule="auto"/>
              <w:ind w:hanging="2"/>
              <w:jc w:val="center"/>
              <w:rPr>
                <w:rFonts w:hint="default" w:ascii="Times New Roman" w:hAnsi="Times New Roman" w:eastAsia="宋体" w:cs="Times New Roman"/>
                <w:sz w:val="24"/>
                <w:szCs w:val="24"/>
              </w:rPr>
            </w:pPr>
          </w:p>
        </w:tc>
        <w:tc>
          <w:tcPr>
            <w:tcW w:w="1515" w:type="dxa"/>
            <w:noWrap w:val="0"/>
            <w:vAlign w:val="center"/>
          </w:tcPr>
          <w:p>
            <w:pPr>
              <w:snapToGrid w:val="0"/>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TN</w:t>
            </w:r>
          </w:p>
        </w:tc>
        <w:tc>
          <w:tcPr>
            <w:tcW w:w="1078" w:type="dxa"/>
            <w:noWrap w:val="0"/>
            <w:vAlign w:val="center"/>
          </w:tcPr>
          <w:p>
            <w:pPr>
              <w:pStyle w:val="2"/>
              <w:spacing w:line="240" w:lineRule="auto"/>
              <w:ind w:firstLine="0" w:firstLineChars="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45</w:t>
            </w:r>
          </w:p>
        </w:tc>
        <w:tc>
          <w:tcPr>
            <w:tcW w:w="954" w:type="dxa"/>
            <w:gridSpan w:val="2"/>
            <w:noWrap w:val="0"/>
            <w:vAlign w:val="center"/>
          </w:tcPr>
          <w:p>
            <w:pPr>
              <w:pStyle w:val="2"/>
              <w:spacing w:line="240" w:lineRule="auto"/>
              <w:ind w:firstLine="0" w:firstLineChars="0"/>
              <w:jc w:val="center"/>
              <w:rPr>
                <w:rFonts w:hint="default" w:ascii="Times New Roman" w:hAnsi="Times New Roman" w:eastAsia="宋体" w:cs="Times New Roman"/>
                <w:kern w:val="2"/>
                <w:sz w:val="24"/>
                <w:szCs w:val="24"/>
                <w:lang w:val="en-US" w:eastAsia="zh-CN" w:bidi="ar-SA"/>
              </w:rPr>
            </w:pPr>
            <w:r>
              <w:rPr>
                <w:rFonts w:hint="eastAsia"/>
                <w:sz w:val="24"/>
                <w:szCs w:val="24"/>
                <w:lang w:val="en-US" w:eastAsia="zh-CN"/>
              </w:rPr>
              <w:t>0.02052</w:t>
            </w:r>
          </w:p>
        </w:tc>
        <w:tc>
          <w:tcPr>
            <w:tcW w:w="1131" w:type="dxa"/>
            <w:noWrap w:val="0"/>
            <w:vAlign w:val="center"/>
          </w:tcPr>
          <w:p>
            <w:pPr>
              <w:pStyle w:val="2"/>
              <w:spacing w:line="240" w:lineRule="auto"/>
              <w:ind w:firstLine="0" w:firstLineChars="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45</w:t>
            </w:r>
          </w:p>
        </w:tc>
        <w:tc>
          <w:tcPr>
            <w:tcW w:w="943" w:type="dxa"/>
            <w:noWrap w:val="0"/>
            <w:vAlign w:val="center"/>
          </w:tcPr>
          <w:p>
            <w:pPr>
              <w:pStyle w:val="2"/>
              <w:spacing w:line="240" w:lineRule="auto"/>
              <w:ind w:firstLine="0" w:firstLineChars="0"/>
              <w:jc w:val="center"/>
              <w:rPr>
                <w:rFonts w:hint="default" w:ascii="Times New Roman" w:hAnsi="Times New Roman" w:eastAsia="宋体" w:cs="Times New Roman"/>
                <w:kern w:val="2"/>
                <w:sz w:val="24"/>
                <w:szCs w:val="24"/>
                <w:lang w:val="en-US" w:eastAsia="zh-CN" w:bidi="ar-SA"/>
              </w:rPr>
            </w:pPr>
            <w:r>
              <w:rPr>
                <w:rFonts w:hint="eastAsia"/>
                <w:sz w:val="24"/>
                <w:szCs w:val="24"/>
                <w:lang w:val="en-US" w:eastAsia="zh-CN"/>
              </w:rPr>
              <w:t>0.02052</w:t>
            </w:r>
          </w:p>
        </w:tc>
        <w:tc>
          <w:tcPr>
            <w:tcW w:w="1440" w:type="dxa"/>
            <w:vMerge w:val="continue"/>
            <w:noWrap w:val="0"/>
            <w:vAlign w:val="center"/>
          </w:tcPr>
          <w:p>
            <w:pPr>
              <w:snapToGrid w:val="0"/>
              <w:spacing w:line="240" w:lineRule="auto"/>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127" w:type="dxa"/>
            <w:gridSpan w:val="2"/>
            <w:vMerge w:val="continue"/>
            <w:noWrap w:val="0"/>
            <w:vAlign w:val="center"/>
          </w:tcPr>
          <w:p>
            <w:pPr>
              <w:snapToGrid w:val="0"/>
              <w:spacing w:line="240" w:lineRule="auto"/>
              <w:jc w:val="center"/>
              <w:rPr>
                <w:rFonts w:hint="default" w:ascii="Times New Roman" w:hAnsi="Times New Roman" w:eastAsia="宋体" w:cs="Times New Roman"/>
                <w:sz w:val="24"/>
                <w:szCs w:val="24"/>
              </w:rPr>
            </w:pPr>
          </w:p>
        </w:tc>
        <w:tc>
          <w:tcPr>
            <w:tcW w:w="1451" w:type="dxa"/>
            <w:gridSpan w:val="2"/>
            <w:vMerge w:val="continue"/>
            <w:noWrap w:val="0"/>
            <w:vAlign w:val="center"/>
          </w:tcPr>
          <w:p>
            <w:pPr>
              <w:snapToGrid w:val="0"/>
              <w:spacing w:line="240" w:lineRule="auto"/>
              <w:ind w:hanging="2"/>
              <w:jc w:val="center"/>
              <w:rPr>
                <w:rFonts w:hint="default" w:ascii="Times New Roman" w:hAnsi="Times New Roman" w:eastAsia="宋体" w:cs="Times New Roman"/>
                <w:sz w:val="24"/>
                <w:szCs w:val="24"/>
              </w:rPr>
            </w:pPr>
          </w:p>
        </w:tc>
        <w:tc>
          <w:tcPr>
            <w:tcW w:w="1515" w:type="dxa"/>
            <w:noWrap w:val="0"/>
            <w:vAlign w:val="center"/>
          </w:tcPr>
          <w:p>
            <w:pPr>
              <w:snapToGrid w:val="0"/>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TP</w:t>
            </w:r>
          </w:p>
        </w:tc>
        <w:tc>
          <w:tcPr>
            <w:tcW w:w="1078" w:type="dxa"/>
            <w:noWrap w:val="0"/>
            <w:vAlign w:val="center"/>
          </w:tcPr>
          <w:p>
            <w:pPr>
              <w:pStyle w:val="2"/>
              <w:spacing w:line="240" w:lineRule="auto"/>
              <w:ind w:firstLine="0" w:firstLineChars="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w:t>
            </w:r>
          </w:p>
        </w:tc>
        <w:tc>
          <w:tcPr>
            <w:tcW w:w="954" w:type="dxa"/>
            <w:gridSpan w:val="2"/>
            <w:noWrap w:val="0"/>
            <w:vAlign w:val="center"/>
          </w:tcPr>
          <w:p>
            <w:pPr>
              <w:pStyle w:val="2"/>
              <w:spacing w:line="240" w:lineRule="auto"/>
              <w:ind w:firstLine="0" w:firstLineChars="0"/>
              <w:jc w:val="center"/>
              <w:rPr>
                <w:rFonts w:hint="default" w:ascii="Times New Roman" w:hAnsi="Times New Roman" w:eastAsia="宋体" w:cs="Times New Roman"/>
                <w:kern w:val="2"/>
                <w:sz w:val="24"/>
                <w:szCs w:val="24"/>
                <w:lang w:val="en-US" w:eastAsia="zh-CN" w:bidi="ar-SA"/>
              </w:rPr>
            </w:pPr>
            <w:r>
              <w:rPr>
                <w:rFonts w:hint="eastAsia"/>
                <w:sz w:val="24"/>
                <w:szCs w:val="24"/>
                <w:lang w:val="en-US" w:eastAsia="zh-CN"/>
              </w:rPr>
              <w:t>0.003648</w:t>
            </w:r>
          </w:p>
        </w:tc>
        <w:tc>
          <w:tcPr>
            <w:tcW w:w="1131" w:type="dxa"/>
            <w:noWrap w:val="0"/>
            <w:vAlign w:val="center"/>
          </w:tcPr>
          <w:p>
            <w:pPr>
              <w:pStyle w:val="2"/>
              <w:spacing w:line="240" w:lineRule="auto"/>
              <w:ind w:firstLine="0" w:firstLineChars="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w:t>
            </w:r>
          </w:p>
        </w:tc>
        <w:tc>
          <w:tcPr>
            <w:tcW w:w="943" w:type="dxa"/>
            <w:noWrap w:val="0"/>
            <w:vAlign w:val="center"/>
          </w:tcPr>
          <w:p>
            <w:pPr>
              <w:pStyle w:val="2"/>
              <w:spacing w:line="240" w:lineRule="auto"/>
              <w:ind w:firstLine="0" w:firstLineChars="0"/>
              <w:jc w:val="center"/>
              <w:rPr>
                <w:rFonts w:hint="default" w:ascii="Times New Roman" w:hAnsi="Times New Roman" w:eastAsia="宋体" w:cs="Times New Roman"/>
                <w:kern w:val="2"/>
                <w:sz w:val="24"/>
                <w:szCs w:val="24"/>
                <w:lang w:val="en-US" w:eastAsia="zh-CN" w:bidi="ar-SA"/>
              </w:rPr>
            </w:pPr>
            <w:r>
              <w:rPr>
                <w:rFonts w:hint="eastAsia"/>
                <w:sz w:val="24"/>
                <w:szCs w:val="24"/>
                <w:lang w:val="en-US" w:eastAsia="zh-CN"/>
              </w:rPr>
              <w:t>0.003648</w:t>
            </w:r>
          </w:p>
        </w:tc>
        <w:tc>
          <w:tcPr>
            <w:tcW w:w="1440" w:type="dxa"/>
            <w:vMerge w:val="continue"/>
            <w:noWrap w:val="0"/>
            <w:vAlign w:val="center"/>
          </w:tcPr>
          <w:p>
            <w:pPr>
              <w:snapToGrid w:val="0"/>
              <w:spacing w:line="240" w:lineRule="auto"/>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578" w:type="dxa"/>
            <w:gridSpan w:val="4"/>
            <w:noWrap w:val="0"/>
            <w:vAlign w:val="center"/>
          </w:tcPr>
          <w:p>
            <w:pPr>
              <w:snapToGrid w:val="0"/>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电离辐射和电磁辐射</w:t>
            </w:r>
          </w:p>
        </w:tc>
        <w:tc>
          <w:tcPr>
            <w:tcW w:w="7061" w:type="dxa"/>
            <w:gridSpan w:val="7"/>
            <w:tcBorders>
              <w:bottom w:val="single" w:color="auto" w:sz="4" w:space="0"/>
            </w:tcBorders>
            <w:noWrap w:val="0"/>
            <w:vAlign w:val="center"/>
          </w:tcPr>
          <w:p>
            <w:pPr>
              <w:snapToGrid w:val="0"/>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30" w:type="dxa"/>
            <w:vMerge w:val="restart"/>
            <w:noWrap w:val="0"/>
            <w:vAlign w:val="center"/>
          </w:tcPr>
          <w:p>
            <w:pPr>
              <w:snapToGrid w:val="0"/>
              <w:spacing w:line="240" w:lineRule="auto"/>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固</w:t>
            </w:r>
          </w:p>
          <w:p>
            <w:pPr>
              <w:snapToGrid w:val="0"/>
              <w:spacing w:line="240" w:lineRule="auto"/>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体</w:t>
            </w:r>
          </w:p>
          <w:p>
            <w:pPr>
              <w:snapToGrid w:val="0"/>
              <w:spacing w:line="240" w:lineRule="auto"/>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废</w:t>
            </w:r>
          </w:p>
          <w:p>
            <w:pPr>
              <w:snapToGrid w:val="0"/>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物</w:t>
            </w:r>
          </w:p>
        </w:tc>
        <w:tc>
          <w:tcPr>
            <w:tcW w:w="660" w:type="dxa"/>
            <w:gridSpan w:val="2"/>
            <w:noWrap w:val="0"/>
            <w:vAlign w:val="center"/>
          </w:tcPr>
          <w:p>
            <w:pPr>
              <w:snapToGrid w:val="0"/>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类别</w:t>
            </w:r>
          </w:p>
        </w:tc>
        <w:tc>
          <w:tcPr>
            <w:tcW w:w="1288" w:type="dxa"/>
            <w:noWrap w:val="0"/>
            <w:vAlign w:val="center"/>
          </w:tcPr>
          <w:p>
            <w:pPr>
              <w:snapToGrid w:val="0"/>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名称</w:t>
            </w:r>
          </w:p>
        </w:tc>
        <w:tc>
          <w:tcPr>
            <w:tcW w:w="1515" w:type="dxa"/>
            <w:noWrap w:val="0"/>
            <w:vAlign w:val="center"/>
          </w:tcPr>
          <w:p>
            <w:pPr>
              <w:pStyle w:val="13"/>
              <w:snapToGrid w:val="0"/>
              <w:spacing w:after="0" w:line="240" w:lineRule="auto"/>
              <w:ind w:left="0" w:leftChars="0" w:firstLine="0" w:firstLineChars="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产生量</w:t>
            </w:r>
          </w:p>
          <w:p>
            <w:pPr>
              <w:pStyle w:val="13"/>
              <w:snapToGrid w:val="0"/>
              <w:spacing w:after="0" w:line="240" w:lineRule="auto"/>
              <w:ind w:left="0" w:leftChars="0" w:firstLine="0" w:firstLineChars="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t/a</w:t>
            </w:r>
          </w:p>
        </w:tc>
        <w:tc>
          <w:tcPr>
            <w:tcW w:w="1546" w:type="dxa"/>
            <w:gridSpan w:val="2"/>
            <w:noWrap w:val="0"/>
            <w:vAlign w:val="center"/>
          </w:tcPr>
          <w:p>
            <w:pPr>
              <w:pStyle w:val="13"/>
              <w:snapToGrid w:val="0"/>
              <w:spacing w:after="0" w:line="240" w:lineRule="auto"/>
              <w:ind w:left="0" w:leftChars="0" w:firstLine="0" w:firstLineChars="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处理处置量</w:t>
            </w:r>
          </w:p>
          <w:p>
            <w:pPr>
              <w:pStyle w:val="13"/>
              <w:snapToGrid w:val="0"/>
              <w:spacing w:after="0" w:line="240" w:lineRule="auto"/>
              <w:ind w:left="0" w:leftChars="0" w:firstLine="0" w:firstLineChars="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t/a</w:t>
            </w:r>
          </w:p>
        </w:tc>
        <w:tc>
          <w:tcPr>
            <w:tcW w:w="1617" w:type="dxa"/>
            <w:gridSpan w:val="2"/>
            <w:noWrap w:val="0"/>
            <w:vAlign w:val="center"/>
          </w:tcPr>
          <w:p>
            <w:pPr>
              <w:pStyle w:val="13"/>
              <w:snapToGrid w:val="0"/>
              <w:spacing w:after="0" w:line="240" w:lineRule="auto"/>
              <w:ind w:left="0" w:leftChars="0" w:firstLine="0" w:firstLineChars="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综合利用量</w:t>
            </w:r>
          </w:p>
          <w:p>
            <w:pPr>
              <w:pStyle w:val="13"/>
              <w:snapToGrid w:val="0"/>
              <w:spacing w:after="0" w:line="240" w:lineRule="auto"/>
              <w:ind w:left="0" w:leftChars="0" w:firstLine="0" w:firstLineChars="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t/a</w:t>
            </w:r>
          </w:p>
        </w:tc>
        <w:tc>
          <w:tcPr>
            <w:tcW w:w="943" w:type="dxa"/>
            <w:noWrap w:val="0"/>
            <w:vAlign w:val="center"/>
          </w:tcPr>
          <w:p>
            <w:pPr>
              <w:pStyle w:val="13"/>
              <w:snapToGrid w:val="0"/>
              <w:spacing w:after="0" w:line="240" w:lineRule="auto"/>
              <w:ind w:left="0" w:leftChars="0" w:firstLine="0" w:firstLineChars="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外排量</w:t>
            </w:r>
          </w:p>
          <w:p>
            <w:pPr>
              <w:pStyle w:val="13"/>
              <w:snapToGrid w:val="0"/>
              <w:spacing w:after="0" w:line="240" w:lineRule="auto"/>
              <w:ind w:left="0" w:leftChars="0" w:firstLine="0" w:firstLineChars="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t/a</w:t>
            </w:r>
          </w:p>
        </w:tc>
        <w:tc>
          <w:tcPr>
            <w:tcW w:w="1440" w:type="dxa"/>
            <w:noWrap w:val="0"/>
            <w:vAlign w:val="center"/>
          </w:tcPr>
          <w:p>
            <w:pPr>
              <w:snapToGrid w:val="0"/>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30" w:type="dxa"/>
            <w:vMerge w:val="continue"/>
            <w:noWrap w:val="0"/>
            <w:vAlign w:val="center"/>
          </w:tcPr>
          <w:p>
            <w:pPr>
              <w:snapToGrid w:val="0"/>
              <w:spacing w:line="240" w:lineRule="auto"/>
              <w:jc w:val="center"/>
              <w:rPr>
                <w:rFonts w:hint="default" w:ascii="Times New Roman" w:hAnsi="Times New Roman" w:eastAsia="宋体" w:cs="Times New Roman"/>
                <w:sz w:val="24"/>
                <w:szCs w:val="24"/>
              </w:rPr>
            </w:pPr>
          </w:p>
        </w:tc>
        <w:tc>
          <w:tcPr>
            <w:tcW w:w="660" w:type="dxa"/>
            <w:gridSpan w:val="2"/>
            <w:vMerge w:val="restart"/>
            <w:noWrap w:val="0"/>
            <w:vAlign w:val="center"/>
          </w:tcPr>
          <w:p>
            <w:pPr>
              <w:snapToGrid w:val="0"/>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一般固废</w:t>
            </w:r>
          </w:p>
        </w:tc>
        <w:tc>
          <w:tcPr>
            <w:tcW w:w="1288" w:type="dxa"/>
            <w:noWrap w:val="0"/>
            <w:vAlign w:val="center"/>
          </w:tcPr>
          <w:p>
            <w:pPr>
              <w:snapToGrid w:val="0"/>
              <w:spacing w:line="240" w:lineRule="auto"/>
              <w:jc w:val="center"/>
              <w:rPr>
                <w:rFonts w:hint="default" w:ascii="Times New Roman" w:hAnsi="Times New Roman" w:eastAsia="宋体" w:cs="Times New Roman"/>
                <w:kern w:val="2"/>
                <w:sz w:val="24"/>
                <w:szCs w:val="24"/>
                <w:lang w:val="en-US" w:eastAsia="zh-CN" w:bidi="ar-SA"/>
              </w:rPr>
            </w:pPr>
            <w:r>
              <w:rPr>
                <w:rFonts w:hint="eastAsia"/>
                <w:sz w:val="24"/>
                <w:szCs w:val="24"/>
                <w:lang w:val="en-US" w:eastAsia="zh-CN"/>
              </w:rPr>
              <w:t>不合格品</w:t>
            </w:r>
          </w:p>
        </w:tc>
        <w:tc>
          <w:tcPr>
            <w:tcW w:w="1515" w:type="dxa"/>
            <w:noWrap w:val="0"/>
            <w:vAlign w:val="center"/>
          </w:tcPr>
          <w:p>
            <w:pPr>
              <w:widowControl/>
              <w:spacing w:line="240" w:lineRule="auto"/>
              <w:jc w:val="center"/>
              <w:textAlignment w:val="center"/>
              <w:rPr>
                <w:rFonts w:hint="default" w:ascii="Times New Roman" w:hAnsi="Times New Roman" w:eastAsia="宋体" w:cs="Times New Roman"/>
                <w:kern w:val="2"/>
                <w:sz w:val="24"/>
                <w:szCs w:val="24"/>
                <w:lang w:val="en-US" w:eastAsia="zh-CN" w:bidi="ar-SA"/>
              </w:rPr>
            </w:pPr>
            <w:r>
              <w:rPr>
                <w:rFonts w:hint="eastAsia" w:cs="Times New Roman"/>
                <w:kern w:val="2"/>
                <w:sz w:val="24"/>
                <w:szCs w:val="24"/>
                <w:lang w:val="en-US" w:eastAsia="zh-CN" w:bidi="ar-SA"/>
              </w:rPr>
              <w:t>0.3</w:t>
            </w:r>
          </w:p>
        </w:tc>
        <w:tc>
          <w:tcPr>
            <w:tcW w:w="1546" w:type="dxa"/>
            <w:gridSpan w:val="2"/>
            <w:noWrap w:val="0"/>
            <w:vAlign w:val="center"/>
          </w:tcPr>
          <w:p>
            <w:pPr>
              <w:widowControl/>
              <w:spacing w:line="240" w:lineRule="auto"/>
              <w:jc w:val="center"/>
              <w:textAlignment w:val="center"/>
              <w:rPr>
                <w:rFonts w:hint="default" w:ascii="Times New Roman" w:hAnsi="Times New Roman" w:eastAsia="宋体" w:cs="Times New Roman"/>
                <w:kern w:val="2"/>
                <w:sz w:val="24"/>
                <w:szCs w:val="24"/>
                <w:lang w:val="en-US" w:eastAsia="zh-CN" w:bidi="ar-SA"/>
              </w:rPr>
            </w:pPr>
            <w:r>
              <w:rPr>
                <w:rFonts w:hint="eastAsia" w:cs="Times New Roman"/>
                <w:kern w:val="2"/>
                <w:sz w:val="24"/>
                <w:szCs w:val="24"/>
                <w:lang w:val="en-US" w:eastAsia="zh-CN" w:bidi="ar-SA"/>
              </w:rPr>
              <w:t>0.3</w:t>
            </w:r>
          </w:p>
        </w:tc>
        <w:tc>
          <w:tcPr>
            <w:tcW w:w="1617" w:type="dxa"/>
            <w:gridSpan w:val="2"/>
            <w:noWrap w:val="0"/>
            <w:vAlign w:val="center"/>
          </w:tcPr>
          <w:p>
            <w:pPr>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943" w:type="dxa"/>
            <w:noWrap w:val="0"/>
            <w:vAlign w:val="center"/>
          </w:tcPr>
          <w:p>
            <w:pPr>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1440" w:type="dxa"/>
            <w:noWrap w:val="0"/>
            <w:vAlign w:val="center"/>
          </w:tcPr>
          <w:p>
            <w:pPr>
              <w:pStyle w:val="11"/>
              <w:snapToGrid w:val="0"/>
              <w:spacing w:line="240" w:lineRule="auto"/>
              <w:jc w:val="center"/>
              <w:rPr>
                <w:rFonts w:hint="default" w:ascii="Times New Roman" w:hAnsi="Times New Roman" w:eastAsia="宋体" w:cs="Times New Roman"/>
                <w:sz w:val="24"/>
                <w:szCs w:val="24"/>
                <w:lang w:val="en-GB"/>
              </w:rPr>
            </w:pPr>
            <w:r>
              <w:rPr>
                <w:rFonts w:hint="default" w:ascii="Times New Roman" w:hAnsi="Times New Roman" w:eastAsia="宋体" w:cs="Times New Roman"/>
                <w:sz w:val="24"/>
                <w:szCs w:val="24"/>
                <w:lang w:val="en-GB"/>
              </w:rPr>
              <w:t>外售利用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30" w:type="dxa"/>
            <w:vMerge w:val="continue"/>
            <w:noWrap w:val="0"/>
            <w:vAlign w:val="center"/>
          </w:tcPr>
          <w:p>
            <w:pPr>
              <w:snapToGrid w:val="0"/>
              <w:spacing w:line="240" w:lineRule="auto"/>
              <w:jc w:val="center"/>
              <w:rPr>
                <w:rFonts w:hint="default" w:ascii="Times New Roman" w:hAnsi="Times New Roman" w:eastAsia="宋体" w:cs="Times New Roman"/>
                <w:sz w:val="24"/>
                <w:szCs w:val="24"/>
              </w:rPr>
            </w:pPr>
          </w:p>
        </w:tc>
        <w:tc>
          <w:tcPr>
            <w:tcW w:w="660" w:type="dxa"/>
            <w:gridSpan w:val="2"/>
            <w:vMerge w:val="continue"/>
            <w:noWrap w:val="0"/>
            <w:vAlign w:val="center"/>
          </w:tcPr>
          <w:p>
            <w:pPr>
              <w:snapToGrid w:val="0"/>
              <w:spacing w:line="240" w:lineRule="auto"/>
              <w:jc w:val="center"/>
              <w:rPr>
                <w:rFonts w:hint="default" w:ascii="Times New Roman" w:hAnsi="Times New Roman" w:eastAsia="宋体" w:cs="Times New Roman"/>
                <w:sz w:val="24"/>
                <w:szCs w:val="24"/>
              </w:rPr>
            </w:pPr>
          </w:p>
        </w:tc>
        <w:tc>
          <w:tcPr>
            <w:tcW w:w="1288" w:type="dxa"/>
            <w:noWrap w:val="0"/>
            <w:vAlign w:val="center"/>
          </w:tcPr>
          <w:p>
            <w:pPr>
              <w:snapToGrid w:val="0"/>
              <w:spacing w:line="240" w:lineRule="auto"/>
              <w:jc w:val="center"/>
              <w:rPr>
                <w:rFonts w:hint="default" w:ascii="Times New Roman" w:hAnsi="Times New Roman" w:eastAsia="宋体" w:cs="Times New Roman"/>
                <w:kern w:val="2"/>
                <w:sz w:val="24"/>
                <w:szCs w:val="24"/>
                <w:lang w:val="en-US" w:eastAsia="zh-CN" w:bidi="ar-SA"/>
              </w:rPr>
            </w:pPr>
            <w:r>
              <w:rPr>
                <w:rFonts w:hint="eastAsia"/>
                <w:sz w:val="24"/>
                <w:szCs w:val="24"/>
                <w:lang w:val="en-US" w:eastAsia="zh-CN"/>
              </w:rPr>
              <w:t>废包装</w:t>
            </w:r>
          </w:p>
        </w:tc>
        <w:tc>
          <w:tcPr>
            <w:tcW w:w="1515" w:type="dxa"/>
            <w:noWrap w:val="0"/>
            <w:vAlign w:val="center"/>
          </w:tcPr>
          <w:p>
            <w:pPr>
              <w:widowControl/>
              <w:spacing w:line="240" w:lineRule="auto"/>
              <w:jc w:val="center"/>
              <w:textAlignment w:val="center"/>
              <w:rPr>
                <w:rFonts w:hint="default" w:ascii="Times New Roman" w:hAnsi="Times New Roman" w:eastAsia="宋体" w:cs="Times New Roman"/>
                <w:kern w:val="2"/>
                <w:sz w:val="24"/>
                <w:szCs w:val="24"/>
                <w:lang w:val="en-US" w:eastAsia="zh-CN" w:bidi="ar-SA"/>
              </w:rPr>
            </w:pPr>
            <w:r>
              <w:rPr>
                <w:rFonts w:hint="eastAsia" w:cs="Times New Roman"/>
                <w:kern w:val="2"/>
                <w:sz w:val="24"/>
                <w:szCs w:val="24"/>
                <w:lang w:val="en-US" w:eastAsia="zh-CN" w:bidi="ar-SA"/>
              </w:rPr>
              <w:t>3</w:t>
            </w:r>
          </w:p>
        </w:tc>
        <w:tc>
          <w:tcPr>
            <w:tcW w:w="1546" w:type="dxa"/>
            <w:gridSpan w:val="2"/>
            <w:noWrap w:val="0"/>
            <w:vAlign w:val="center"/>
          </w:tcPr>
          <w:p>
            <w:pPr>
              <w:widowControl/>
              <w:spacing w:line="240" w:lineRule="auto"/>
              <w:jc w:val="center"/>
              <w:textAlignment w:val="center"/>
              <w:rPr>
                <w:rFonts w:hint="default" w:ascii="Times New Roman" w:hAnsi="Times New Roman" w:eastAsia="宋体" w:cs="Times New Roman"/>
                <w:kern w:val="2"/>
                <w:sz w:val="24"/>
                <w:szCs w:val="24"/>
                <w:lang w:val="en-US" w:eastAsia="zh-CN" w:bidi="ar-SA"/>
              </w:rPr>
            </w:pPr>
            <w:r>
              <w:rPr>
                <w:rFonts w:hint="eastAsia" w:cs="Times New Roman"/>
                <w:kern w:val="2"/>
                <w:sz w:val="24"/>
                <w:szCs w:val="24"/>
                <w:lang w:val="en-US" w:eastAsia="zh-CN" w:bidi="ar-SA"/>
              </w:rPr>
              <w:t>3</w:t>
            </w:r>
          </w:p>
        </w:tc>
        <w:tc>
          <w:tcPr>
            <w:tcW w:w="1617" w:type="dxa"/>
            <w:gridSpan w:val="2"/>
            <w:noWrap w:val="0"/>
            <w:vAlign w:val="center"/>
          </w:tcPr>
          <w:p>
            <w:pPr>
              <w:spacing w:line="240" w:lineRule="auto"/>
              <w:jc w:val="center"/>
              <w:rPr>
                <w:rFonts w:hint="eastAsia" w:ascii="Times New Roman" w:hAnsi="Times New Roman" w:eastAsia="宋体" w:cs="Times New Roman"/>
                <w:sz w:val="24"/>
                <w:szCs w:val="24"/>
                <w:lang w:val="en-US" w:eastAsia="zh-CN"/>
              </w:rPr>
            </w:pPr>
            <w:r>
              <w:rPr>
                <w:rFonts w:hint="eastAsia" w:cs="Times New Roman"/>
                <w:sz w:val="24"/>
                <w:szCs w:val="24"/>
                <w:lang w:val="en-US" w:eastAsia="zh-CN"/>
              </w:rPr>
              <w:t>0</w:t>
            </w:r>
          </w:p>
        </w:tc>
        <w:tc>
          <w:tcPr>
            <w:tcW w:w="943" w:type="dxa"/>
            <w:noWrap w:val="0"/>
            <w:vAlign w:val="center"/>
          </w:tcPr>
          <w:p>
            <w:pPr>
              <w:spacing w:line="240" w:lineRule="auto"/>
              <w:jc w:val="center"/>
              <w:rPr>
                <w:rFonts w:hint="eastAsia" w:ascii="Times New Roman" w:hAnsi="Times New Roman" w:eastAsia="宋体" w:cs="Times New Roman"/>
                <w:sz w:val="24"/>
                <w:szCs w:val="24"/>
                <w:lang w:val="en-US" w:eastAsia="zh-CN"/>
              </w:rPr>
            </w:pPr>
            <w:r>
              <w:rPr>
                <w:rFonts w:hint="eastAsia" w:cs="Times New Roman"/>
                <w:sz w:val="24"/>
                <w:szCs w:val="24"/>
                <w:lang w:val="en-US" w:eastAsia="zh-CN"/>
              </w:rPr>
              <w:t>0</w:t>
            </w:r>
          </w:p>
        </w:tc>
        <w:tc>
          <w:tcPr>
            <w:tcW w:w="1440" w:type="dxa"/>
            <w:noWrap w:val="0"/>
            <w:vAlign w:val="center"/>
          </w:tcPr>
          <w:p>
            <w:pPr>
              <w:pStyle w:val="11"/>
              <w:snapToGrid w:val="0"/>
              <w:spacing w:line="24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外售利用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630" w:type="dxa"/>
            <w:vMerge w:val="continue"/>
            <w:noWrap w:val="0"/>
            <w:vAlign w:val="center"/>
          </w:tcPr>
          <w:p>
            <w:pPr>
              <w:snapToGrid w:val="0"/>
              <w:spacing w:line="240" w:lineRule="auto"/>
              <w:jc w:val="center"/>
              <w:rPr>
                <w:rFonts w:hint="default" w:ascii="Times New Roman" w:hAnsi="Times New Roman" w:eastAsia="宋体" w:cs="Times New Roman"/>
                <w:sz w:val="24"/>
                <w:szCs w:val="24"/>
              </w:rPr>
            </w:pPr>
          </w:p>
        </w:tc>
        <w:tc>
          <w:tcPr>
            <w:tcW w:w="660" w:type="dxa"/>
            <w:gridSpan w:val="2"/>
            <w:vMerge w:val="continue"/>
            <w:noWrap w:val="0"/>
            <w:vAlign w:val="center"/>
          </w:tcPr>
          <w:p>
            <w:pPr>
              <w:snapToGrid w:val="0"/>
              <w:spacing w:line="240" w:lineRule="auto"/>
              <w:jc w:val="center"/>
              <w:rPr>
                <w:rFonts w:hint="default" w:ascii="Times New Roman" w:hAnsi="Times New Roman" w:eastAsia="宋体" w:cs="Times New Roman"/>
                <w:sz w:val="24"/>
                <w:szCs w:val="24"/>
              </w:rPr>
            </w:pPr>
          </w:p>
        </w:tc>
        <w:tc>
          <w:tcPr>
            <w:tcW w:w="1288" w:type="dxa"/>
            <w:noWrap w:val="0"/>
            <w:vAlign w:val="center"/>
          </w:tcPr>
          <w:p>
            <w:pPr>
              <w:snapToGrid w:val="0"/>
              <w:spacing w:line="240" w:lineRule="auto"/>
              <w:jc w:val="center"/>
              <w:rPr>
                <w:rFonts w:hint="default" w:ascii="Times New Roman" w:hAnsi="Times New Roman" w:eastAsia="宋体" w:cs="Times New Roman"/>
                <w:kern w:val="2"/>
                <w:sz w:val="24"/>
                <w:szCs w:val="24"/>
                <w:lang w:val="en-US" w:eastAsia="zh-CN" w:bidi="ar-SA"/>
              </w:rPr>
            </w:pPr>
            <w:r>
              <w:rPr>
                <w:rFonts w:hint="eastAsia"/>
                <w:sz w:val="24"/>
                <w:szCs w:val="24"/>
                <w:lang w:val="en-US" w:eastAsia="zh-CN"/>
              </w:rPr>
              <w:t>布袋收尘</w:t>
            </w:r>
          </w:p>
        </w:tc>
        <w:tc>
          <w:tcPr>
            <w:tcW w:w="1515" w:type="dxa"/>
            <w:noWrap w:val="0"/>
            <w:vAlign w:val="center"/>
          </w:tcPr>
          <w:p>
            <w:pPr>
              <w:widowControl/>
              <w:spacing w:line="240" w:lineRule="auto"/>
              <w:jc w:val="center"/>
              <w:textAlignment w:val="center"/>
              <w:rPr>
                <w:rFonts w:hint="default" w:ascii="Times New Roman" w:hAnsi="Times New Roman" w:eastAsia="宋体" w:cs="Times New Roman"/>
                <w:kern w:val="2"/>
                <w:sz w:val="24"/>
                <w:szCs w:val="24"/>
                <w:lang w:val="en-US" w:eastAsia="zh-CN" w:bidi="ar-SA"/>
              </w:rPr>
            </w:pPr>
            <w:r>
              <w:rPr>
                <w:rFonts w:hint="eastAsia"/>
                <w:sz w:val="24"/>
                <w:szCs w:val="24"/>
                <w:lang w:val="en-US" w:eastAsia="zh-CN"/>
              </w:rPr>
              <w:t>0.2673</w:t>
            </w:r>
          </w:p>
        </w:tc>
        <w:tc>
          <w:tcPr>
            <w:tcW w:w="1546" w:type="dxa"/>
            <w:gridSpan w:val="2"/>
            <w:noWrap w:val="0"/>
            <w:vAlign w:val="center"/>
          </w:tcPr>
          <w:p>
            <w:pPr>
              <w:widowControl/>
              <w:spacing w:line="240" w:lineRule="auto"/>
              <w:jc w:val="center"/>
              <w:textAlignment w:val="center"/>
              <w:rPr>
                <w:rFonts w:hint="default" w:ascii="Times New Roman" w:hAnsi="Times New Roman" w:eastAsia="宋体" w:cs="Times New Roman"/>
                <w:kern w:val="2"/>
                <w:sz w:val="24"/>
                <w:szCs w:val="24"/>
                <w:lang w:val="en-US" w:eastAsia="zh-CN" w:bidi="ar-SA"/>
              </w:rPr>
            </w:pPr>
            <w:r>
              <w:rPr>
                <w:rFonts w:hint="eastAsia" w:cs="Times New Roman"/>
                <w:kern w:val="2"/>
                <w:sz w:val="24"/>
                <w:szCs w:val="24"/>
                <w:lang w:val="en-US" w:eastAsia="zh-CN" w:bidi="ar-SA"/>
              </w:rPr>
              <w:t>0</w:t>
            </w:r>
          </w:p>
        </w:tc>
        <w:tc>
          <w:tcPr>
            <w:tcW w:w="1617" w:type="dxa"/>
            <w:gridSpan w:val="2"/>
            <w:noWrap w:val="0"/>
            <w:vAlign w:val="center"/>
          </w:tcPr>
          <w:p>
            <w:pPr>
              <w:spacing w:line="240" w:lineRule="auto"/>
              <w:jc w:val="center"/>
              <w:rPr>
                <w:rFonts w:hint="default" w:ascii="Times New Roman" w:hAnsi="Times New Roman" w:eastAsia="宋体" w:cs="Times New Roman"/>
                <w:sz w:val="24"/>
                <w:szCs w:val="24"/>
              </w:rPr>
            </w:pPr>
            <w:r>
              <w:rPr>
                <w:rFonts w:hint="eastAsia"/>
                <w:sz w:val="24"/>
                <w:szCs w:val="24"/>
                <w:lang w:val="en-US" w:eastAsia="zh-CN"/>
              </w:rPr>
              <w:t>0.2673</w:t>
            </w:r>
          </w:p>
        </w:tc>
        <w:tc>
          <w:tcPr>
            <w:tcW w:w="943" w:type="dxa"/>
            <w:noWrap w:val="0"/>
            <w:vAlign w:val="center"/>
          </w:tcPr>
          <w:p>
            <w:pPr>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1440" w:type="dxa"/>
            <w:noWrap w:val="0"/>
            <w:vAlign w:val="center"/>
          </w:tcPr>
          <w:p>
            <w:pPr>
              <w:pStyle w:val="11"/>
              <w:snapToGrid w:val="0"/>
              <w:spacing w:line="24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本厂回用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 w:hRule="atLeast"/>
          <w:jc w:val="center"/>
        </w:trPr>
        <w:tc>
          <w:tcPr>
            <w:tcW w:w="630" w:type="dxa"/>
            <w:vMerge w:val="continue"/>
            <w:noWrap w:val="0"/>
            <w:vAlign w:val="center"/>
          </w:tcPr>
          <w:p>
            <w:pPr>
              <w:snapToGrid w:val="0"/>
              <w:spacing w:line="240" w:lineRule="auto"/>
              <w:jc w:val="center"/>
              <w:rPr>
                <w:rFonts w:hint="default" w:ascii="Times New Roman" w:hAnsi="Times New Roman" w:eastAsia="宋体" w:cs="Times New Roman"/>
                <w:sz w:val="24"/>
                <w:szCs w:val="24"/>
              </w:rPr>
            </w:pPr>
          </w:p>
        </w:tc>
        <w:tc>
          <w:tcPr>
            <w:tcW w:w="660" w:type="dxa"/>
            <w:gridSpan w:val="2"/>
            <w:noWrap w:val="0"/>
            <w:vAlign w:val="center"/>
          </w:tcPr>
          <w:p>
            <w:pPr>
              <w:snapToGrid w:val="0"/>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危险废物</w:t>
            </w:r>
          </w:p>
        </w:tc>
        <w:tc>
          <w:tcPr>
            <w:tcW w:w="1288" w:type="dxa"/>
            <w:noWrap w:val="0"/>
            <w:vAlign w:val="center"/>
          </w:tcPr>
          <w:p>
            <w:pPr>
              <w:snapToGrid w:val="0"/>
              <w:spacing w:line="240" w:lineRule="auto"/>
              <w:jc w:val="center"/>
              <w:rPr>
                <w:rFonts w:hint="default" w:ascii="Times New Roman" w:hAnsi="Times New Roman" w:eastAsia="宋体" w:cs="Times New Roman"/>
                <w:kern w:val="2"/>
                <w:sz w:val="24"/>
                <w:szCs w:val="24"/>
                <w:lang w:val="en-US" w:eastAsia="zh-CN" w:bidi="ar-SA"/>
              </w:rPr>
            </w:pPr>
            <w:r>
              <w:rPr>
                <w:sz w:val="24"/>
                <w:szCs w:val="24"/>
              </w:rPr>
              <w:t>废活性炭</w:t>
            </w:r>
          </w:p>
        </w:tc>
        <w:tc>
          <w:tcPr>
            <w:tcW w:w="1515" w:type="dxa"/>
            <w:noWrap w:val="0"/>
            <w:vAlign w:val="center"/>
          </w:tcPr>
          <w:p>
            <w:pPr>
              <w:widowControl/>
              <w:spacing w:line="240" w:lineRule="auto"/>
              <w:jc w:val="center"/>
              <w:textAlignment w:val="center"/>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1</w:t>
            </w:r>
          </w:p>
        </w:tc>
        <w:tc>
          <w:tcPr>
            <w:tcW w:w="1546" w:type="dxa"/>
            <w:gridSpan w:val="2"/>
            <w:noWrap w:val="0"/>
            <w:vAlign w:val="center"/>
          </w:tcPr>
          <w:p>
            <w:pPr>
              <w:widowControl/>
              <w:spacing w:line="240" w:lineRule="auto"/>
              <w:jc w:val="center"/>
              <w:textAlignment w:val="center"/>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1</w:t>
            </w:r>
          </w:p>
        </w:tc>
        <w:tc>
          <w:tcPr>
            <w:tcW w:w="1617" w:type="dxa"/>
            <w:gridSpan w:val="2"/>
            <w:noWrap w:val="0"/>
            <w:vAlign w:val="center"/>
          </w:tcPr>
          <w:p>
            <w:pPr>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943" w:type="dxa"/>
            <w:noWrap w:val="0"/>
            <w:vAlign w:val="center"/>
          </w:tcPr>
          <w:p>
            <w:pPr>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1440" w:type="dxa"/>
            <w:noWrap w:val="0"/>
            <w:vAlign w:val="center"/>
          </w:tcPr>
          <w:p>
            <w:pPr>
              <w:pStyle w:val="11"/>
              <w:snapToGrid w:val="0"/>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委托有资质单位处理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30" w:type="dxa"/>
            <w:vMerge w:val="continue"/>
            <w:noWrap w:val="0"/>
            <w:vAlign w:val="center"/>
          </w:tcPr>
          <w:p>
            <w:pPr>
              <w:snapToGrid w:val="0"/>
              <w:spacing w:line="240" w:lineRule="auto"/>
              <w:jc w:val="center"/>
              <w:rPr>
                <w:rFonts w:hint="default" w:ascii="Times New Roman" w:hAnsi="Times New Roman" w:eastAsia="宋体" w:cs="Times New Roman"/>
                <w:sz w:val="24"/>
                <w:szCs w:val="24"/>
              </w:rPr>
            </w:pPr>
          </w:p>
        </w:tc>
        <w:tc>
          <w:tcPr>
            <w:tcW w:w="660" w:type="dxa"/>
            <w:gridSpan w:val="2"/>
            <w:noWrap w:val="0"/>
            <w:vAlign w:val="center"/>
          </w:tcPr>
          <w:p>
            <w:pPr>
              <w:snapToGrid w:val="0"/>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生活垃圾</w:t>
            </w:r>
          </w:p>
        </w:tc>
        <w:tc>
          <w:tcPr>
            <w:tcW w:w="1288" w:type="dxa"/>
            <w:noWrap w:val="0"/>
            <w:vAlign w:val="center"/>
          </w:tcPr>
          <w:p>
            <w:pPr>
              <w:snapToGrid w:val="0"/>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生活垃圾</w:t>
            </w:r>
          </w:p>
        </w:tc>
        <w:tc>
          <w:tcPr>
            <w:tcW w:w="1515" w:type="dxa"/>
            <w:noWrap w:val="0"/>
            <w:vAlign w:val="center"/>
          </w:tcPr>
          <w:p>
            <w:pPr>
              <w:widowControl/>
              <w:spacing w:line="240" w:lineRule="auto"/>
              <w:jc w:val="center"/>
              <w:textAlignment w:val="center"/>
              <w:rPr>
                <w:rFonts w:hint="default" w:ascii="Times New Roman" w:hAnsi="Times New Roman" w:eastAsia="宋体" w:cs="Times New Roman"/>
                <w:kern w:val="2"/>
                <w:sz w:val="24"/>
                <w:szCs w:val="24"/>
                <w:lang w:val="en-US" w:eastAsia="zh-CN" w:bidi="ar-SA"/>
              </w:rPr>
            </w:pPr>
            <w:r>
              <w:rPr>
                <w:color w:val="000000"/>
                <w:kern w:val="0"/>
                <w:sz w:val="24"/>
                <w:szCs w:val="24"/>
                <w:lang w:bidi="ar"/>
              </w:rPr>
              <w:t>6</w:t>
            </w:r>
          </w:p>
        </w:tc>
        <w:tc>
          <w:tcPr>
            <w:tcW w:w="1546" w:type="dxa"/>
            <w:gridSpan w:val="2"/>
            <w:noWrap w:val="0"/>
            <w:vAlign w:val="center"/>
          </w:tcPr>
          <w:p>
            <w:pPr>
              <w:widowControl/>
              <w:spacing w:line="240" w:lineRule="auto"/>
              <w:jc w:val="center"/>
              <w:textAlignment w:val="center"/>
              <w:rPr>
                <w:rFonts w:hint="default" w:ascii="Times New Roman" w:hAnsi="Times New Roman" w:eastAsia="宋体" w:cs="Times New Roman"/>
                <w:kern w:val="2"/>
                <w:sz w:val="24"/>
                <w:szCs w:val="24"/>
                <w:lang w:val="en-US" w:eastAsia="zh-CN" w:bidi="ar-SA"/>
              </w:rPr>
            </w:pPr>
            <w:r>
              <w:rPr>
                <w:color w:val="000000"/>
                <w:kern w:val="0"/>
                <w:sz w:val="24"/>
                <w:szCs w:val="24"/>
                <w:lang w:bidi="ar"/>
              </w:rPr>
              <w:t>6</w:t>
            </w:r>
          </w:p>
        </w:tc>
        <w:tc>
          <w:tcPr>
            <w:tcW w:w="1617" w:type="dxa"/>
            <w:gridSpan w:val="2"/>
            <w:noWrap w:val="0"/>
            <w:vAlign w:val="center"/>
          </w:tcPr>
          <w:p>
            <w:pPr>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943" w:type="dxa"/>
            <w:noWrap w:val="0"/>
            <w:vAlign w:val="center"/>
          </w:tcPr>
          <w:p>
            <w:pPr>
              <w:spacing w:line="240" w:lineRule="auto"/>
              <w:jc w:val="center"/>
              <w:rPr>
                <w:rFonts w:hint="default" w:ascii="Times New Roman" w:hAnsi="Times New Roman" w:eastAsia="宋体" w:cs="Times New Roman"/>
                <w:sz w:val="24"/>
                <w:szCs w:val="24"/>
                <w:lang w:val="en-GB"/>
              </w:rPr>
            </w:pPr>
            <w:r>
              <w:rPr>
                <w:rFonts w:hint="default" w:ascii="Times New Roman" w:hAnsi="Times New Roman" w:eastAsia="宋体" w:cs="Times New Roman"/>
                <w:sz w:val="24"/>
                <w:szCs w:val="24"/>
              </w:rPr>
              <w:t>0</w:t>
            </w:r>
          </w:p>
        </w:tc>
        <w:tc>
          <w:tcPr>
            <w:tcW w:w="1440" w:type="dxa"/>
            <w:noWrap w:val="0"/>
            <w:vAlign w:val="center"/>
          </w:tcPr>
          <w:p>
            <w:pPr>
              <w:pStyle w:val="11"/>
              <w:snapToGrid w:val="0"/>
              <w:spacing w:line="240" w:lineRule="auto"/>
              <w:jc w:val="center"/>
              <w:rPr>
                <w:rFonts w:hint="default" w:ascii="Times New Roman" w:hAnsi="Times New Roman" w:eastAsia="宋体" w:cs="Times New Roman"/>
                <w:sz w:val="24"/>
                <w:szCs w:val="24"/>
                <w:lang w:val="en-GB"/>
              </w:rPr>
            </w:pPr>
            <w:r>
              <w:rPr>
                <w:rFonts w:hint="default" w:ascii="Times New Roman" w:hAnsi="Times New Roman" w:eastAsia="宋体" w:cs="Times New Roman"/>
                <w:sz w:val="24"/>
                <w:szCs w:val="24"/>
                <w:lang w:val="en-GB"/>
              </w:rPr>
              <w:t>环卫部门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8" w:hRule="atLeast"/>
          <w:jc w:val="center"/>
        </w:trPr>
        <w:tc>
          <w:tcPr>
            <w:tcW w:w="630" w:type="dxa"/>
            <w:noWrap w:val="0"/>
            <w:vAlign w:val="center"/>
          </w:tcPr>
          <w:p>
            <w:pPr>
              <w:snapToGrid w:val="0"/>
              <w:spacing w:line="240" w:lineRule="auto"/>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噪</w:t>
            </w:r>
          </w:p>
          <w:p>
            <w:pPr>
              <w:snapToGrid w:val="0"/>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声</w:t>
            </w:r>
          </w:p>
        </w:tc>
        <w:tc>
          <w:tcPr>
            <w:tcW w:w="9009" w:type="dxa"/>
            <w:gridSpan w:val="10"/>
            <w:noWrap w:val="0"/>
            <w:vAlign w:val="center"/>
          </w:tcPr>
          <w:p>
            <w:pPr>
              <w:snapToGrid w:val="0"/>
              <w:spacing w:line="24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本项目噪声源源强在为75-80dB（A），经隔声处理后厂界噪声可以达到《工业企业厂界环境噪声排放标准》（GB12348-2008）2类标准。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30" w:type="dxa"/>
            <w:noWrap w:val="0"/>
            <w:vAlign w:val="center"/>
          </w:tcPr>
          <w:p>
            <w:pPr>
              <w:snapToGrid w:val="0"/>
              <w:spacing w:line="240" w:lineRule="auto"/>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其他</w:t>
            </w:r>
          </w:p>
        </w:tc>
        <w:tc>
          <w:tcPr>
            <w:tcW w:w="9009" w:type="dxa"/>
            <w:gridSpan w:val="10"/>
            <w:noWrap w:val="0"/>
            <w:vAlign w:val="center"/>
          </w:tcPr>
          <w:p>
            <w:pPr>
              <w:pStyle w:val="20"/>
              <w:snapToGrid w:val="0"/>
              <w:spacing w:line="240" w:lineRule="auto"/>
              <w:ind w:left="0" w:leftChars="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639" w:type="dxa"/>
            <w:gridSpan w:val="11"/>
            <w:tcBorders>
              <w:bottom w:val="single" w:color="auto" w:sz="12" w:space="0"/>
            </w:tcBorders>
            <w:noWrap w:val="0"/>
            <w:vAlign w:val="center"/>
          </w:tcPr>
          <w:p>
            <w:pPr>
              <w:spacing w:line="240" w:lineRule="auto"/>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主要生态影响（不够时可附另页）：</w:t>
            </w:r>
          </w:p>
          <w:p>
            <w:pPr>
              <w:pStyle w:val="2"/>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无</w:t>
            </w:r>
          </w:p>
        </w:tc>
      </w:tr>
    </w:tbl>
    <w:p>
      <w:r>
        <w:br w:type="page"/>
      </w:r>
    </w:p>
    <w:p>
      <w:pPr>
        <w:pStyle w:val="3"/>
        <w:numPr>
          <w:ilvl w:val="0"/>
          <w:numId w:val="0"/>
        </w:numPr>
        <w:rPr>
          <w:rFonts w:hint="default"/>
        </w:rPr>
      </w:pPr>
      <w:bookmarkStart w:id="10" w:name="_Toc15737"/>
      <w:r>
        <w:rPr>
          <w:rFonts w:hint="eastAsia"/>
          <w:lang w:val="en-US" w:eastAsia="zh-CN"/>
        </w:rPr>
        <w:t>七、</w:t>
      </w:r>
      <w:r>
        <w:rPr>
          <w:rFonts w:hint="default"/>
        </w:rPr>
        <w:t>环境影响分析</w:t>
      </w:r>
      <w:bookmarkEnd w:id="10"/>
    </w:p>
    <w:tbl>
      <w:tblPr>
        <w:tblStyle w:val="2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38" w:type="dxa"/>
            <w:tcBorders>
              <w:bottom w:val="single" w:color="auto" w:sz="12" w:space="0"/>
            </w:tcBorders>
            <w:noWrap w:val="0"/>
            <w:vAlign w:val="top"/>
          </w:tcPr>
          <w:p>
            <w:pPr>
              <w:jc w:val="left"/>
              <w:rPr>
                <w:rFonts w:hint="default" w:ascii="Times New Roman" w:hAnsi="Times New Roman" w:eastAsia="宋体" w:cs="Times New Roman"/>
                <w:b/>
                <w:bCs/>
              </w:rPr>
            </w:pPr>
            <w:r>
              <w:rPr>
                <w:rFonts w:hint="default" w:ascii="Times New Roman" w:hAnsi="Times New Roman" w:eastAsia="宋体" w:cs="Times New Roman"/>
                <w:b/>
                <w:bCs/>
              </w:rPr>
              <w:t>施工期环境影响简要分析：</w:t>
            </w:r>
          </w:p>
          <w:p>
            <w:pPr>
              <w:pStyle w:val="2"/>
              <w:ind w:left="0" w:leftChars="0" w:firstLine="480" w:firstLineChars="200"/>
              <w:rPr>
                <w:rFonts w:hint="default" w:ascii="Times New Roman" w:hAnsi="Times New Roman" w:eastAsia="宋体" w:cs="Times New Roman"/>
                <w:sz w:val="24"/>
              </w:rPr>
            </w:pPr>
            <w:r>
              <w:rPr>
                <w:rFonts w:hint="default" w:ascii="Times New Roman" w:hAnsi="Times New Roman" w:eastAsia="宋体" w:cs="Times New Roman"/>
                <w:lang w:val="en-US" w:eastAsia="zh-CN"/>
              </w:rPr>
              <w:t>项目依托现有厂房，只需将设备搬入厂房，不需土方建设，无污染。</w:t>
            </w:r>
          </w:p>
          <w:p>
            <w:pPr>
              <w:pStyle w:val="7"/>
              <w:ind w:right="120" w:rightChars="50"/>
              <w:rPr>
                <w:rFonts w:hint="default" w:ascii="Times New Roman" w:hAnsi="Times New Roman" w:eastAsia="宋体" w:cs="Times New Roman"/>
                <w:b/>
                <w:bCs/>
              </w:rPr>
            </w:pPr>
            <w:r>
              <w:rPr>
                <w:rFonts w:hint="default" w:ascii="Times New Roman" w:hAnsi="Times New Roman" w:eastAsia="宋体" w:cs="Times New Roman"/>
                <w:b/>
                <w:bCs/>
              </w:rPr>
              <w:t>营运期环境影响简要分析：</w:t>
            </w:r>
          </w:p>
          <w:p>
            <w:pPr>
              <w:numPr>
                <w:ilvl w:val="0"/>
                <w:numId w:val="4"/>
              </w:numPr>
              <w:jc w:val="left"/>
              <w:rPr>
                <w:rFonts w:hint="default" w:ascii="Times New Roman" w:hAnsi="Times New Roman" w:eastAsia="宋体" w:cs="Times New Roman"/>
                <w:b/>
                <w:bCs/>
              </w:rPr>
            </w:pPr>
            <w:r>
              <w:rPr>
                <w:rFonts w:hint="default" w:ascii="Times New Roman" w:hAnsi="Times New Roman" w:eastAsia="宋体" w:cs="Times New Roman"/>
                <w:b/>
                <w:bCs/>
              </w:rPr>
              <w:t>地表水影响分析</w:t>
            </w:r>
          </w:p>
          <w:p>
            <w:pPr>
              <w:keepNext w:val="0"/>
              <w:keepLines w:val="0"/>
              <w:widowControl/>
              <w:suppressLineNumbers w:val="0"/>
              <w:ind w:firstLine="480" w:firstLineChars="200"/>
              <w:jc w:val="left"/>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val="en-US" w:eastAsia="zh-CN" w:bidi="ar"/>
              </w:rPr>
              <w:t xml:space="preserve">本项目厂区管网采用雨、污分流系统：厂区雨水经雨水管网系统收集沉淀后就近排放到附近水体；本项目运营期产生的废水主要是员工的生活污水。 </w:t>
            </w:r>
          </w:p>
          <w:p>
            <w:pPr>
              <w:keepNext w:val="0"/>
              <w:keepLines w:val="0"/>
              <w:widowControl/>
              <w:suppressLineNumbers w:val="0"/>
              <w:ind w:firstLine="480" w:firstLineChars="200"/>
              <w:jc w:val="left"/>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val="en-US" w:eastAsia="zh-CN" w:bidi="ar"/>
              </w:rPr>
              <w:t>本项目预计职工19人，生活用水量按照 100L/人·天计，年工作日为 300 天，生活污水排放量</w:t>
            </w:r>
            <w:r>
              <w:rPr>
                <w:rFonts w:hint="eastAsia" w:ascii="Times New Roman" w:hAnsi="Times New Roman" w:cs="Times New Roman"/>
                <w:color w:val="000000"/>
                <w:kern w:val="0"/>
                <w:sz w:val="24"/>
                <w:szCs w:val="24"/>
                <w:lang w:val="en-US" w:eastAsia="zh-CN" w:bidi="ar"/>
              </w:rPr>
              <w:t>456</w:t>
            </w:r>
            <w:r>
              <w:rPr>
                <w:rFonts w:hint="default" w:ascii="Times New Roman" w:hAnsi="Times New Roman" w:eastAsia="宋体" w:cs="Times New Roman"/>
                <w:color w:val="000000"/>
                <w:kern w:val="0"/>
                <w:sz w:val="24"/>
                <w:szCs w:val="24"/>
                <w:lang w:val="en-US" w:eastAsia="zh-CN" w:bidi="ar"/>
              </w:rPr>
              <w:t>m</w:t>
            </w:r>
            <w:r>
              <w:rPr>
                <w:rFonts w:hint="eastAsia" w:ascii="Times New Roman" w:hAnsi="Times New Roman" w:cs="Times New Roman"/>
                <w:color w:val="000000"/>
                <w:kern w:val="0"/>
                <w:sz w:val="24"/>
                <w:szCs w:val="24"/>
                <w:vertAlign w:val="superscript"/>
                <w:lang w:val="en-US" w:eastAsia="zh-CN" w:bidi="ar"/>
              </w:rPr>
              <w:t>3</w:t>
            </w:r>
            <w:r>
              <w:rPr>
                <w:rFonts w:hint="default" w:ascii="Times New Roman" w:hAnsi="Times New Roman" w:eastAsia="宋体" w:cs="Times New Roman"/>
                <w:color w:val="000000"/>
                <w:kern w:val="0"/>
                <w:sz w:val="24"/>
                <w:szCs w:val="24"/>
                <w:lang w:val="en-US" w:eastAsia="zh-CN" w:bidi="ar"/>
              </w:rPr>
              <w:t>/a。主要污染物为 COD、SS、NH</w:t>
            </w:r>
            <w:r>
              <w:rPr>
                <w:rFonts w:hint="default" w:ascii="Times New Roman" w:hAnsi="Times New Roman" w:eastAsia="宋体" w:cs="Times New Roman"/>
                <w:color w:val="000000"/>
                <w:kern w:val="0"/>
                <w:sz w:val="16"/>
                <w:szCs w:val="16"/>
                <w:lang w:val="en-US" w:eastAsia="zh-CN" w:bidi="ar"/>
              </w:rPr>
              <w:t>3</w:t>
            </w:r>
            <w:r>
              <w:rPr>
                <w:rFonts w:hint="default" w:ascii="Times New Roman" w:hAnsi="Times New Roman" w:eastAsia="宋体" w:cs="Times New Roman"/>
                <w:color w:val="000000"/>
                <w:kern w:val="0"/>
                <w:sz w:val="24"/>
                <w:szCs w:val="24"/>
                <w:lang w:val="en-US" w:eastAsia="zh-CN" w:bidi="ar"/>
              </w:rPr>
              <w:t>-N、TP。</w:t>
            </w:r>
            <w:r>
              <w:rPr>
                <w:rFonts w:hint="eastAsia" w:ascii="Times New Roman" w:hAnsi="Times New Roman" w:cs="Times New Roman"/>
                <w:color w:val="000000"/>
                <w:kern w:val="0"/>
                <w:sz w:val="24"/>
                <w:szCs w:val="24"/>
                <w:lang w:val="en-US" w:eastAsia="zh-CN" w:bidi="ar"/>
              </w:rPr>
              <w:t>预计排放量约为1.65t/天。</w:t>
            </w:r>
            <w:r>
              <w:rPr>
                <w:rFonts w:hint="default" w:ascii="Times New Roman" w:hAnsi="Times New Roman" w:eastAsia="宋体" w:cs="Times New Roman"/>
                <w:color w:val="000000"/>
                <w:kern w:val="0"/>
                <w:sz w:val="24"/>
                <w:szCs w:val="24"/>
                <w:lang w:val="en-US" w:eastAsia="zh-CN" w:bidi="ar"/>
              </w:rPr>
              <w:t>主要污染物为 COD、SS，生活污水经厂内污水管网收集后排入苏州高新</w:t>
            </w:r>
            <w:r>
              <w:rPr>
                <w:rFonts w:hint="eastAsia" w:cs="Times New Roman"/>
                <w:color w:val="000000"/>
                <w:kern w:val="0"/>
                <w:sz w:val="24"/>
                <w:szCs w:val="24"/>
                <w:lang w:val="en-US" w:eastAsia="zh-CN" w:bidi="ar"/>
              </w:rPr>
              <w:t>白荡水质净化厂</w:t>
            </w:r>
            <w:r>
              <w:rPr>
                <w:rFonts w:hint="default" w:ascii="Times New Roman" w:hAnsi="Times New Roman" w:eastAsia="宋体" w:cs="Times New Roman"/>
                <w:color w:val="000000"/>
                <w:kern w:val="0"/>
                <w:sz w:val="24"/>
                <w:szCs w:val="24"/>
                <w:lang w:val="en-US" w:eastAsia="zh-CN" w:bidi="ar"/>
              </w:rPr>
              <w:t xml:space="preserve">，接管水质执行《污水综合排放标准》（GB8978-1996）中三级标准，氨氮、总磷、总氮执行《污水排入城镇下水道水质标准》CJ343-2010；集中处理后最终达到《太湖地区城镇污水处理厂及重点工业行业主要水污染物排放限值》（DB32-7/1072-2007）表 1（2）中城镇污水处理厂 I 类标准及《城镇污水处理厂污染物排放标准》（GB18918-2002）表 1 一级 A标准后进入京杭运河。 </w:t>
            </w:r>
          </w:p>
          <w:p>
            <w:pPr>
              <w:keepNext w:val="0"/>
              <w:keepLines w:val="0"/>
              <w:widowControl/>
              <w:suppressLineNumbers w:val="0"/>
              <w:ind w:firstLine="480" w:firstLineChars="200"/>
              <w:jc w:val="left"/>
              <w:rPr>
                <w:rFonts w:hint="default" w:ascii="Times New Roman" w:hAnsi="Times New Roman" w:eastAsia="宋体" w:cs="Times New Roman"/>
              </w:rPr>
            </w:pPr>
            <w:r>
              <w:rPr>
                <w:rFonts w:hint="eastAsia" w:cs="Times New Roman"/>
                <w:color w:val="000000"/>
                <w:kern w:val="0"/>
                <w:sz w:val="24"/>
                <w:szCs w:val="24"/>
                <w:lang w:val="en-US" w:eastAsia="zh-CN" w:bidi="ar"/>
              </w:rPr>
              <w:t>白荡水质净化厂</w:t>
            </w:r>
            <w:r>
              <w:rPr>
                <w:rFonts w:hint="default" w:ascii="Times New Roman" w:hAnsi="Times New Roman" w:eastAsia="宋体" w:cs="Times New Roman"/>
                <w:color w:val="000000"/>
                <w:kern w:val="0"/>
                <w:sz w:val="24"/>
                <w:szCs w:val="24"/>
                <w:lang w:val="en-US" w:eastAsia="zh-CN" w:bidi="ar"/>
              </w:rPr>
              <w:t>位于出口加工区南白荡河边，服务区域包括出口加工区等浒通片区运河以西的地区，采用循环式活性污泥处理工艺，总处理规模为 12 万吨/天，目前已投入运行的一期为 4 万吨/天，并于 2008 年 6 月开始实施提标工程，提标工艺为在原有循环式活性污泥处理的基础上再通过混凝沉淀、微过滤、紫外消毒处理。</w:t>
            </w:r>
            <w:r>
              <w:rPr>
                <w:rFonts w:hint="eastAsia" w:cs="Times New Roman"/>
                <w:color w:val="000000"/>
                <w:kern w:val="0"/>
                <w:sz w:val="24"/>
                <w:szCs w:val="24"/>
                <w:lang w:val="en-US" w:eastAsia="zh-CN" w:bidi="ar"/>
              </w:rPr>
              <w:t>白荡水质净化厂</w:t>
            </w:r>
            <w:r>
              <w:rPr>
                <w:rFonts w:hint="default" w:ascii="Times New Roman" w:hAnsi="Times New Roman" w:eastAsia="宋体" w:cs="Times New Roman"/>
                <w:color w:val="000000"/>
                <w:kern w:val="0"/>
                <w:sz w:val="24"/>
                <w:szCs w:val="24"/>
                <w:lang w:val="en-US" w:eastAsia="zh-CN" w:bidi="ar"/>
              </w:rPr>
              <w:t>目前的处理能力为40000t/d，本项目产生量</w:t>
            </w:r>
            <w:r>
              <w:rPr>
                <w:rFonts w:hint="eastAsia" w:ascii="Times New Roman" w:hAnsi="Times New Roman" w:cs="Times New Roman"/>
                <w:color w:val="000000"/>
                <w:kern w:val="0"/>
                <w:sz w:val="24"/>
                <w:szCs w:val="24"/>
                <w:lang w:val="en-US" w:eastAsia="zh-CN" w:bidi="ar"/>
              </w:rPr>
              <w:t>1.65t/</w:t>
            </w:r>
            <w:r>
              <w:rPr>
                <w:rFonts w:hint="eastAsia" w:cs="Times New Roman"/>
                <w:color w:val="000000"/>
                <w:kern w:val="0"/>
                <w:sz w:val="24"/>
                <w:szCs w:val="24"/>
                <w:lang w:val="en-US" w:eastAsia="zh-CN" w:bidi="ar"/>
              </w:rPr>
              <w:t>d，</w:t>
            </w:r>
            <w:r>
              <w:rPr>
                <w:rFonts w:hint="default" w:ascii="Times New Roman" w:hAnsi="Times New Roman" w:eastAsia="宋体" w:cs="Times New Roman"/>
                <w:color w:val="000000"/>
                <w:kern w:val="0"/>
                <w:sz w:val="24"/>
                <w:szCs w:val="24"/>
                <w:lang w:val="en-US" w:eastAsia="zh-CN" w:bidi="ar"/>
              </w:rPr>
              <w:t>仅占</w:t>
            </w:r>
            <w:r>
              <w:rPr>
                <w:rFonts w:hint="eastAsia" w:cs="Times New Roman"/>
                <w:color w:val="000000"/>
                <w:kern w:val="0"/>
                <w:sz w:val="24"/>
                <w:szCs w:val="24"/>
                <w:lang w:val="en-US" w:eastAsia="zh-CN" w:bidi="ar"/>
              </w:rPr>
              <w:t>净水厂</w:t>
            </w:r>
            <w:r>
              <w:rPr>
                <w:rFonts w:hint="default" w:ascii="Times New Roman" w:hAnsi="Times New Roman" w:eastAsia="宋体" w:cs="Times New Roman"/>
                <w:color w:val="000000"/>
                <w:kern w:val="0"/>
                <w:sz w:val="24"/>
                <w:szCs w:val="24"/>
                <w:lang w:val="en-US" w:eastAsia="zh-CN" w:bidi="ar"/>
              </w:rPr>
              <w:t>处理余量的微小部分。因此，</w:t>
            </w:r>
            <w:r>
              <w:rPr>
                <w:rFonts w:hint="eastAsia" w:cs="Times New Roman"/>
                <w:color w:val="000000"/>
                <w:kern w:val="0"/>
                <w:sz w:val="24"/>
                <w:szCs w:val="24"/>
                <w:lang w:val="en-US" w:eastAsia="zh-CN" w:bidi="ar"/>
              </w:rPr>
              <w:t>白荡水质净化厂</w:t>
            </w:r>
            <w:r>
              <w:rPr>
                <w:rFonts w:hint="default" w:ascii="Times New Roman" w:hAnsi="Times New Roman" w:eastAsia="宋体" w:cs="Times New Roman"/>
                <w:color w:val="000000"/>
                <w:kern w:val="0"/>
                <w:sz w:val="24"/>
                <w:szCs w:val="24"/>
                <w:lang w:val="en-US" w:eastAsia="zh-CN" w:bidi="ar"/>
              </w:rPr>
              <w:t>从处理能力上看，完全能够满足本项目以及全厂的污水处理要求。从污水管网建设情况来看：目前项目地周边已经铺设了配套污水主干管，待本项目建成运营后，项目污水可以由厂区标准排放口接入污水管网，输送至</w:t>
            </w:r>
            <w:r>
              <w:rPr>
                <w:rFonts w:hint="eastAsia" w:cs="Times New Roman"/>
                <w:color w:val="000000"/>
                <w:kern w:val="0"/>
                <w:sz w:val="24"/>
                <w:szCs w:val="24"/>
                <w:lang w:val="en-US" w:eastAsia="zh-CN" w:bidi="ar"/>
              </w:rPr>
              <w:t>白荡水质净化厂</w:t>
            </w:r>
            <w:r>
              <w:rPr>
                <w:rFonts w:hint="default" w:ascii="Times New Roman" w:hAnsi="Times New Roman" w:eastAsia="宋体" w:cs="Times New Roman"/>
                <w:color w:val="000000"/>
                <w:kern w:val="0"/>
                <w:sz w:val="24"/>
                <w:szCs w:val="24"/>
                <w:lang w:val="en-US" w:eastAsia="zh-CN" w:bidi="ar"/>
              </w:rPr>
              <w:t xml:space="preserve">进行处理。 </w:t>
            </w:r>
          </w:p>
          <w:p>
            <w:pPr>
              <w:keepNext w:val="0"/>
              <w:keepLines w:val="0"/>
              <w:widowControl/>
              <w:suppressLineNumbers w:val="0"/>
              <w:ind w:firstLine="480" w:firstLineChars="200"/>
              <w:jc w:val="left"/>
              <w:rPr>
                <w:rFonts w:hint="default" w:ascii="Times New Roman" w:hAnsi="Times New Roman" w:eastAsia="宋体" w:cs="Times New Roman"/>
                <w:b w:val="0"/>
                <w:bCs w:val="0"/>
              </w:rPr>
            </w:pPr>
            <w:r>
              <w:rPr>
                <w:rFonts w:hint="default" w:ascii="Times New Roman" w:hAnsi="Times New Roman" w:eastAsia="宋体" w:cs="Times New Roman"/>
                <w:color w:val="000000"/>
                <w:kern w:val="0"/>
                <w:sz w:val="24"/>
                <w:szCs w:val="24"/>
                <w:lang w:val="en-US" w:eastAsia="zh-CN" w:bidi="ar"/>
              </w:rPr>
              <w:t>因此，不论从水质、数量以及管网铺设情况来看，本项目生活污水接管</w:t>
            </w:r>
            <w:r>
              <w:rPr>
                <w:rFonts w:hint="eastAsia" w:cs="Times New Roman"/>
                <w:color w:val="000000"/>
                <w:kern w:val="0"/>
                <w:sz w:val="24"/>
                <w:szCs w:val="24"/>
                <w:lang w:val="en-US" w:eastAsia="zh-CN" w:bidi="ar"/>
              </w:rPr>
              <w:t>白荡水质净化厂</w:t>
            </w:r>
            <w:r>
              <w:rPr>
                <w:rFonts w:hint="default" w:ascii="Times New Roman" w:hAnsi="Times New Roman" w:eastAsia="宋体" w:cs="Times New Roman"/>
                <w:color w:val="000000"/>
                <w:kern w:val="0"/>
                <w:sz w:val="24"/>
                <w:szCs w:val="24"/>
                <w:lang w:val="en-US" w:eastAsia="zh-CN" w:bidi="ar"/>
              </w:rPr>
              <w:t xml:space="preserve"> 进行处理都是可行的。</w:t>
            </w:r>
          </w:p>
          <w:p>
            <w:pPr>
              <w:ind w:firstLine="482" w:firstLineChars="200"/>
              <w:jc w:val="left"/>
              <w:rPr>
                <w:rFonts w:hint="default" w:ascii="Times New Roman" w:hAnsi="Times New Roman" w:eastAsia="宋体" w:cs="Times New Roman"/>
                <w:b/>
                <w:bCs/>
              </w:rPr>
            </w:pPr>
            <w:r>
              <w:rPr>
                <w:rFonts w:hint="default" w:ascii="Times New Roman" w:hAnsi="Times New Roman" w:eastAsia="宋体" w:cs="Times New Roman"/>
                <w:b/>
                <w:bCs/>
              </w:rPr>
              <w:t>2、环境空气影响分析</w:t>
            </w:r>
          </w:p>
          <w:p>
            <w:pPr>
              <w:rPr>
                <w:rFonts w:hint="default" w:ascii="Times New Roman" w:hAnsi="Times New Roman" w:eastAsia="宋体" w:cs="Times New Roman"/>
              </w:rPr>
            </w:pPr>
            <w:r>
              <w:rPr>
                <w:rFonts w:hint="default" w:ascii="Times New Roman" w:hAnsi="Times New Roman" w:eastAsia="宋体" w:cs="Times New Roman"/>
              </w:rPr>
              <w:t>有组织排放</w:t>
            </w:r>
          </w:p>
          <w:p>
            <w:pPr>
              <w:ind w:firstLine="480" w:firstLineChars="200"/>
              <w:rPr>
                <w:rFonts w:hint="default" w:ascii="Times New Roman" w:hAnsi="Times New Roman" w:eastAsia="宋体" w:cs="Times New Roman"/>
              </w:rPr>
            </w:pPr>
            <w:r>
              <w:rPr>
                <w:rFonts w:hint="default" w:ascii="Times New Roman" w:hAnsi="Times New Roman" w:eastAsia="宋体" w:cs="Times New Roman"/>
              </w:rPr>
              <w:t>本项目有机废气属于低浓度有机废气，产生浓度非甲烷总烃≤500mg/m</w:t>
            </w:r>
            <w:r>
              <w:rPr>
                <w:rFonts w:hint="default" w:ascii="Times New Roman" w:hAnsi="Times New Roman" w:eastAsia="宋体" w:cs="Times New Roman"/>
                <w:vertAlign w:val="superscript"/>
              </w:rPr>
              <w:t>3</w:t>
            </w:r>
            <w:r>
              <w:rPr>
                <w:rFonts w:hint="default" w:ascii="Times New Roman" w:hAnsi="Times New Roman" w:eastAsia="宋体" w:cs="Times New Roman"/>
              </w:rPr>
              <w:t>，拟采取</w:t>
            </w:r>
            <w:r>
              <w:t>活性炭吸附</w:t>
            </w:r>
            <w:r>
              <w:rPr>
                <w:rFonts w:hint="eastAsia"/>
                <w:lang w:val="en-US" w:eastAsia="zh-CN"/>
              </w:rPr>
              <w:t>+低温等离子</w:t>
            </w:r>
            <w:r>
              <w:rPr>
                <w:rFonts w:hint="default" w:ascii="Times New Roman" w:hAnsi="Times New Roman" w:eastAsia="宋体" w:cs="Times New Roman"/>
              </w:rPr>
              <w:t>工艺处理</w:t>
            </w:r>
            <w:r>
              <w:rPr>
                <w:rFonts w:hint="eastAsia" w:cs="Times New Roman"/>
                <w:lang w:val="en-US" w:eastAsia="zh-CN"/>
              </w:rPr>
              <w:t>挤塑废气</w:t>
            </w:r>
            <w:r>
              <w:rPr>
                <w:rFonts w:hint="default" w:ascii="Times New Roman" w:hAnsi="Times New Roman" w:eastAsia="宋体" w:cs="Times New Roman"/>
              </w:rPr>
              <w:t>。</w:t>
            </w:r>
          </w:p>
          <w:p>
            <w:pPr>
              <w:pStyle w:val="2"/>
              <w:rPr>
                <w:rFonts w:hint="default"/>
              </w:rPr>
            </w:pPr>
            <w:r>
              <w:rPr>
                <w:rFonts w:hint="default" w:ascii="Times New Roman" w:hAnsi="Times New Roman" w:eastAsia="宋体" w:cs="Times New Roman"/>
              </w:rPr>
              <w:t>低温等离子体是继固态、液态、放电电压时，气体被击穿，产生包括电子、各种离子、原子和自由基在内的混合整个体系呈现低温状态，但重粒子温度很低，体。放电过程中虽然电子温度很高，自由基低温等离子体降解污染物是利用这些高能电子、所以称为低温等离子体。并使污染物分子在极短的时间内发生分解，等活性粒子和废气中的污染物作用， 发生后续的各种反应以达到降解污染物的目的。等离子体反应区富含极高的物质，如高能电子、离子、自由基和激发态分子DBD使污染物质在极等，废气中的污染物质可与这些具有较高能量的物质发生反应</w:t>
            </w:r>
            <w:r>
              <w:rPr>
                <w:rFonts w:hint="eastAsia" w:ascii="Times New Roman" w:hAnsi="Times New Roman" w:cs="Times New Roman"/>
                <w:lang w:eastAsia="zh-CN"/>
              </w:rPr>
              <w:t>。</w:t>
            </w:r>
            <w:r>
              <w:rPr>
                <w:rFonts w:hint="default" w:ascii="Times New Roman" w:hAnsi="Times New Roman" w:eastAsia="宋体" w:cs="Times New Roman"/>
              </w:rPr>
              <w:t>活性炭微孔结构发达，具有很大的比表面积，由表面效应所产生的吸附作用是活性炭吸附最明显的特征之一。活性炭吸附主要有以下特点：活性炭是非极性的吸附剂，能选择吸附非极性物质；活性炭是疏水性的吸附剂，在有水或水蒸气存在的情况下仍能发挥作用；活性炭也径分布广，能够吸附分子大小不同的物质；活性炭的化学稳定性和热稳定性优于硅胶等其他吸附剂。活性炭吸附法工艺成熟，效果可靠，广泛应用于化工、喷漆、印刷、轻工等行业的有机废气处理。此外，活性炭具有孔径分布合理、吸附容量高、吸附速度快、机械强度大、在固定床中使用，气流阻力小，易于解吸和再生等优点。每年更换</w:t>
            </w:r>
            <w:r>
              <w:rPr>
                <w:rFonts w:hint="eastAsia" w:ascii="Times New Roman" w:hAnsi="Times New Roman" w:cs="Times New Roman"/>
                <w:lang w:val="en-US" w:eastAsia="zh-CN"/>
              </w:rPr>
              <w:t>两次</w:t>
            </w:r>
            <w:r>
              <w:rPr>
                <w:rFonts w:hint="default" w:ascii="Times New Roman" w:hAnsi="Times New Roman" w:eastAsia="宋体" w:cs="Times New Roman"/>
              </w:rPr>
              <w:t>活性炭（每次更换活性炭量</w:t>
            </w:r>
            <w:r>
              <w:rPr>
                <w:rFonts w:hint="eastAsia" w:ascii="Times New Roman" w:hAnsi="Times New Roman" w:cs="Times New Roman"/>
                <w:lang w:val="en-US" w:eastAsia="zh-CN"/>
              </w:rPr>
              <w:t>1t</w:t>
            </w:r>
            <w:r>
              <w:rPr>
                <w:rFonts w:hint="default" w:ascii="Times New Roman" w:hAnsi="Times New Roman" w:eastAsia="宋体" w:cs="Times New Roman"/>
              </w:rPr>
              <w:t>）。具有适用于处理低浓度有机废气、操作简单、能耗低、投资费用低和维护简单的特性。</w:t>
            </w:r>
          </w:p>
          <w:p>
            <w:pPr>
              <w:ind w:firstLine="482" w:firstLineChars="200"/>
              <w:rPr>
                <w:rFonts w:hint="default" w:ascii="Times New Roman" w:hAnsi="Times New Roman" w:eastAsia="宋体" w:cs="Times New Roman"/>
                <w:b/>
                <w:bCs/>
              </w:rPr>
            </w:pPr>
            <w:r>
              <w:rPr>
                <w:rFonts w:hint="default" w:ascii="Times New Roman" w:hAnsi="Times New Roman" w:eastAsia="宋体" w:cs="Times New Roman"/>
                <w:b/>
                <w:bCs/>
              </w:rPr>
              <w:t>综上，本项目采用过活性炭吸附+低温等离子处理工艺，预计对非甲烷总烃处理效率90%。废气处理后非甲烷总烃、颗粒物浓度能稳定达到苏高新管〔2018〕74号文规定和《大气污染物综合排放标准》GB16297-1996）表 2二级标准。</w:t>
            </w:r>
          </w:p>
          <w:p>
            <w:pPr>
              <w:widowControl/>
              <w:snapToGrid w:val="0"/>
              <w:spacing w:before="93" w:beforeLines="30"/>
              <w:ind w:firstLine="480" w:firstLineChars="200"/>
              <w:jc w:val="left"/>
              <w:rPr>
                <w:rFonts w:hint="default" w:ascii="Times New Roman" w:hAnsi="Times New Roman" w:eastAsia="宋体" w:cs="Times New Roman"/>
              </w:rPr>
            </w:pPr>
            <w:r>
              <w:rPr>
                <w:rFonts w:hint="default" w:ascii="Times New Roman" w:hAnsi="Times New Roman" w:eastAsia="宋体" w:cs="Times New Roman"/>
              </w:rPr>
              <w:t>（1）估算模式及参数选取</w:t>
            </w:r>
          </w:p>
          <w:p>
            <w:pPr>
              <w:pStyle w:val="2"/>
              <w:ind w:firstLine="480" w:firstLineChars="200"/>
              <w:rPr>
                <w:rFonts w:hint="default" w:ascii="Times New Roman" w:hAnsi="Times New Roman" w:eastAsia="宋体" w:cs="Times New Roman"/>
              </w:rPr>
            </w:pPr>
            <w:r>
              <w:rPr>
                <w:rFonts w:hint="default" w:ascii="Times New Roman" w:hAnsi="Times New Roman" w:eastAsia="宋体" w:cs="Times New Roman"/>
              </w:rPr>
              <w:t>本项目采用《环境影响评价技术导则 大气环境》（HJ2.2-2018）推荐的AERSCREEN估算模型，参数见表7-</w:t>
            </w:r>
            <w:r>
              <w:rPr>
                <w:rFonts w:hint="eastAsia" w:ascii="Times New Roman" w:hAnsi="Times New Roman" w:eastAsia="宋体" w:cs="Times New Roman"/>
                <w:lang w:val="en-US" w:eastAsia="zh-CN"/>
              </w:rPr>
              <w:t>1</w:t>
            </w:r>
            <w:r>
              <w:rPr>
                <w:rFonts w:hint="default" w:ascii="Times New Roman" w:hAnsi="Times New Roman" w:eastAsia="宋体" w:cs="Times New Roman"/>
              </w:rPr>
              <w:t>。</w:t>
            </w:r>
          </w:p>
          <w:p>
            <w:pPr>
              <w:widowControl/>
              <w:snapToGrid w:val="0"/>
              <w:spacing w:line="240" w:lineRule="auto"/>
              <w:jc w:val="center"/>
              <w:rPr>
                <w:rFonts w:hint="default" w:ascii="Times New Roman" w:hAnsi="Times New Roman" w:eastAsia="宋体" w:cs="Times New Roman"/>
              </w:rPr>
            </w:pPr>
            <w:r>
              <w:rPr>
                <w:rFonts w:hint="default" w:ascii="Times New Roman" w:hAnsi="Times New Roman" w:eastAsia="宋体" w:cs="Times New Roman"/>
              </w:rPr>
              <w:t>表7-</w:t>
            </w:r>
            <w:r>
              <w:rPr>
                <w:rFonts w:hint="eastAsia" w:ascii="Times New Roman" w:hAnsi="Times New Roman" w:eastAsia="宋体" w:cs="Times New Roman"/>
                <w:lang w:val="en-US" w:eastAsia="zh-CN"/>
              </w:rPr>
              <w:t>1</w:t>
            </w:r>
            <w:r>
              <w:rPr>
                <w:rFonts w:hint="default" w:ascii="Times New Roman" w:hAnsi="Times New Roman" w:eastAsia="宋体" w:cs="Times New Roman"/>
              </w:rPr>
              <w:t>估算模型参数表</w:t>
            </w:r>
          </w:p>
          <w:tbl>
            <w:tblPr>
              <w:tblStyle w:val="26"/>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3139"/>
              <w:gridCol w:w="3141"/>
              <w:gridCol w:w="314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6280" w:type="dxa"/>
                  <w:gridSpan w:val="2"/>
                  <w:noWrap w:val="0"/>
                  <w:vAlign w:val="center"/>
                </w:tcPr>
                <w:p>
                  <w:pPr>
                    <w:widowControl/>
                    <w:snapToGrid w:val="0"/>
                    <w:spacing w:line="240" w:lineRule="auto"/>
                    <w:jc w:val="center"/>
                    <w:rPr>
                      <w:rFonts w:hint="default" w:ascii="Times New Roman" w:hAnsi="Times New Roman" w:eastAsia="宋体" w:cs="Times New Roman"/>
                    </w:rPr>
                  </w:pPr>
                  <w:r>
                    <w:rPr>
                      <w:rFonts w:hint="default" w:ascii="Times New Roman" w:hAnsi="Times New Roman" w:eastAsia="宋体" w:cs="Times New Roman"/>
                    </w:rPr>
                    <w:t>参数</w:t>
                  </w:r>
                </w:p>
              </w:tc>
              <w:tc>
                <w:tcPr>
                  <w:tcW w:w="3142" w:type="dxa"/>
                  <w:noWrap w:val="0"/>
                  <w:vAlign w:val="center"/>
                </w:tcPr>
                <w:p>
                  <w:pPr>
                    <w:widowControl/>
                    <w:snapToGrid w:val="0"/>
                    <w:spacing w:line="240" w:lineRule="auto"/>
                    <w:jc w:val="center"/>
                    <w:rPr>
                      <w:rFonts w:hint="default" w:ascii="Times New Roman" w:hAnsi="Times New Roman" w:eastAsia="宋体" w:cs="Times New Roman"/>
                    </w:rPr>
                  </w:pPr>
                  <w:r>
                    <w:rPr>
                      <w:rFonts w:hint="default" w:ascii="Times New Roman" w:hAnsi="Times New Roman" w:eastAsia="宋体" w:cs="Times New Roman"/>
                    </w:rPr>
                    <w:t>取值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39" w:type="dxa"/>
                  <w:vMerge w:val="restart"/>
                  <w:noWrap w:val="0"/>
                  <w:vAlign w:val="center"/>
                </w:tcPr>
                <w:p>
                  <w:pPr>
                    <w:widowControl/>
                    <w:snapToGrid w:val="0"/>
                    <w:spacing w:line="240" w:lineRule="auto"/>
                    <w:jc w:val="center"/>
                    <w:rPr>
                      <w:rFonts w:hint="default" w:ascii="Times New Roman" w:hAnsi="Times New Roman" w:eastAsia="宋体" w:cs="Times New Roman"/>
                    </w:rPr>
                  </w:pPr>
                  <w:r>
                    <w:rPr>
                      <w:rFonts w:hint="default" w:ascii="Times New Roman" w:hAnsi="Times New Roman" w:eastAsia="宋体" w:cs="Times New Roman"/>
                    </w:rPr>
                    <w:t>城市/农村选项</w:t>
                  </w:r>
                </w:p>
              </w:tc>
              <w:tc>
                <w:tcPr>
                  <w:tcW w:w="3141" w:type="dxa"/>
                  <w:noWrap w:val="0"/>
                  <w:vAlign w:val="center"/>
                </w:tcPr>
                <w:p>
                  <w:pPr>
                    <w:widowControl/>
                    <w:snapToGrid w:val="0"/>
                    <w:spacing w:line="240" w:lineRule="auto"/>
                    <w:jc w:val="center"/>
                    <w:rPr>
                      <w:rFonts w:hint="default" w:ascii="Times New Roman" w:hAnsi="Times New Roman" w:eastAsia="宋体" w:cs="Times New Roman"/>
                    </w:rPr>
                  </w:pPr>
                  <w:r>
                    <w:rPr>
                      <w:rFonts w:hint="default" w:ascii="Times New Roman" w:hAnsi="Times New Roman" w:eastAsia="宋体" w:cs="Times New Roman"/>
                    </w:rPr>
                    <w:t>城市/农村</w:t>
                  </w:r>
                </w:p>
              </w:tc>
              <w:tc>
                <w:tcPr>
                  <w:tcW w:w="3142" w:type="dxa"/>
                  <w:noWrap w:val="0"/>
                  <w:vAlign w:val="center"/>
                </w:tcPr>
                <w:p>
                  <w:pPr>
                    <w:widowControl/>
                    <w:snapToGrid w:val="0"/>
                    <w:spacing w:line="240" w:lineRule="auto"/>
                    <w:jc w:val="center"/>
                    <w:rPr>
                      <w:rFonts w:hint="default" w:ascii="Times New Roman" w:hAnsi="Times New Roman" w:eastAsia="宋体" w:cs="Times New Roman"/>
                    </w:rPr>
                  </w:pPr>
                  <w:r>
                    <w:rPr>
                      <w:rFonts w:hint="default" w:ascii="Times New Roman" w:hAnsi="Times New Roman" w:eastAsia="宋体" w:cs="Times New Roman"/>
                    </w:rPr>
                    <w:t>城市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39" w:type="dxa"/>
                  <w:vMerge w:val="continue"/>
                  <w:noWrap w:val="0"/>
                  <w:vAlign w:val="center"/>
                </w:tcPr>
                <w:p>
                  <w:pPr>
                    <w:widowControl/>
                    <w:snapToGrid w:val="0"/>
                    <w:spacing w:line="240" w:lineRule="auto"/>
                    <w:jc w:val="center"/>
                    <w:rPr>
                      <w:rFonts w:hint="default" w:ascii="Times New Roman" w:hAnsi="Times New Roman" w:eastAsia="宋体" w:cs="Times New Roman"/>
                    </w:rPr>
                  </w:pPr>
                </w:p>
              </w:tc>
              <w:tc>
                <w:tcPr>
                  <w:tcW w:w="3141" w:type="dxa"/>
                  <w:noWrap w:val="0"/>
                  <w:vAlign w:val="center"/>
                </w:tcPr>
                <w:p>
                  <w:pPr>
                    <w:widowControl/>
                    <w:snapToGrid w:val="0"/>
                    <w:spacing w:line="240" w:lineRule="auto"/>
                    <w:jc w:val="center"/>
                    <w:rPr>
                      <w:rFonts w:hint="default" w:ascii="Times New Roman" w:hAnsi="Times New Roman" w:eastAsia="宋体" w:cs="Times New Roman"/>
                    </w:rPr>
                  </w:pPr>
                  <w:r>
                    <w:rPr>
                      <w:rFonts w:hint="default" w:ascii="Times New Roman" w:hAnsi="Times New Roman" w:eastAsia="宋体" w:cs="Times New Roman"/>
                    </w:rPr>
                    <w:t>人口数（城市选项时）</w:t>
                  </w:r>
                </w:p>
              </w:tc>
              <w:tc>
                <w:tcPr>
                  <w:tcW w:w="3142" w:type="dxa"/>
                  <w:noWrap w:val="0"/>
                  <w:vAlign w:val="center"/>
                </w:tcPr>
                <w:p>
                  <w:pPr>
                    <w:widowControl/>
                    <w:snapToGrid w:val="0"/>
                    <w:spacing w:line="240" w:lineRule="auto"/>
                    <w:jc w:val="center"/>
                    <w:rPr>
                      <w:rFonts w:hint="default" w:ascii="Times New Roman" w:hAnsi="Times New Roman" w:eastAsia="宋体" w:cs="Times New Roman"/>
                    </w:rPr>
                  </w:pPr>
                  <w:r>
                    <w:rPr>
                      <w:rFonts w:hint="default" w:ascii="Times New Roman" w:hAnsi="Times New Roman" w:eastAsia="宋体" w:cs="Times New Roman"/>
                    </w:rPr>
                    <w:t>809876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6280" w:type="dxa"/>
                  <w:gridSpan w:val="2"/>
                  <w:noWrap w:val="0"/>
                  <w:vAlign w:val="center"/>
                </w:tcPr>
                <w:p>
                  <w:pPr>
                    <w:widowControl/>
                    <w:snapToGrid w:val="0"/>
                    <w:spacing w:line="240" w:lineRule="auto"/>
                    <w:jc w:val="center"/>
                    <w:rPr>
                      <w:rFonts w:hint="default" w:ascii="Times New Roman" w:hAnsi="Times New Roman" w:eastAsia="宋体" w:cs="Times New Roman"/>
                    </w:rPr>
                  </w:pPr>
                  <w:r>
                    <w:rPr>
                      <w:rFonts w:hint="default" w:ascii="Times New Roman" w:hAnsi="Times New Roman" w:eastAsia="宋体" w:cs="Times New Roman"/>
                    </w:rPr>
                    <w:t>最高环境温度/℃</w:t>
                  </w:r>
                </w:p>
              </w:tc>
              <w:tc>
                <w:tcPr>
                  <w:tcW w:w="3142" w:type="dxa"/>
                  <w:noWrap w:val="0"/>
                  <w:vAlign w:val="center"/>
                </w:tcPr>
                <w:p>
                  <w:pPr>
                    <w:widowControl/>
                    <w:snapToGrid w:val="0"/>
                    <w:spacing w:line="240" w:lineRule="auto"/>
                    <w:jc w:val="center"/>
                    <w:rPr>
                      <w:rFonts w:hint="default" w:ascii="Times New Roman" w:hAnsi="Times New Roman" w:eastAsia="宋体" w:cs="Times New Roman"/>
                    </w:rPr>
                  </w:pPr>
                  <w:r>
                    <w:rPr>
                      <w:rFonts w:hint="default" w:ascii="Times New Roman" w:hAnsi="Times New Roman" w:eastAsia="宋体" w:cs="Times New Roman"/>
                    </w:rPr>
                    <w:t>40.6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6280" w:type="dxa"/>
                  <w:gridSpan w:val="2"/>
                  <w:noWrap w:val="0"/>
                  <w:vAlign w:val="center"/>
                </w:tcPr>
                <w:p>
                  <w:pPr>
                    <w:widowControl/>
                    <w:snapToGrid w:val="0"/>
                    <w:spacing w:line="240" w:lineRule="auto"/>
                    <w:jc w:val="center"/>
                    <w:rPr>
                      <w:rFonts w:hint="default" w:ascii="Times New Roman" w:hAnsi="Times New Roman" w:eastAsia="宋体" w:cs="Times New Roman"/>
                    </w:rPr>
                  </w:pPr>
                  <w:r>
                    <w:rPr>
                      <w:rFonts w:hint="default" w:ascii="Times New Roman" w:hAnsi="Times New Roman" w:eastAsia="宋体" w:cs="Times New Roman"/>
                    </w:rPr>
                    <w:t>最低环境温度/℃</w:t>
                  </w:r>
                </w:p>
              </w:tc>
              <w:tc>
                <w:tcPr>
                  <w:tcW w:w="3142" w:type="dxa"/>
                  <w:noWrap w:val="0"/>
                  <w:vAlign w:val="center"/>
                </w:tcPr>
                <w:p>
                  <w:pPr>
                    <w:widowControl/>
                    <w:snapToGrid w:val="0"/>
                    <w:spacing w:line="240" w:lineRule="auto"/>
                    <w:jc w:val="center"/>
                    <w:rPr>
                      <w:rFonts w:hint="default" w:ascii="Times New Roman" w:hAnsi="Times New Roman" w:eastAsia="宋体" w:cs="Times New Roman"/>
                    </w:rPr>
                  </w:pPr>
                  <w:r>
                    <w:rPr>
                      <w:rFonts w:hint="default" w:ascii="Times New Roman" w:hAnsi="Times New Roman" w:eastAsia="宋体" w:cs="Times New Roman"/>
                    </w:rPr>
                    <w:t>-2.5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6280" w:type="dxa"/>
                  <w:gridSpan w:val="2"/>
                  <w:noWrap w:val="0"/>
                  <w:vAlign w:val="center"/>
                </w:tcPr>
                <w:p>
                  <w:pPr>
                    <w:widowControl/>
                    <w:snapToGrid w:val="0"/>
                    <w:spacing w:line="240" w:lineRule="auto"/>
                    <w:jc w:val="center"/>
                    <w:rPr>
                      <w:rFonts w:hint="default" w:ascii="Times New Roman" w:hAnsi="Times New Roman" w:eastAsia="宋体" w:cs="Times New Roman"/>
                    </w:rPr>
                  </w:pPr>
                  <w:r>
                    <w:rPr>
                      <w:rFonts w:hint="default" w:ascii="Times New Roman" w:hAnsi="Times New Roman" w:eastAsia="宋体" w:cs="Times New Roman"/>
                    </w:rPr>
                    <w:t>土地利用类型</w:t>
                  </w:r>
                </w:p>
              </w:tc>
              <w:tc>
                <w:tcPr>
                  <w:tcW w:w="3142" w:type="dxa"/>
                  <w:noWrap w:val="0"/>
                  <w:vAlign w:val="center"/>
                </w:tcPr>
                <w:p>
                  <w:pPr>
                    <w:widowControl/>
                    <w:snapToGrid w:val="0"/>
                    <w:spacing w:line="240" w:lineRule="auto"/>
                    <w:jc w:val="center"/>
                    <w:rPr>
                      <w:rFonts w:hint="default" w:ascii="Times New Roman" w:hAnsi="Times New Roman" w:eastAsia="宋体" w:cs="Times New Roman"/>
                    </w:rPr>
                  </w:pPr>
                  <w:r>
                    <w:rPr>
                      <w:rFonts w:hint="default" w:ascii="Times New Roman" w:hAnsi="Times New Roman" w:eastAsia="宋体" w:cs="Times New Roman"/>
                    </w:rPr>
                    <w:t>城市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6280" w:type="dxa"/>
                  <w:gridSpan w:val="2"/>
                  <w:noWrap w:val="0"/>
                  <w:vAlign w:val="center"/>
                </w:tcPr>
                <w:p>
                  <w:pPr>
                    <w:widowControl/>
                    <w:snapToGrid w:val="0"/>
                    <w:spacing w:line="240" w:lineRule="auto"/>
                    <w:jc w:val="center"/>
                    <w:rPr>
                      <w:rFonts w:hint="default" w:ascii="Times New Roman" w:hAnsi="Times New Roman" w:eastAsia="宋体" w:cs="Times New Roman"/>
                    </w:rPr>
                  </w:pPr>
                  <w:r>
                    <w:rPr>
                      <w:rFonts w:hint="default" w:ascii="Times New Roman" w:hAnsi="Times New Roman" w:eastAsia="宋体" w:cs="Times New Roman"/>
                    </w:rPr>
                    <w:t>区域湿度条件</w:t>
                  </w:r>
                </w:p>
              </w:tc>
              <w:tc>
                <w:tcPr>
                  <w:tcW w:w="3142" w:type="dxa"/>
                  <w:noWrap w:val="0"/>
                  <w:vAlign w:val="center"/>
                </w:tcPr>
                <w:p>
                  <w:pPr>
                    <w:widowControl/>
                    <w:snapToGrid w:val="0"/>
                    <w:spacing w:line="240" w:lineRule="auto"/>
                    <w:jc w:val="center"/>
                    <w:rPr>
                      <w:rFonts w:hint="default" w:ascii="Times New Roman" w:hAnsi="Times New Roman" w:eastAsia="宋体" w:cs="Times New Roman"/>
                    </w:rPr>
                  </w:pPr>
                  <w:r>
                    <w:rPr>
                      <w:rFonts w:hint="default" w:ascii="Times New Roman" w:hAnsi="Times New Roman" w:eastAsia="宋体" w:cs="Times New Roman"/>
                    </w:rPr>
                    <w:t>湿度气候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39" w:type="dxa"/>
                  <w:vMerge w:val="restart"/>
                  <w:noWrap w:val="0"/>
                  <w:vAlign w:val="center"/>
                </w:tcPr>
                <w:p>
                  <w:pPr>
                    <w:widowControl/>
                    <w:snapToGrid w:val="0"/>
                    <w:spacing w:line="240" w:lineRule="auto"/>
                    <w:jc w:val="center"/>
                    <w:rPr>
                      <w:rFonts w:hint="default" w:ascii="Times New Roman" w:hAnsi="Times New Roman" w:eastAsia="宋体" w:cs="Times New Roman"/>
                    </w:rPr>
                  </w:pPr>
                  <w:r>
                    <w:rPr>
                      <w:rFonts w:hint="default" w:ascii="Times New Roman" w:hAnsi="Times New Roman" w:eastAsia="宋体" w:cs="Times New Roman"/>
                    </w:rPr>
                    <w:t>是否考虑地形</w:t>
                  </w:r>
                </w:p>
              </w:tc>
              <w:tc>
                <w:tcPr>
                  <w:tcW w:w="3141" w:type="dxa"/>
                  <w:noWrap w:val="0"/>
                  <w:vAlign w:val="center"/>
                </w:tcPr>
                <w:p>
                  <w:pPr>
                    <w:widowControl/>
                    <w:snapToGrid w:val="0"/>
                    <w:spacing w:line="240" w:lineRule="auto"/>
                    <w:jc w:val="center"/>
                    <w:rPr>
                      <w:rFonts w:hint="default" w:ascii="Times New Roman" w:hAnsi="Times New Roman" w:eastAsia="宋体" w:cs="Times New Roman"/>
                    </w:rPr>
                  </w:pPr>
                  <w:r>
                    <w:rPr>
                      <w:rFonts w:hint="default" w:ascii="Times New Roman" w:hAnsi="Times New Roman" w:eastAsia="宋体" w:cs="Times New Roman"/>
                    </w:rPr>
                    <w:t>考虑地形</w:t>
                  </w:r>
                </w:p>
              </w:tc>
              <w:tc>
                <w:tcPr>
                  <w:tcW w:w="3142" w:type="dxa"/>
                  <w:noWrap w:val="0"/>
                  <w:vAlign w:val="center"/>
                </w:tcPr>
                <w:p>
                  <w:pPr>
                    <w:widowControl/>
                    <w:snapToGrid w:val="0"/>
                    <w:spacing w:line="240" w:lineRule="auto"/>
                    <w:jc w:val="center"/>
                    <w:rPr>
                      <w:rFonts w:hint="default" w:ascii="Times New Roman" w:hAnsi="Times New Roman" w:eastAsia="宋体" w:cs="Times New Roman"/>
                    </w:rPr>
                  </w:pPr>
                  <w:r>
                    <w:rPr>
                      <w:rFonts w:hint="default" w:ascii="Times New Roman" w:hAnsi="Times New Roman" w:eastAsia="宋体" w:cs="Times New Roman"/>
                    </w:rPr>
                    <w:t>是  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39" w:type="dxa"/>
                  <w:vMerge w:val="continue"/>
                  <w:noWrap w:val="0"/>
                  <w:vAlign w:val="center"/>
                </w:tcPr>
                <w:p>
                  <w:pPr>
                    <w:widowControl/>
                    <w:snapToGrid w:val="0"/>
                    <w:spacing w:line="240" w:lineRule="auto"/>
                    <w:jc w:val="center"/>
                    <w:rPr>
                      <w:rFonts w:hint="default" w:ascii="Times New Roman" w:hAnsi="Times New Roman" w:eastAsia="宋体" w:cs="Times New Roman"/>
                    </w:rPr>
                  </w:pPr>
                </w:p>
              </w:tc>
              <w:tc>
                <w:tcPr>
                  <w:tcW w:w="3141" w:type="dxa"/>
                  <w:noWrap w:val="0"/>
                  <w:vAlign w:val="center"/>
                </w:tcPr>
                <w:p>
                  <w:pPr>
                    <w:widowControl/>
                    <w:snapToGrid w:val="0"/>
                    <w:spacing w:line="240" w:lineRule="auto"/>
                    <w:jc w:val="center"/>
                    <w:rPr>
                      <w:rFonts w:hint="default" w:ascii="Times New Roman" w:hAnsi="Times New Roman" w:eastAsia="宋体" w:cs="Times New Roman"/>
                    </w:rPr>
                  </w:pPr>
                  <w:r>
                    <w:rPr>
                      <w:rFonts w:hint="default" w:ascii="Times New Roman" w:hAnsi="Times New Roman" w:eastAsia="宋体" w:cs="Times New Roman"/>
                    </w:rPr>
                    <w:t>地形数据分辨率/m</w:t>
                  </w:r>
                </w:p>
              </w:tc>
              <w:tc>
                <w:tcPr>
                  <w:tcW w:w="3142" w:type="dxa"/>
                  <w:noWrap w:val="0"/>
                  <w:vAlign w:val="center"/>
                </w:tcPr>
                <w:p>
                  <w:pPr>
                    <w:widowControl/>
                    <w:snapToGrid w:val="0"/>
                    <w:spacing w:line="240" w:lineRule="auto"/>
                    <w:jc w:val="center"/>
                    <w:rPr>
                      <w:rFonts w:hint="default" w:ascii="Times New Roman" w:hAnsi="Times New Roman" w:eastAsia="宋体" w:cs="Times New Roman"/>
                    </w:rPr>
                  </w:pPr>
                  <w:r>
                    <w:rPr>
                      <w:rFonts w:hint="default" w:ascii="Times New Roman" w:hAnsi="Times New Roman" w:eastAsia="宋体" w:cs="Times New Roma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39" w:type="dxa"/>
                  <w:vMerge w:val="restart"/>
                  <w:noWrap w:val="0"/>
                  <w:vAlign w:val="center"/>
                </w:tcPr>
                <w:p>
                  <w:pPr>
                    <w:widowControl/>
                    <w:snapToGrid w:val="0"/>
                    <w:spacing w:line="240" w:lineRule="auto"/>
                    <w:jc w:val="center"/>
                    <w:rPr>
                      <w:rFonts w:hint="default" w:ascii="Times New Roman" w:hAnsi="Times New Roman" w:eastAsia="宋体" w:cs="Times New Roman"/>
                    </w:rPr>
                  </w:pPr>
                  <w:r>
                    <w:rPr>
                      <w:rFonts w:hint="default" w:ascii="Times New Roman" w:hAnsi="Times New Roman" w:eastAsia="宋体" w:cs="Times New Roman"/>
                    </w:rPr>
                    <w:t>是否考虑岸线熏烟</w:t>
                  </w:r>
                </w:p>
              </w:tc>
              <w:tc>
                <w:tcPr>
                  <w:tcW w:w="3141" w:type="dxa"/>
                  <w:noWrap w:val="0"/>
                  <w:vAlign w:val="center"/>
                </w:tcPr>
                <w:p>
                  <w:pPr>
                    <w:widowControl/>
                    <w:snapToGrid w:val="0"/>
                    <w:spacing w:line="240" w:lineRule="auto"/>
                    <w:jc w:val="center"/>
                    <w:rPr>
                      <w:rFonts w:hint="default" w:ascii="Times New Roman" w:hAnsi="Times New Roman" w:eastAsia="宋体" w:cs="Times New Roman"/>
                    </w:rPr>
                  </w:pPr>
                  <w:r>
                    <w:rPr>
                      <w:rFonts w:hint="default" w:ascii="Times New Roman" w:hAnsi="Times New Roman" w:eastAsia="宋体" w:cs="Times New Roman"/>
                    </w:rPr>
                    <w:t>考虑岸线熏烟</w:t>
                  </w:r>
                </w:p>
              </w:tc>
              <w:tc>
                <w:tcPr>
                  <w:tcW w:w="3142" w:type="dxa"/>
                  <w:noWrap w:val="0"/>
                  <w:vAlign w:val="center"/>
                </w:tcPr>
                <w:p>
                  <w:pPr>
                    <w:widowControl/>
                    <w:snapToGrid w:val="0"/>
                    <w:spacing w:line="240" w:lineRule="auto"/>
                    <w:jc w:val="center"/>
                    <w:rPr>
                      <w:rFonts w:hint="default" w:ascii="Times New Roman" w:hAnsi="Times New Roman" w:eastAsia="宋体" w:cs="Times New Roman"/>
                    </w:rPr>
                  </w:pPr>
                  <w:r>
                    <w:rPr>
                      <w:rFonts w:hint="default" w:ascii="Times New Roman" w:hAnsi="Times New Roman" w:eastAsia="宋体" w:cs="Times New Roman"/>
                    </w:rPr>
                    <w:t>是  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39" w:type="dxa"/>
                  <w:vMerge w:val="continue"/>
                  <w:noWrap w:val="0"/>
                  <w:vAlign w:val="center"/>
                </w:tcPr>
                <w:p>
                  <w:pPr>
                    <w:widowControl/>
                    <w:snapToGrid w:val="0"/>
                    <w:spacing w:line="240" w:lineRule="auto"/>
                    <w:jc w:val="center"/>
                    <w:rPr>
                      <w:rFonts w:hint="default" w:ascii="Times New Roman" w:hAnsi="Times New Roman" w:eastAsia="宋体" w:cs="Times New Roman"/>
                    </w:rPr>
                  </w:pPr>
                </w:p>
              </w:tc>
              <w:tc>
                <w:tcPr>
                  <w:tcW w:w="3141" w:type="dxa"/>
                  <w:noWrap w:val="0"/>
                  <w:vAlign w:val="center"/>
                </w:tcPr>
                <w:p>
                  <w:pPr>
                    <w:widowControl/>
                    <w:snapToGrid w:val="0"/>
                    <w:spacing w:line="240" w:lineRule="auto"/>
                    <w:jc w:val="center"/>
                    <w:rPr>
                      <w:rFonts w:hint="default" w:ascii="Times New Roman" w:hAnsi="Times New Roman" w:eastAsia="宋体" w:cs="Times New Roman"/>
                    </w:rPr>
                  </w:pPr>
                  <w:r>
                    <w:rPr>
                      <w:rFonts w:hint="default" w:ascii="Times New Roman" w:hAnsi="Times New Roman" w:eastAsia="宋体" w:cs="Times New Roman"/>
                    </w:rPr>
                    <w:t>岸线距离/km</w:t>
                  </w:r>
                </w:p>
              </w:tc>
              <w:tc>
                <w:tcPr>
                  <w:tcW w:w="3142" w:type="dxa"/>
                  <w:noWrap w:val="0"/>
                  <w:vAlign w:val="center"/>
                </w:tcPr>
                <w:p>
                  <w:pPr>
                    <w:widowControl/>
                    <w:snapToGrid w:val="0"/>
                    <w:spacing w:line="240" w:lineRule="auto"/>
                    <w:jc w:val="center"/>
                    <w:rPr>
                      <w:rFonts w:hint="default" w:ascii="Times New Roman" w:hAnsi="Times New Roman" w:eastAsia="宋体" w:cs="Times New Roman"/>
                    </w:rPr>
                  </w:pPr>
                  <w:r>
                    <w:rPr>
                      <w:rFonts w:hint="default" w:ascii="Times New Roman" w:hAnsi="Times New Roman" w:eastAsia="宋体" w:cs="Times New Roma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39" w:type="dxa"/>
                  <w:vMerge w:val="continue"/>
                  <w:noWrap w:val="0"/>
                  <w:vAlign w:val="center"/>
                </w:tcPr>
                <w:p>
                  <w:pPr>
                    <w:widowControl/>
                    <w:snapToGrid w:val="0"/>
                    <w:spacing w:line="240" w:lineRule="auto"/>
                    <w:jc w:val="center"/>
                    <w:rPr>
                      <w:rFonts w:hint="default" w:ascii="Times New Roman" w:hAnsi="Times New Roman" w:eastAsia="宋体" w:cs="Times New Roman"/>
                    </w:rPr>
                  </w:pPr>
                </w:p>
              </w:tc>
              <w:tc>
                <w:tcPr>
                  <w:tcW w:w="3141" w:type="dxa"/>
                  <w:noWrap w:val="0"/>
                  <w:vAlign w:val="center"/>
                </w:tcPr>
                <w:p>
                  <w:pPr>
                    <w:widowControl/>
                    <w:snapToGrid w:val="0"/>
                    <w:spacing w:line="240" w:lineRule="auto"/>
                    <w:jc w:val="center"/>
                    <w:rPr>
                      <w:rFonts w:hint="default" w:ascii="Times New Roman" w:hAnsi="Times New Roman" w:eastAsia="宋体" w:cs="Times New Roman"/>
                    </w:rPr>
                  </w:pPr>
                  <w:r>
                    <w:rPr>
                      <w:rFonts w:hint="default" w:ascii="Times New Roman" w:hAnsi="Times New Roman" w:eastAsia="宋体" w:cs="Times New Roman"/>
                    </w:rPr>
                    <w:t>岸线方向/°</w:t>
                  </w:r>
                </w:p>
              </w:tc>
              <w:tc>
                <w:tcPr>
                  <w:tcW w:w="3142" w:type="dxa"/>
                  <w:noWrap w:val="0"/>
                  <w:vAlign w:val="center"/>
                </w:tcPr>
                <w:p>
                  <w:pPr>
                    <w:widowControl/>
                    <w:snapToGrid w:val="0"/>
                    <w:spacing w:line="240" w:lineRule="auto"/>
                    <w:jc w:val="center"/>
                    <w:rPr>
                      <w:rFonts w:hint="default" w:ascii="Times New Roman" w:hAnsi="Times New Roman" w:eastAsia="宋体" w:cs="Times New Roman"/>
                    </w:rPr>
                  </w:pPr>
                  <w:r>
                    <w:rPr>
                      <w:rFonts w:hint="default" w:ascii="Times New Roman" w:hAnsi="Times New Roman" w:eastAsia="宋体" w:cs="Times New Roman"/>
                    </w:rPr>
                    <w:t>/</w:t>
                  </w:r>
                </w:p>
              </w:tc>
            </w:tr>
          </w:tbl>
          <w:p>
            <w:pPr>
              <w:widowControl/>
              <w:spacing w:before="93" w:beforeLines="30"/>
              <w:ind w:firstLine="480" w:firstLineChars="200"/>
              <w:jc w:val="left"/>
              <w:rPr>
                <w:rFonts w:hint="default" w:ascii="Times New Roman" w:hAnsi="Times New Roman" w:eastAsia="宋体" w:cs="Times New Roman"/>
              </w:rPr>
            </w:pPr>
            <w:r>
              <w:rPr>
                <w:rFonts w:hint="default" w:ascii="Times New Roman" w:hAnsi="Times New Roman" w:eastAsia="宋体" w:cs="Times New Roman"/>
              </w:rPr>
              <w:t xml:space="preserve">（2）废气源强分析 </w:t>
            </w:r>
          </w:p>
          <w:p>
            <w:pPr>
              <w:widowControl/>
              <w:ind w:firstLine="480" w:firstLineChars="200"/>
              <w:jc w:val="left"/>
              <w:rPr>
                <w:rFonts w:hint="default" w:ascii="Times New Roman" w:hAnsi="Times New Roman" w:eastAsia="宋体" w:cs="Times New Roman"/>
              </w:rPr>
            </w:pPr>
            <w:r>
              <w:rPr>
                <w:rFonts w:hint="default" w:ascii="Times New Roman" w:hAnsi="Times New Roman" w:eastAsia="宋体" w:cs="Times New Roman"/>
              </w:rPr>
              <w:t>根据工程分析，本项目营运期有组织及无组织排放的废气源强分别详见表7-</w:t>
            </w:r>
            <w:r>
              <w:rPr>
                <w:rFonts w:hint="eastAsia" w:ascii="Times New Roman" w:hAnsi="Times New Roman" w:eastAsia="宋体" w:cs="Times New Roman"/>
                <w:lang w:val="en-US" w:eastAsia="zh-CN"/>
              </w:rPr>
              <w:t>2</w:t>
            </w:r>
            <w:r>
              <w:rPr>
                <w:rFonts w:hint="default" w:ascii="Times New Roman" w:hAnsi="Times New Roman" w:eastAsia="宋体" w:cs="Times New Roman"/>
              </w:rPr>
              <w:t>、7-</w:t>
            </w:r>
            <w:r>
              <w:rPr>
                <w:rFonts w:hint="eastAsia" w:ascii="Times New Roman" w:hAnsi="Times New Roman" w:eastAsia="宋体" w:cs="Times New Roman"/>
                <w:lang w:val="en-US" w:eastAsia="zh-CN"/>
              </w:rPr>
              <w:t>3</w:t>
            </w:r>
            <w:r>
              <w:rPr>
                <w:rFonts w:hint="default" w:ascii="Times New Roman" w:hAnsi="Times New Roman" w:eastAsia="宋体" w:cs="Times New Roman"/>
              </w:rPr>
              <w:t>。</w:t>
            </w:r>
          </w:p>
          <w:p>
            <w:pPr>
              <w:widowControl/>
              <w:autoSpaceDE w:val="0"/>
              <w:autoSpaceDN w:val="0"/>
              <w:spacing w:line="240" w:lineRule="auto"/>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表7-</w:t>
            </w:r>
            <w:r>
              <w:rPr>
                <w:rFonts w:hint="eastAsia" w:ascii="Times New Roman" w:hAnsi="Times New Roman" w:eastAsia="宋体" w:cs="Times New Roman"/>
                <w:b/>
                <w:bCs/>
                <w:sz w:val="21"/>
                <w:szCs w:val="21"/>
                <w:lang w:val="en-US" w:eastAsia="zh-CN"/>
              </w:rPr>
              <w:t>2</w:t>
            </w:r>
            <w:r>
              <w:rPr>
                <w:rFonts w:hint="default" w:ascii="Times New Roman" w:hAnsi="Times New Roman" w:eastAsia="宋体" w:cs="Times New Roman"/>
                <w:b/>
                <w:bCs/>
                <w:sz w:val="21"/>
                <w:szCs w:val="21"/>
              </w:rPr>
              <w:t>项目有组织废气污染源强参数表</w:t>
            </w:r>
          </w:p>
          <w:tbl>
            <w:tblPr>
              <w:tblStyle w:val="2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035"/>
              <w:gridCol w:w="1143"/>
              <w:gridCol w:w="871"/>
              <w:gridCol w:w="911"/>
              <w:gridCol w:w="1051"/>
              <w:gridCol w:w="870"/>
              <w:gridCol w:w="1065"/>
              <w:gridCol w:w="885"/>
              <w:gridCol w:w="159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35" w:type="dxa"/>
                  <w:vMerge w:val="restart"/>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点源 编号</w:t>
                  </w:r>
                </w:p>
              </w:tc>
              <w:tc>
                <w:tcPr>
                  <w:tcW w:w="1143" w:type="dxa"/>
                  <w:vMerge w:val="restart"/>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点源 名称</w:t>
                  </w:r>
                </w:p>
              </w:tc>
              <w:tc>
                <w:tcPr>
                  <w:tcW w:w="871" w:type="dxa"/>
                  <w:vMerge w:val="restart"/>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排气筒</w:t>
                  </w:r>
                </w:p>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高度</w:t>
                  </w:r>
                </w:p>
              </w:tc>
              <w:tc>
                <w:tcPr>
                  <w:tcW w:w="911" w:type="dxa"/>
                  <w:vMerge w:val="restart"/>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排气筒</w:t>
                  </w:r>
                </w:p>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内径</w:t>
                  </w:r>
                </w:p>
              </w:tc>
              <w:tc>
                <w:tcPr>
                  <w:tcW w:w="1051" w:type="dxa"/>
                  <w:vMerge w:val="restart"/>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烟气流速</w:t>
                  </w:r>
                </w:p>
              </w:tc>
              <w:tc>
                <w:tcPr>
                  <w:tcW w:w="870" w:type="dxa"/>
                  <w:vMerge w:val="restart"/>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烟气温度</w:t>
                  </w:r>
                </w:p>
              </w:tc>
              <w:tc>
                <w:tcPr>
                  <w:tcW w:w="1065" w:type="dxa"/>
                  <w:vMerge w:val="restart"/>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年排放</w:t>
                  </w:r>
                </w:p>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小时</w:t>
                  </w:r>
                </w:p>
              </w:tc>
              <w:tc>
                <w:tcPr>
                  <w:tcW w:w="885" w:type="dxa"/>
                  <w:vMerge w:val="restart"/>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w:t>
                  </w:r>
                </w:p>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工况</w:t>
                  </w:r>
                </w:p>
              </w:tc>
              <w:tc>
                <w:tcPr>
                  <w:tcW w:w="1591"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污染物排放速率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35" w:type="dxa"/>
                  <w:vMerge w:val="continue"/>
                  <w:noWrap w:val="0"/>
                  <w:vAlign w:val="center"/>
                </w:tcPr>
                <w:p>
                  <w:pPr>
                    <w:widowControl/>
                    <w:snapToGrid w:val="0"/>
                    <w:spacing w:line="240" w:lineRule="auto"/>
                    <w:jc w:val="center"/>
                    <w:rPr>
                      <w:rFonts w:hint="default" w:ascii="Times New Roman" w:hAnsi="Times New Roman" w:eastAsia="宋体" w:cs="Times New Roman"/>
                      <w:sz w:val="21"/>
                      <w:szCs w:val="21"/>
                    </w:rPr>
                  </w:pPr>
                </w:p>
              </w:tc>
              <w:tc>
                <w:tcPr>
                  <w:tcW w:w="1143" w:type="dxa"/>
                  <w:vMerge w:val="continue"/>
                  <w:noWrap w:val="0"/>
                  <w:vAlign w:val="center"/>
                </w:tcPr>
                <w:p>
                  <w:pPr>
                    <w:widowControl/>
                    <w:snapToGrid w:val="0"/>
                    <w:spacing w:line="240" w:lineRule="auto"/>
                    <w:jc w:val="center"/>
                    <w:rPr>
                      <w:rFonts w:hint="default" w:ascii="Times New Roman" w:hAnsi="Times New Roman" w:eastAsia="宋体" w:cs="Times New Roman"/>
                      <w:sz w:val="21"/>
                      <w:szCs w:val="21"/>
                    </w:rPr>
                  </w:pPr>
                </w:p>
              </w:tc>
              <w:tc>
                <w:tcPr>
                  <w:tcW w:w="871" w:type="dxa"/>
                  <w:vMerge w:val="continue"/>
                  <w:noWrap w:val="0"/>
                  <w:vAlign w:val="center"/>
                </w:tcPr>
                <w:p>
                  <w:pPr>
                    <w:widowControl/>
                    <w:snapToGrid w:val="0"/>
                    <w:spacing w:line="240" w:lineRule="auto"/>
                    <w:jc w:val="center"/>
                    <w:rPr>
                      <w:rFonts w:hint="default" w:ascii="Times New Roman" w:hAnsi="Times New Roman" w:eastAsia="宋体" w:cs="Times New Roman"/>
                      <w:sz w:val="21"/>
                      <w:szCs w:val="21"/>
                    </w:rPr>
                  </w:pPr>
                </w:p>
              </w:tc>
              <w:tc>
                <w:tcPr>
                  <w:tcW w:w="911" w:type="dxa"/>
                  <w:vMerge w:val="continue"/>
                  <w:noWrap w:val="0"/>
                  <w:vAlign w:val="center"/>
                </w:tcPr>
                <w:p>
                  <w:pPr>
                    <w:widowControl/>
                    <w:snapToGrid w:val="0"/>
                    <w:spacing w:line="240" w:lineRule="auto"/>
                    <w:jc w:val="center"/>
                    <w:rPr>
                      <w:rFonts w:hint="default" w:ascii="Times New Roman" w:hAnsi="Times New Roman" w:eastAsia="宋体" w:cs="Times New Roman"/>
                      <w:sz w:val="21"/>
                      <w:szCs w:val="21"/>
                    </w:rPr>
                  </w:pPr>
                </w:p>
              </w:tc>
              <w:tc>
                <w:tcPr>
                  <w:tcW w:w="1051" w:type="dxa"/>
                  <w:vMerge w:val="continue"/>
                  <w:noWrap w:val="0"/>
                  <w:vAlign w:val="center"/>
                </w:tcPr>
                <w:p>
                  <w:pPr>
                    <w:widowControl/>
                    <w:snapToGrid w:val="0"/>
                    <w:spacing w:line="240" w:lineRule="auto"/>
                    <w:jc w:val="center"/>
                    <w:rPr>
                      <w:rFonts w:hint="default" w:ascii="Times New Roman" w:hAnsi="Times New Roman" w:eastAsia="宋体" w:cs="Times New Roman"/>
                      <w:sz w:val="21"/>
                      <w:szCs w:val="21"/>
                    </w:rPr>
                  </w:pPr>
                </w:p>
              </w:tc>
              <w:tc>
                <w:tcPr>
                  <w:tcW w:w="870" w:type="dxa"/>
                  <w:vMerge w:val="continue"/>
                  <w:noWrap w:val="0"/>
                  <w:vAlign w:val="center"/>
                </w:tcPr>
                <w:p>
                  <w:pPr>
                    <w:widowControl/>
                    <w:snapToGrid w:val="0"/>
                    <w:spacing w:line="240" w:lineRule="auto"/>
                    <w:jc w:val="center"/>
                    <w:rPr>
                      <w:rFonts w:hint="default" w:ascii="Times New Roman" w:hAnsi="Times New Roman" w:eastAsia="宋体" w:cs="Times New Roman"/>
                      <w:sz w:val="21"/>
                      <w:szCs w:val="21"/>
                    </w:rPr>
                  </w:pPr>
                </w:p>
              </w:tc>
              <w:tc>
                <w:tcPr>
                  <w:tcW w:w="1065" w:type="dxa"/>
                  <w:vMerge w:val="continue"/>
                  <w:noWrap w:val="0"/>
                  <w:vAlign w:val="center"/>
                </w:tcPr>
                <w:p>
                  <w:pPr>
                    <w:widowControl/>
                    <w:snapToGrid w:val="0"/>
                    <w:spacing w:line="240" w:lineRule="auto"/>
                    <w:jc w:val="center"/>
                    <w:rPr>
                      <w:rFonts w:hint="default" w:ascii="Times New Roman" w:hAnsi="Times New Roman" w:eastAsia="宋体" w:cs="Times New Roman"/>
                      <w:sz w:val="21"/>
                      <w:szCs w:val="21"/>
                    </w:rPr>
                  </w:pPr>
                </w:p>
              </w:tc>
              <w:tc>
                <w:tcPr>
                  <w:tcW w:w="885" w:type="dxa"/>
                  <w:vMerge w:val="continue"/>
                  <w:noWrap w:val="0"/>
                  <w:vAlign w:val="center"/>
                </w:tcPr>
                <w:p>
                  <w:pPr>
                    <w:widowControl/>
                    <w:snapToGrid w:val="0"/>
                    <w:spacing w:line="240" w:lineRule="auto"/>
                    <w:jc w:val="center"/>
                    <w:rPr>
                      <w:rFonts w:hint="default" w:ascii="Times New Roman" w:hAnsi="Times New Roman" w:eastAsia="宋体" w:cs="Times New Roman"/>
                      <w:sz w:val="21"/>
                      <w:szCs w:val="21"/>
                    </w:rPr>
                  </w:pPr>
                </w:p>
              </w:tc>
              <w:tc>
                <w:tcPr>
                  <w:tcW w:w="1591"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35" w:type="dxa"/>
                  <w:vMerge w:val="continue"/>
                  <w:noWrap w:val="0"/>
                  <w:vAlign w:val="center"/>
                </w:tcPr>
                <w:p>
                  <w:pPr>
                    <w:widowControl/>
                    <w:snapToGrid w:val="0"/>
                    <w:spacing w:line="240" w:lineRule="auto"/>
                    <w:jc w:val="center"/>
                    <w:rPr>
                      <w:rFonts w:hint="default" w:ascii="Times New Roman" w:hAnsi="Times New Roman" w:eastAsia="宋体" w:cs="Times New Roman"/>
                      <w:sz w:val="21"/>
                      <w:szCs w:val="21"/>
                    </w:rPr>
                  </w:pPr>
                </w:p>
              </w:tc>
              <w:tc>
                <w:tcPr>
                  <w:tcW w:w="1143" w:type="dxa"/>
                  <w:vMerge w:val="continue"/>
                  <w:noWrap w:val="0"/>
                  <w:vAlign w:val="center"/>
                </w:tcPr>
                <w:p>
                  <w:pPr>
                    <w:widowControl/>
                    <w:snapToGrid w:val="0"/>
                    <w:spacing w:line="240" w:lineRule="auto"/>
                    <w:jc w:val="center"/>
                    <w:rPr>
                      <w:rFonts w:hint="default" w:ascii="Times New Roman" w:hAnsi="Times New Roman" w:eastAsia="宋体" w:cs="Times New Roman"/>
                      <w:sz w:val="21"/>
                      <w:szCs w:val="21"/>
                    </w:rPr>
                  </w:pPr>
                </w:p>
              </w:tc>
              <w:tc>
                <w:tcPr>
                  <w:tcW w:w="871"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w:t>
                  </w:r>
                </w:p>
              </w:tc>
              <w:tc>
                <w:tcPr>
                  <w:tcW w:w="911"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w:t>
                  </w:r>
                </w:p>
              </w:tc>
              <w:tc>
                <w:tcPr>
                  <w:tcW w:w="1051"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m/s</w:t>
                  </w:r>
                </w:p>
              </w:tc>
              <w:tc>
                <w:tcPr>
                  <w:tcW w:w="870" w:type="dxa"/>
                  <w:noWrap w:val="0"/>
                  <w:vAlign w:val="center"/>
                </w:tcPr>
                <w:p>
                  <w:pPr>
                    <w:widowControl/>
                    <w:snapToGrid w:val="0"/>
                    <w:spacing w:line="240" w:lineRule="auto"/>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w:t>
                  </w:r>
                </w:p>
              </w:tc>
              <w:tc>
                <w:tcPr>
                  <w:tcW w:w="1065"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h</w:t>
                  </w:r>
                </w:p>
              </w:tc>
              <w:tc>
                <w:tcPr>
                  <w:tcW w:w="885"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591"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kg/h</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35"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143"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P1</w:t>
                  </w:r>
                </w:p>
              </w:tc>
              <w:tc>
                <w:tcPr>
                  <w:tcW w:w="871"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w:t>
                  </w:r>
                </w:p>
              </w:tc>
              <w:tc>
                <w:tcPr>
                  <w:tcW w:w="911" w:type="dxa"/>
                  <w:noWrap w:val="0"/>
                  <w:vAlign w:val="center"/>
                </w:tcPr>
                <w:p>
                  <w:pPr>
                    <w:widowControl/>
                    <w:snapToGrid w:val="0"/>
                    <w:spacing w:line="240" w:lineRule="auto"/>
                    <w:jc w:val="center"/>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0.</w:t>
                  </w:r>
                  <w:r>
                    <w:rPr>
                      <w:rFonts w:hint="eastAsia" w:cs="Times New Roman"/>
                      <w:sz w:val="21"/>
                      <w:szCs w:val="21"/>
                      <w:lang w:val="en-US" w:eastAsia="zh-CN"/>
                    </w:rPr>
                    <w:t>5</w:t>
                  </w:r>
                </w:p>
              </w:tc>
              <w:tc>
                <w:tcPr>
                  <w:tcW w:w="1051" w:type="dxa"/>
                  <w:noWrap w:val="0"/>
                  <w:vAlign w:val="center"/>
                </w:tcPr>
                <w:p>
                  <w:pPr>
                    <w:widowControl/>
                    <w:snapToGrid w:val="0"/>
                    <w:spacing w:line="240" w:lineRule="auto"/>
                    <w:jc w:val="center"/>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1</w:t>
                  </w:r>
                  <w:r>
                    <w:rPr>
                      <w:rFonts w:hint="eastAsia" w:cs="Times New Roman"/>
                      <w:sz w:val="21"/>
                      <w:szCs w:val="21"/>
                      <w:lang w:val="en-US" w:eastAsia="zh-CN"/>
                    </w:rPr>
                    <w:t>8</w:t>
                  </w:r>
                </w:p>
              </w:tc>
              <w:tc>
                <w:tcPr>
                  <w:tcW w:w="870" w:type="dxa"/>
                  <w:noWrap w:val="0"/>
                  <w:vAlign w:val="center"/>
                </w:tcPr>
                <w:p>
                  <w:pPr>
                    <w:widowControl/>
                    <w:snapToGrid w:val="0"/>
                    <w:spacing w:line="240" w:lineRule="auto"/>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39</w:t>
                  </w:r>
                </w:p>
              </w:tc>
              <w:tc>
                <w:tcPr>
                  <w:tcW w:w="1065" w:type="dxa"/>
                  <w:noWrap w:val="0"/>
                  <w:vAlign w:val="center"/>
                </w:tcPr>
                <w:p>
                  <w:pPr>
                    <w:widowControl/>
                    <w:snapToGrid w:val="0"/>
                    <w:spacing w:line="240" w:lineRule="auto"/>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2400</w:t>
                  </w:r>
                </w:p>
              </w:tc>
              <w:tc>
                <w:tcPr>
                  <w:tcW w:w="885"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正常</w:t>
                  </w:r>
                </w:p>
              </w:tc>
              <w:tc>
                <w:tcPr>
                  <w:tcW w:w="1591" w:type="dxa"/>
                  <w:noWrap w:val="0"/>
                  <w:vAlign w:val="center"/>
                </w:tcPr>
                <w:p>
                  <w:pPr>
                    <w:widowControl/>
                    <w:snapToGrid w:val="0"/>
                    <w:spacing w:line="240" w:lineRule="auto"/>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0.056</w:t>
                  </w:r>
                </w:p>
              </w:tc>
            </w:tr>
          </w:tbl>
          <w:p>
            <w:pPr>
              <w:widowControl/>
              <w:autoSpaceDE w:val="0"/>
              <w:autoSpaceDN w:val="0"/>
              <w:spacing w:before="156" w:beforeLines="50" w:line="240" w:lineRule="auto"/>
              <w:jc w:val="center"/>
              <w:rPr>
                <w:rFonts w:hint="default" w:ascii="Times New Roman" w:hAnsi="Times New Roman" w:eastAsia="宋体" w:cs="Times New Roman"/>
              </w:rPr>
            </w:pPr>
            <w:r>
              <w:rPr>
                <w:rFonts w:hint="default" w:ascii="Times New Roman" w:hAnsi="Times New Roman" w:eastAsia="宋体" w:cs="Times New Roman"/>
                <w:b/>
                <w:bCs/>
                <w:sz w:val="21"/>
                <w:szCs w:val="21"/>
              </w:rPr>
              <w:t>表7-</w:t>
            </w:r>
            <w:r>
              <w:rPr>
                <w:rFonts w:hint="eastAsia" w:ascii="Times New Roman" w:hAnsi="Times New Roman" w:eastAsia="宋体" w:cs="Times New Roman"/>
                <w:b/>
                <w:bCs/>
                <w:sz w:val="21"/>
                <w:szCs w:val="21"/>
                <w:lang w:val="en-US" w:eastAsia="zh-CN"/>
              </w:rPr>
              <w:t>3</w:t>
            </w:r>
            <w:r>
              <w:rPr>
                <w:rFonts w:hint="default" w:ascii="Times New Roman" w:hAnsi="Times New Roman" w:eastAsia="宋体" w:cs="Times New Roman"/>
                <w:b/>
                <w:bCs/>
                <w:sz w:val="21"/>
                <w:szCs w:val="21"/>
              </w:rPr>
              <w:t>项目无组织废气污染源强参数表</w:t>
            </w:r>
          </w:p>
          <w:tbl>
            <w:tblPr>
              <w:tblStyle w:val="26"/>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251"/>
              <w:gridCol w:w="1171"/>
              <w:gridCol w:w="1171"/>
              <w:gridCol w:w="1171"/>
              <w:gridCol w:w="1171"/>
              <w:gridCol w:w="912"/>
              <w:gridCol w:w="1287"/>
              <w:gridCol w:w="128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1251" w:type="dxa"/>
                  <w:vMerge w:val="restart"/>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面源名称</w:t>
                  </w:r>
                </w:p>
              </w:tc>
              <w:tc>
                <w:tcPr>
                  <w:tcW w:w="1171" w:type="dxa"/>
                  <w:vMerge w:val="restart"/>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面源长度</w:t>
                  </w:r>
                </w:p>
              </w:tc>
              <w:tc>
                <w:tcPr>
                  <w:tcW w:w="1171" w:type="dxa"/>
                  <w:vMerge w:val="restart"/>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面源宽度</w:t>
                  </w:r>
                </w:p>
              </w:tc>
              <w:tc>
                <w:tcPr>
                  <w:tcW w:w="1171" w:type="dxa"/>
                  <w:vMerge w:val="restart"/>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面源初始</w:t>
                  </w:r>
                </w:p>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排放高度</w:t>
                  </w:r>
                </w:p>
              </w:tc>
              <w:tc>
                <w:tcPr>
                  <w:tcW w:w="1171" w:type="dxa"/>
                  <w:vMerge w:val="restart"/>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年排放</w:t>
                  </w:r>
                </w:p>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小时</w:t>
                  </w:r>
                </w:p>
              </w:tc>
              <w:tc>
                <w:tcPr>
                  <w:tcW w:w="912" w:type="dxa"/>
                  <w:vMerge w:val="restart"/>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w:t>
                  </w:r>
                </w:p>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工况</w:t>
                  </w:r>
                </w:p>
              </w:tc>
              <w:tc>
                <w:tcPr>
                  <w:tcW w:w="2575" w:type="dxa"/>
                  <w:gridSpan w:val="2"/>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污染物排放速率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1251" w:type="dxa"/>
                  <w:vMerge w:val="continue"/>
                  <w:noWrap w:val="0"/>
                  <w:vAlign w:val="center"/>
                </w:tcPr>
                <w:p>
                  <w:pPr>
                    <w:widowControl/>
                    <w:snapToGrid w:val="0"/>
                    <w:spacing w:line="240" w:lineRule="auto"/>
                    <w:jc w:val="center"/>
                    <w:rPr>
                      <w:rFonts w:hint="default" w:ascii="Times New Roman" w:hAnsi="Times New Roman" w:eastAsia="宋体" w:cs="Times New Roman"/>
                      <w:sz w:val="21"/>
                      <w:szCs w:val="21"/>
                    </w:rPr>
                  </w:pPr>
                </w:p>
              </w:tc>
              <w:tc>
                <w:tcPr>
                  <w:tcW w:w="1171" w:type="dxa"/>
                  <w:vMerge w:val="continue"/>
                  <w:noWrap w:val="0"/>
                  <w:vAlign w:val="center"/>
                </w:tcPr>
                <w:p>
                  <w:pPr>
                    <w:widowControl/>
                    <w:snapToGrid w:val="0"/>
                    <w:spacing w:line="240" w:lineRule="auto"/>
                    <w:jc w:val="center"/>
                    <w:rPr>
                      <w:rFonts w:hint="default" w:ascii="Times New Roman" w:hAnsi="Times New Roman" w:eastAsia="宋体" w:cs="Times New Roman"/>
                      <w:sz w:val="21"/>
                      <w:szCs w:val="21"/>
                    </w:rPr>
                  </w:pPr>
                </w:p>
              </w:tc>
              <w:tc>
                <w:tcPr>
                  <w:tcW w:w="1171" w:type="dxa"/>
                  <w:vMerge w:val="continue"/>
                  <w:noWrap w:val="0"/>
                  <w:vAlign w:val="center"/>
                </w:tcPr>
                <w:p>
                  <w:pPr>
                    <w:widowControl/>
                    <w:snapToGrid w:val="0"/>
                    <w:spacing w:line="240" w:lineRule="auto"/>
                    <w:jc w:val="center"/>
                    <w:rPr>
                      <w:rFonts w:hint="default" w:ascii="Times New Roman" w:hAnsi="Times New Roman" w:eastAsia="宋体" w:cs="Times New Roman"/>
                      <w:sz w:val="21"/>
                      <w:szCs w:val="21"/>
                    </w:rPr>
                  </w:pPr>
                </w:p>
              </w:tc>
              <w:tc>
                <w:tcPr>
                  <w:tcW w:w="1171" w:type="dxa"/>
                  <w:vMerge w:val="continue"/>
                  <w:noWrap w:val="0"/>
                  <w:vAlign w:val="center"/>
                </w:tcPr>
                <w:p>
                  <w:pPr>
                    <w:widowControl/>
                    <w:snapToGrid w:val="0"/>
                    <w:spacing w:line="240" w:lineRule="auto"/>
                    <w:jc w:val="center"/>
                    <w:rPr>
                      <w:rFonts w:hint="default" w:ascii="Times New Roman" w:hAnsi="Times New Roman" w:eastAsia="宋体" w:cs="Times New Roman"/>
                      <w:sz w:val="21"/>
                      <w:szCs w:val="21"/>
                    </w:rPr>
                  </w:pPr>
                </w:p>
              </w:tc>
              <w:tc>
                <w:tcPr>
                  <w:tcW w:w="1171" w:type="dxa"/>
                  <w:vMerge w:val="continue"/>
                  <w:noWrap w:val="0"/>
                  <w:vAlign w:val="center"/>
                </w:tcPr>
                <w:p>
                  <w:pPr>
                    <w:widowControl/>
                    <w:snapToGrid w:val="0"/>
                    <w:spacing w:line="240" w:lineRule="auto"/>
                    <w:jc w:val="center"/>
                    <w:rPr>
                      <w:rFonts w:hint="default" w:ascii="Times New Roman" w:hAnsi="Times New Roman" w:eastAsia="宋体" w:cs="Times New Roman"/>
                      <w:sz w:val="21"/>
                      <w:szCs w:val="21"/>
                    </w:rPr>
                  </w:pPr>
                </w:p>
              </w:tc>
              <w:tc>
                <w:tcPr>
                  <w:tcW w:w="912" w:type="dxa"/>
                  <w:vMerge w:val="continue"/>
                  <w:noWrap w:val="0"/>
                  <w:vAlign w:val="center"/>
                </w:tcPr>
                <w:p>
                  <w:pPr>
                    <w:widowControl/>
                    <w:snapToGrid w:val="0"/>
                    <w:spacing w:line="240" w:lineRule="auto"/>
                    <w:jc w:val="center"/>
                    <w:rPr>
                      <w:rFonts w:hint="default" w:ascii="Times New Roman" w:hAnsi="Times New Roman" w:eastAsia="宋体" w:cs="Times New Roman"/>
                      <w:sz w:val="21"/>
                      <w:szCs w:val="21"/>
                    </w:rPr>
                  </w:pPr>
                </w:p>
              </w:tc>
              <w:tc>
                <w:tcPr>
                  <w:tcW w:w="1287"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w:t>
                  </w:r>
                </w:p>
              </w:tc>
              <w:tc>
                <w:tcPr>
                  <w:tcW w:w="1288"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颗粒物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1251" w:type="dxa"/>
                  <w:vMerge w:val="continue"/>
                  <w:noWrap w:val="0"/>
                  <w:vAlign w:val="center"/>
                </w:tcPr>
                <w:p>
                  <w:pPr>
                    <w:widowControl/>
                    <w:snapToGrid w:val="0"/>
                    <w:spacing w:line="240" w:lineRule="auto"/>
                    <w:jc w:val="center"/>
                    <w:rPr>
                      <w:rFonts w:hint="default" w:ascii="Times New Roman" w:hAnsi="Times New Roman" w:eastAsia="宋体" w:cs="Times New Roman"/>
                      <w:sz w:val="21"/>
                      <w:szCs w:val="21"/>
                    </w:rPr>
                  </w:pPr>
                </w:p>
              </w:tc>
              <w:tc>
                <w:tcPr>
                  <w:tcW w:w="1171"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w:t>
                  </w:r>
                </w:p>
              </w:tc>
              <w:tc>
                <w:tcPr>
                  <w:tcW w:w="1171"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w:t>
                  </w:r>
                </w:p>
              </w:tc>
              <w:tc>
                <w:tcPr>
                  <w:tcW w:w="1171"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w:t>
                  </w:r>
                </w:p>
              </w:tc>
              <w:tc>
                <w:tcPr>
                  <w:tcW w:w="1171"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h</w:t>
                  </w:r>
                </w:p>
              </w:tc>
              <w:tc>
                <w:tcPr>
                  <w:tcW w:w="912"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87"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kg/h</w:t>
                  </w:r>
                </w:p>
              </w:tc>
              <w:tc>
                <w:tcPr>
                  <w:tcW w:w="1288"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kg/h</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1251"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车间</w:t>
                  </w:r>
                </w:p>
              </w:tc>
              <w:tc>
                <w:tcPr>
                  <w:tcW w:w="1171" w:type="dxa"/>
                  <w:noWrap w:val="0"/>
                  <w:vAlign w:val="center"/>
                </w:tcPr>
                <w:p>
                  <w:pPr>
                    <w:widowControl/>
                    <w:snapToGrid w:val="0"/>
                    <w:spacing w:line="240" w:lineRule="auto"/>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52</w:t>
                  </w:r>
                </w:p>
              </w:tc>
              <w:tc>
                <w:tcPr>
                  <w:tcW w:w="1171" w:type="dxa"/>
                  <w:noWrap w:val="0"/>
                  <w:vAlign w:val="center"/>
                </w:tcPr>
                <w:p>
                  <w:pPr>
                    <w:widowControl/>
                    <w:snapToGrid w:val="0"/>
                    <w:spacing w:line="240" w:lineRule="auto"/>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26</w:t>
                  </w:r>
                </w:p>
              </w:tc>
              <w:tc>
                <w:tcPr>
                  <w:tcW w:w="1171"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4.9</w:t>
                  </w:r>
                </w:p>
              </w:tc>
              <w:tc>
                <w:tcPr>
                  <w:tcW w:w="1171" w:type="dxa"/>
                  <w:noWrap w:val="0"/>
                  <w:vAlign w:val="center"/>
                </w:tcPr>
                <w:p>
                  <w:pPr>
                    <w:widowControl/>
                    <w:snapToGrid w:val="0"/>
                    <w:spacing w:line="240" w:lineRule="auto"/>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2400</w:t>
                  </w:r>
                </w:p>
              </w:tc>
              <w:tc>
                <w:tcPr>
                  <w:tcW w:w="912"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正常</w:t>
                  </w:r>
                </w:p>
              </w:tc>
              <w:tc>
                <w:tcPr>
                  <w:tcW w:w="1287" w:type="dxa"/>
                  <w:noWrap w:val="0"/>
                  <w:vAlign w:val="center"/>
                </w:tcPr>
                <w:p>
                  <w:pPr>
                    <w:widowControl/>
                    <w:snapToGrid w:val="0"/>
                    <w:spacing w:line="240" w:lineRule="auto"/>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0.0625</w:t>
                  </w:r>
                </w:p>
              </w:tc>
              <w:tc>
                <w:tcPr>
                  <w:tcW w:w="1288" w:type="dxa"/>
                  <w:noWrap w:val="0"/>
                  <w:vAlign w:val="center"/>
                </w:tcPr>
                <w:p>
                  <w:pPr>
                    <w:widowControl/>
                    <w:snapToGrid w:val="0"/>
                    <w:spacing w:line="240" w:lineRule="auto"/>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0.0136</w:t>
                  </w:r>
                </w:p>
              </w:tc>
            </w:tr>
          </w:tbl>
          <w:p>
            <w:pPr>
              <w:widowControl/>
              <w:spacing w:before="93" w:beforeLines="30"/>
              <w:ind w:firstLine="480" w:firstLineChars="200"/>
              <w:jc w:val="left"/>
              <w:rPr>
                <w:rFonts w:hint="default" w:ascii="Times New Roman" w:hAnsi="Times New Roman" w:eastAsia="宋体" w:cs="Times New Roman"/>
              </w:rPr>
            </w:pPr>
            <w:r>
              <w:rPr>
                <w:rFonts w:hint="default" w:ascii="Times New Roman" w:hAnsi="Times New Roman" w:eastAsia="宋体" w:cs="Times New Roman"/>
              </w:rPr>
              <w:t>（3）估算结果及评价等级判定</w:t>
            </w:r>
          </w:p>
          <w:p>
            <w:pPr>
              <w:pStyle w:val="2"/>
              <w:ind w:firstLine="480"/>
              <w:rPr>
                <w:rFonts w:hint="default" w:ascii="Times New Roman" w:hAnsi="Times New Roman" w:eastAsia="宋体" w:cs="Times New Roman"/>
              </w:rPr>
            </w:pPr>
            <w:r>
              <w:rPr>
                <w:rFonts w:hint="default" w:ascii="Times New Roman" w:hAnsi="Times New Roman" w:eastAsia="宋体" w:cs="Times New Roman"/>
              </w:rPr>
              <w:t>采用《环境影响评价技术导则大气环境》(HJ2.2-2018) AERSCREEN面源、点源估算模式预测生产车间无组织排放、有组织排放最大落地浓度对下风向大气环境的影响，预测结果如下所示。Pmax代表最大地面空气质量浓度占标率，如污染物数大于1，取P值中最大者Pmax。同一项目有多个污染源（两个及以上，下同）时，则按各污染源分别确定评价等级，并取评价等级最高者作为项目的评价等级。</w:t>
            </w:r>
          </w:p>
          <w:p>
            <w:pPr>
              <w:widowControl/>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表7-</w:t>
            </w:r>
            <w:r>
              <w:rPr>
                <w:rFonts w:hint="eastAsia" w:ascii="Times New Roman" w:hAnsi="Times New Roman" w:eastAsia="宋体" w:cs="Times New Roman"/>
                <w:b/>
                <w:bCs/>
                <w:sz w:val="21"/>
                <w:szCs w:val="21"/>
                <w:lang w:val="en-US" w:eastAsia="zh-CN"/>
              </w:rPr>
              <w:t>4</w:t>
            </w:r>
            <w:r>
              <w:rPr>
                <w:rFonts w:hint="default" w:ascii="Times New Roman" w:hAnsi="Times New Roman" w:eastAsia="宋体" w:cs="Times New Roman"/>
                <w:b/>
                <w:bCs/>
                <w:sz w:val="21"/>
                <w:szCs w:val="21"/>
              </w:rPr>
              <w:t>建设项目主要污染源估算模型计算结果表</w:t>
            </w:r>
          </w:p>
          <w:tbl>
            <w:tblPr>
              <w:tblStyle w:val="26"/>
              <w:tblW w:w="4996" w:type="pct"/>
              <w:tblInd w:w="0" w:type="dxa"/>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1270"/>
              <w:gridCol w:w="1356"/>
              <w:gridCol w:w="1358"/>
              <w:gridCol w:w="1356"/>
              <w:gridCol w:w="1356"/>
              <w:gridCol w:w="2"/>
              <w:gridCol w:w="1354"/>
              <w:gridCol w:w="1362"/>
            </w:tblGrid>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75" w:type="pct"/>
                  <w:vMerge w:val="restart"/>
                  <w:tcBorders>
                    <w:top w:val="single" w:color="auto" w:sz="12" w:space="0"/>
                  </w:tcBorders>
                  <w:noWrap w:val="0"/>
                  <w:tcMar>
                    <w:left w:w="11" w:type="dxa"/>
                    <w:right w:w="11" w:type="dxa"/>
                  </w:tcMar>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下风向距离/m</w:t>
                  </w:r>
                </w:p>
              </w:tc>
              <w:tc>
                <w:tcPr>
                  <w:tcW w:w="1441" w:type="pct"/>
                  <w:gridSpan w:val="2"/>
                  <w:tcBorders>
                    <w:top w:val="single" w:color="auto" w:sz="12" w:space="0"/>
                    <w:right w:val="single" w:color="auto" w:sz="4" w:space="0"/>
                  </w:tcBorders>
                  <w:noWrap w:val="0"/>
                  <w:tcMar>
                    <w:left w:w="11" w:type="dxa"/>
                    <w:right w:w="11" w:type="dxa"/>
                  </w:tcMar>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cs="Times New Roman"/>
                      <w:sz w:val="21"/>
                      <w:szCs w:val="21"/>
                      <w:lang w:val="en-US" w:eastAsia="zh-CN"/>
                    </w:rPr>
                    <w:t>P1</w:t>
                  </w:r>
                  <w:r>
                    <w:rPr>
                      <w:rFonts w:hint="default" w:ascii="Times New Roman" w:hAnsi="Times New Roman" w:eastAsia="宋体" w:cs="Times New Roman"/>
                      <w:sz w:val="21"/>
                      <w:szCs w:val="21"/>
                    </w:rPr>
                    <w:t>（非甲烷总烃）</w:t>
                  </w:r>
                </w:p>
              </w:tc>
              <w:tc>
                <w:tcPr>
                  <w:tcW w:w="1441" w:type="pct"/>
                  <w:gridSpan w:val="3"/>
                  <w:tcBorders>
                    <w:top w:val="single" w:color="auto" w:sz="12" w:space="0"/>
                    <w:right w:val="single" w:color="auto" w:sz="4" w:space="0"/>
                  </w:tcBorders>
                  <w:noWrap w:val="0"/>
                  <w:vAlign w:val="center"/>
                </w:tcPr>
                <w:p>
                  <w:pPr>
                    <w:widowControl/>
                    <w:snapToGrid w:val="0"/>
                    <w:spacing w:line="240" w:lineRule="auto"/>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车间无组织排放</w:t>
                  </w:r>
                </w:p>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w:t>
                  </w:r>
                </w:p>
              </w:tc>
              <w:tc>
                <w:tcPr>
                  <w:tcW w:w="1442" w:type="pct"/>
                  <w:gridSpan w:val="2"/>
                  <w:tcBorders>
                    <w:top w:val="single" w:color="auto" w:sz="12" w:space="0"/>
                    <w:left w:val="single" w:color="auto" w:sz="4" w:space="0"/>
                  </w:tcBorders>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cs="Times New Roman"/>
                      <w:sz w:val="21"/>
                      <w:szCs w:val="21"/>
                      <w:lang w:val="en-US" w:eastAsia="zh-CN"/>
                    </w:rPr>
                    <w:t>车间无组织排放</w:t>
                  </w:r>
                </w:p>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（颗粒物）</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75" w:type="pct"/>
                  <w:vMerge w:val="continue"/>
                  <w:tcBorders>
                    <w:bottom w:val="single" w:color="auto" w:sz="12" w:space="0"/>
                  </w:tcBorders>
                  <w:noWrap w:val="0"/>
                  <w:tcMar>
                    <w:left w:w="11" w:type="dxa"/>
                    <w:right w:w="11" w:type="dxa"/>
                  </w:tcMar>
                  <w:vAlign w:val="center"/>
                </w:tcPr>
                <w:p>
                  <w:pPr>
                    <w:widowControl/>
                    <w:snapToGrid w:val="0"/>
                    <w:spacing w:line="240" w:lineRule="auto"/>
                    <w:jc w:val="center"/>
                    <w:rPr>
                      <w:rFonts w:hint="default" w:ascii="Times New Roman" w:hAnsi="Times New Roman" w:eastAsia="宋体" w:cs="Times New Roman"/>
                      <w:sz w:val="21"/>
                      <w:szCs w:val="21"/>
                    </w:rPr>
                  </w:pPr>
                </w:p>
              </w:tc>
              <w:tc>
                <w:tcPr>
                  <w:tcW w:w="720" w:type="pct"/>
                  <w:tcBorders>
                    <w:bottom w:val="single" w:color="auto" w:sz="12" w:space="0"/>
                    <w:right w:val="single" w:color="auto" w:sz="4" w:space="0"/>
                  </w:tcBorders>
                  <w:noWrap w:val="0"/>
                  <w:tcMar>
                    <w:left w:w="11" w:type="dxa"/>
                    <w:right w:w="11" w:type="dxa"/>
                  </w:tcMar>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预测浓度（μg/m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w:t>
                  </w:r>
                </w:p>
              </w:tc>
              <w:tc>
                <w:tcPr>
                  <w:tcW w:w="721" w:type="pct"/>
                  <w:tcBorders>
                    <w:bottom w:val="single" w:color="auto" w:sz="12" w:space="0"/>
                    <w:right w:val="single" w:color="auto" w:sz="4" w:space="0"/>
                  </w:tcBorders>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占标率（%）</w:t>
                  </w:r>
                </w:p>
              </w:tc>
              <w:tc>
                <w:tcPr>
                  <w:tcW w:w="720" w:type="pct"/>
                  <w:tcBorders>
                    <w:bottom w:val="single" w:color="auto" w:sz="12" w:space="0"/>
                    <w:right w:val="single" w:color="auto" w:sz="4" w:space="0"/>
                  </w:tcBorders>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预测浓度（μg/m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w:t>
                  </w:r>
                </w:p>
              </w:tc>
              <w:tc>
                <w:tcPr>
                  <w:tcW w:w="720" w:type="pct"/>
                  <w:tcBorders>
                    <w:bottom w:val="single" w:color="auto" w:sz="12" w:space="0"/>
                    <w:right w:val="single" w:color="auto" w:sz="4" w:space="0"/>
                  </w:tcBorders>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占标率（%）</w:t>
                  </w:r>
                </w:p>
              </w:tc>
              <w:tc>
                <w:tcPr>
                  <w:tcW w:w="720" w:type="pct"/>
                  <w:gridSpan w:val="2"/>
                  <w:tcBorders>
                    <w:bottom w:val="single" w:color="auto" w:sz="12" w:space="0"/>
                    <w:right w:val="single" w:color="auto" w:sz="4" w:space="0"/>
                  </w:tcBorders>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预测浓度（μg/m3）</w:t>
                  </w:r>
                </w:p>
              </w:tc>
              <w:tc>
                <w:tcPr>
                  <w:tcW w:w="722" w:type="pct"/>
                  <w:tcBorders>
                    <w:left w:val="single" w:color="auto" w:sz="4" w:space="0"/>
                    <w:bottom w:val="single" w:color="auto" w:sz="12" w:space="0"/>
                  </w:tcBorders>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占标率（%）</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75" w:type="pct"/>
                  <w:tcBorders>
                    <w:top w:val="single" w:color="auto" w:sz="12" w:space="0"/>
                    <w:bottom w:val="single" w:color="auto" w:sz="4" w:space="0"/>
                  </w:tcBorders>
                  <w:noWrap w:val="0"/>
                  <w:tcMar>
                    <w:left w:w="11" w:type="dxa"/>
                    <w:right w:w="11" w:type="dxa"/>
                  </w:tcMar>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50</w:t>
                  </w:r>
                </w:p>
              </w:tc>
              <w:tc>
                <w:tcPr>
                  <w:tcW w:w="720" w:type="pct"/>
                  <w:tcBorders>
                    <w:top w:val="single" w:color="auto" w:sz="12" w:space="0"/>
                    <w:bottom w:val="single" w:color="auto" w:sz="4" w:space="0"/>
                    <w:right w:val="single" w:color="auto" w:sz="4" w:space="0"/>
                  </w:tcBorders>
                  <w:noWrap w:val="0"/>
                  <w:tcMar>
                    <w:left w:w="11" w:type="dxa"/>
                    <w:right w:w="11" w:type="dxa"/>
                  </w:tcMar>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6.0619</w:t>
                  </w:r>
                </w:p>
              </w:tc>
              <w:tc>
                <w:tcPr>
                  <w:tcW w:w="721" w:type="pct"/>
                  <w:tcBorders>
                    <w:top w:val="single" w:color="auto" w:sz="12"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0.3031</w:t>
                  </w:r>
                </w:p>
              </w:tc>
              <w:tc>
                <w:tcPr>
                  <w:tcW w:w="720" w:type="pct"/>
                  <w:tcBorders>
                    <w:top w:val="single" w:color="auto" w:sz="12"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21.6990</w:t>
                  </w:r>
                </w:p>
              </w:tc>
              <w:tc>
                <w:tcPr>
                  <w:tcW w:w="720" w:type="pct"/>
                  <w:tcBorders>
                    <w:top w:val="single" w:color="auto" w:sz="12"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1.0850</w:t>
                  </w:r>
                </w:p>
              </w:tc>
              <w:tc>
                <w:tcPr>
                  <w:tcW w:w="720" w:type="pct"/>
                  <w:gridSpan w:val="2"/>
                  <w:tcBorders>
                    <w:top w:val="single" w:color="auto" w:sz="12" w:space="0"/>
                    <w:left w:val="single" w:color="auto" w:sz="4" w:space="0"/>
                    <w:bottom w:val="single" w:color="auto" w:sz="4" w:space="0"/>
                  </w:tcBorders>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4.7217</w:t>
                  </w:r>
                </w:p>
              </w:tc>
              <w:tc>
                <w:tcPr>
                  <w:tcW w:w="722" w:type="pct"/>
                  <w:tcBorders>
                    <w:top w:val="single" w:color="auto" w:sz="12" w:space="0"/>
                    <w:bottom w:val="single" w:color="auto" w:sz="4" w:space="0"/>
                  </w:tcBorders>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0.5246</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75" w:type="pct"/>
                  <w:tcBorders>
                    <w:top w:val="single" w:color="auto" w:sz="4" w:space="0"/>
                    <w:bottom w:val="single" w:color="auto" w:sz="4" w:space="0"/>
                  </w:tcBorders>
                  <w:noWrap w:val="0"/>
                  <w:tcMar>
                    <w:left w:w="11" w:type="dxa"/>
                    <w:right w:w="11" w:type="dxa"/>
                  </w:tcMar>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100</w:t>
                  </w:r>
                </w:p>
              </w:tc>
              <w:tc>
                <w:tcPr>
                  <w:tcW w:w="720" w:type="pct"/>
                  <w:tcBorders>
                    <w:top w:val="single" w:color="auto" w:sz="4" w:space="0"/>
                    <w:bottom w:val="single" w:color="auto" w:sz="4" w:space="0"/>
                    <w:right w:val="single" w:color="auto" w:sz="4" w:space="0"/>
                  </w:tcBorders>
                  <w:noWrap w:val="0"/>
                  <w:tcMar>
                    <w:left w:w="11" w:type="dxa"/>
                    <w:right w:w="11" w:type="dxa"/>
                  </w:tcMar>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6.0203</w:t>
                  </w:r>
                </w:p>
              </w:tc>
              <w:tc>
                <w:tcPr>
                  <w:tcW w:w="721" w:type="pct"/>
                  <w:tcBorders>
                    <w:top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0.3010</w:t>
                  </w:r>
                </w:p>
              </w:tc>
              <w:tc>
                <w:tcPr>
                  <w:tcW w:w="720" w:type="pct"/>
                  <w:tcBorders>
                    <w:top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13.5570</w:t>
                  </w:r>
                </w:p>
              </w:tc>
              <w:tc>
                <w:tcPr>
                  <w:tcW w:w="720"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0.6778</w:t>
                  </w:r>
                </w:p>
              </w:tc>
              <w:tc>
                <w:tcPr>
                  <w:tcW w:w="720" w:type="pct"/>
                  <w:gridSpan w:val="2"/>
                  <w:tcBorders>
                    <w:top w:val="single" w:color="auto" w:sz="4" w:space="0"/>
                    <w:left w:val="single" w:color="auto" w:sz="4" w:space="0"/>
                    <w:bottom w:val="single" w:color="auto" w:sz="4" w:space="0"/>
                  </w:tcBorders>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2.9500</w:t>
                  </w:r>
                </w:p>
              </w:tc>
              <w:tc>
                <w:tcPr>
                  <w:tcW w:w="722" w:type="pct"/>
                  <w:tcBorders>
                    <w:top w:val="single" w:color="auto" w:sz="4" w:space="0"/>
                    <w:bottom w:val="single" w:color="auto" w:sz="4" w:space="0"/>
                  </w:tcBorders>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0.3278</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75" w:type="pct"/>
                  <w:tcBorders>
                    <w:top w:val="single" w:color="auto" w:sz="4" w:space="0"/>
                    <w:bottom w:val="single" w:color="auto" w:sz="4" w:space="0"/>
                  </w:tcBorders>
                  <w:noWrap w:val="0"/>
                  <w:tcMar>
                    <w:left w:w="11" w:type="dxa"/>
                    <w:right w:w="11" w:type="dxa"/>
                  </w:tcMar>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200</w:t>
                  </w:r>
                </w:p>
              </w:tc>
              <w:tc>
                <w:tcPr>
                  <w:tcW w:w="720" w:type="pct"/>
                  <w:tcBorders>
                    <w:top w:val="single" w:color="auto" w:sz="4" w:space="0"/>
                    <w:bottom w:val="single" w:color="auto" w:sz="4" w:space="0"/>
                    <w:right w:val="single" w:color="auto" w:sz="4" w:space="0"/>
                  </w:tcBorders>
                  <w:noWrap w:val="0"/>
                  <w:tcMar>
                    <w:left w:w="11" w:type="dxa"/>
                    <w:right w:w="11" w:type="dxa"/>
                  </w:tcMar>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3.5968</w:t>
                  </w:r>
                </w:p>
              </w:tc>
              <w:tc>
                <w:tcPr>
                  <w:tcW w:w="721" w:type="pct"/>
                  <w:tcBorders>
                    <w:top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0.1798</w:t>
                  </w:r>
                </w:p>
              </w:tc>
              <w:tc>
                <w:tcPr>
                  <w:tcW w:w="720" w:type="pct"/>
                  <w:tcBorders>
                    <w:top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6.3875</w:t>
                  </w:r>
                </w:p>
              </w:tc>
              <w:tc>
                <w:tcPr>
                  <w:tcW w:w="720"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0.3194</w:t>
                  </w:r>
                </w:p>
              </w:tc>
              <w:tc>
                <w:tcPr>
                  <w:tcW w:w="720" w:type="pct"/>
                  <w:gridSpan w:val="2"/>
                  <w:tcBorders>
                    <w:top w:val="single" w:color="auto" w:sz="4" w:space="0"/>
                    <w:left w:val="single" w:color="auto" w:sz="4" w:space="0"/>
                    <w:bottom w:val="single" w:color="auto" w:sz="4" w:space="0"/>
                  </w:tcBorders>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1.3899</w:t>
                  </w:r>
                </w:p>
              </w:tc>
              <w:tc>
                <w:tcPr>
                  <w:tcW w:w="722" w:type="pct"/>
                  <w:tcBorders>
                    <w:top w:val="single" w:color="auto" w:sz="4" w:space="0"/>
                    <w:bottom w:val="single" w:color="auto" w:sz="4" w:space="0"/>
                  </w:tcBorders>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0.1544</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75" w:type="pct"/>
                  <w:tcBorders>
                    <w:top w:val="single" w:color="auto" w:sz="4" w:space="0"/>
                    <w:bottom w:val="single" w:color="auto" w:sz="4" w:space="0"/>
                  </w:tcBorders>
                  <w:noWrap w:val="0"/>
                  <w:tcMar>
                    <w:left w:w="11" w:type="dxa"/>
                    <w:right w:w="11" w:type="dxa"/>
                  </w:tcMar>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300</w:t>
                  </w:r>
                </w:p>
              </w:tc>
              <w:tc>
                <w:tcPr>
                  <w:tcW w:w="720" w:type="pct"/>
                  <w:tcBorders>
                    <w:top w:val="single" w:color="auto" w:sz="4" w:space="0"/>
                    <w:bottom w:val="single" w:color="auto" w:sz="4" w:space="0"/>
                    <w:right w:val="single" w:color="auto" w:sz="4" w:space="0"/>
                  </w:tcBorders>
                  <w:noWrap w:val="0"/>
                  <w:tcMar>
                    <w:left w:w="11" w:type="dxa"/>
                    <w:right w:w="11" w:type="dxa"/>
                  </w:tcMar>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2.4926</w:t>
                  </w:r>
                </w:p>
              </w:tc>
              <w:tc>
                <w:tcPr>
                  <w:tcW w:w="721" w:type="pct"/>
                  <w:tcBorders>
                    <w:top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0.1246</w:t>
                  </w:r>
                </w:p>
              </w:tc>
              <w:tc>
                <w:tcPr>
                  <w:tcW w:w="720" w:type="pct"/>
                  <w:tcBorders>
                    <w:top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3.8623</w:t>
                  </w:r>
                </w:p>
              </w:tc>
              <w:tc>
                <w:tcPr>
                  <w:tcW w:w="720"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0.1931</w:t>
                  </w:r>
                </w:p>
              </w:tc>
              <w:tc>
                <w:tcPr>
                  <w:tcW w:w="720" w:type="pct"/>
                  <w:gridSpan w:val="2"/>
                  <w:tcBorders>
                    <w:top w:val="single" w:color="auto" w:sz="4" w:space="0"/>
                    <w:left w:val="single" w:color="auto" w:sz="4" w:space="0"/>
                    <w:bottom w:val="single" w:color="auto" w:sz="4" w:space="0"/>
                  </w:tcBorders>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0.8404</w:t>
                  </w:r>
                </w:p>
              </w:tc>
              <w:tc>
                <w:tcPr>
                  <w:tcW w:w="722" w:type="pct"/>
                  <w:tcBorders>
                    <w:top w:val="single" w:color="auto" w:sz="4" w:space="0"/>
                    <w:bottom w:val="single" w:color="auto" w:sz="4" w:space="0"/>
                  </w:tcBorders>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0.0934</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75" w:type="pct"/>
                  <w:tcBorders>
                    <w:top w:val="single" w:color="auto" w:sz="4" w:space="0"/>
                    <w:bottom w:val="single" w:color="auto" w:sz="4" w:space="0"/>
                  </w:tcBorders>
                  <w:noWrap w:val="0"/>
                  <w:tcMar>
                    <w:left w:w="11" w:type="dxa"/>
                    <w:right w:w="11" w:type="dxa"/>
                  </w:tcMar>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400</w:t>
                  </w:r>
                </w:p>
              </w:tc>
              <w:tc>
                <w:tcPr>
                  <w:tcW w:w="720" w:type="pct"/>
                  <w:tcBorders>
                    <w:top w:val="single" w:color="auto" w:sz="4" w:space="0"/>
                    <w:bottom w:val="single" w:color="auto" w:sz="4" w:space="0"/>
                    <w:right w:val="single" w:color="auto" w:sz="4" w:space="0"/>
                  </w:tcBorders>
                  <w:noWrap w:val="0"/>
                  <w:tcMar>
                    <w:left w:w="11" w:type="dxa"/>
                    <w:right w:w="11" w:type="dxa"/>
                  </w:tcMar>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1.8171</w:t>
                  </w:r>
                </w:p>
              </w:tc>
              <w:tc>
                <w:tcPr>
                  <w:tcW w:w="721" w:type="pct"/>
                  <w:tcBorders>
                    <w:top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0.0909</w:t>
                  </w:r>
                </w:p>
              </w:tc>
              <w:tc>
                <w:tcPr>
                  <w:tcW w:w="720" w:type="pct"/>
                  <w:tcBorders>
                    <w:top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2.6672</w:t>
                  </w:r>
                </w:p>
              </w:tc>
              <w:tc>
                <w:tcPr>
                  <w:tcW w:w="720"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0.1334</w:t>
                  </w:r>
                </w:p>
              </w:tc>
              <w:tc>
                <w:tcPr>
                  <w:tcW w:w="720" w:type="pct"/>
                  <w:gridSpan w:val="2"/>
                  <w:tcBorders>
                    <w:top w:val="single" w:color="auto" w:sz="4" w:space="0"/>
                    <w:left w:val="single" w:color="auto" w:sz="4" w:space="0"/>
                    <w:bottom w:val="single" w:color="auto" w:sz="4" w:space="0"/>
                  </w:tcBorders>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0.5804</w:t>
                  </w:r>
                </w:p>
              </w:tc>
              <w:tc>
                <w:tcPr>
                  <w:tcW w:w="722" w:type="pct"/>
                  <w:tcBorders>
                    <w:top w:val="single" w:color="auto" w:sz="4" w:space="0"/>
                    <w:bottom w:val="single" w:color="auto" w:sz="4" w:space="0"/>
                  </w:tcBorders>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0.0645</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75" w:type="pct"/>
                  <w:noWrap w:val="0"/>
                  <w:tcMar>
                    <w:left w:w="11" w:type="dxa"/>
                    <w:right w:w="11" w:type="dxa"/>
                  </w:tcMar>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500</w:t>
                  </w:r>
                </w:p>
              </w:tc>
              <w:tc>
                <w:tcPr>
                  <w:tcW w:w="720" w:type="pct"/>
                  <w:tcBorders>
                    <w:right w:val="single" w:color="auto" w:sz="4" w:space="0"/>
                  </w:tcBorders>
                  <w:noWrap w:val="0"/>
                  <w:tcMar>
                    <w:left w:w="11" w:type="dxa"/>
                    <w:right w:w="11" w:type="dxa"/>
                  </w:tcMar>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1.3928</w:t>
                  </w:r>
                </w:p>
              </w:tc>
              <w:tc>
                <w:tcPr>
                  <w:tcW w:w="721" w:type="pct"/>
                  <w:tcBorders>
                    <w:right w:val="single" w:color="auto" w:sz="4" w:space="0"/>
                  </w:tcBorders>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0.0696</w:t>
                  </w:r>
                </w:p>
              </w:tc>
              <w:tc>
                <w:tcPr>
                  <w:tcW w:w="720" w:type="pct"/>
                  <w:tcBorders>
                    <w:right w:val="single" w:color="auto" w:sz="4" w:space="0"/>
                  </w:tcBorders>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1.9945</w:t>
                  </w:r>
                </w:p>
              </w:tc>
              <w:tc>
                <w:tcPr>
                  <w:tcW w:w="720" w:type="pct"/>
                  <w:tcBorders>
                    <w:right w:val="single" w:color="auto" w:sz="4" w:space="0"/>
                  </w:tcBorders>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0.0997</w:t>
                  </w:r>
                </w:p>
              </w:tc>
              <w:tc>
                <w:tcPr>
                  <w:tcW w:w="720" w:type="pct"/>
                  <w:gridSpan w:val="2"/>
                  <w:tcBorders>
                    <w:right w:val="single" w:color="auto" w:sz="4" w:space="0"/>
                  </w:tcBorders>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0.4340</w:t>
                  </w:r>
                </w:p>
              </w:tc>
              <w:tc>
                <w:tcPr>
                  <w:tcW w:w="722" w:type="pct"/>
                  <w:tcBorders>
                    <w:left w:val="single" w:color="auto" w:sz="4" w:space="0"/>
                  </w:tcBorders>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0.0482</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75"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600</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1.1102</w:t>
                  </w:r>
                </w:p>
              </w:tc>
              <w:tc>
                <w:tcPr>
                  <w:tcW w:w="721"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0.0555</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1.5670</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0.0784</w:t>
                  </w:r>
                </w:p>
              </w:tc>
              <w:tc>
                <w:tcPr>
                  <w:tcW w:w="720" w:type="pct"/>
                  <w:gridSpan w:val="2"/>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0.3410</w:t>
                  </w:r>
                </w:p>
              </w:tc>
              <w:tc>
                <w:tcPr>
                  <w:tcW w:w="722"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0.0379</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75"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700</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0.9120</w:t>
                  </w:r>
                </w:p>
              </w:tc>
              <w:tc>
                <w:tcPr>
                  <w:tcW w:w="721"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0.0456</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1.2763</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0.0638</w:t>
                  </w:r>
                </w:p>
              </w:tc>
              <w:tc>
                <w:tcPr>
                  <w:tcW w:w="720" w:type="pct"/>
                  <w:gridSpan w:val="2"/>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0.2777</w:t>
                  </w:r>
                </w:p>
              </w:tc>
              <w:tc>
                <w:tcPr>
                  <w:tcW w:w="722"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0.0309</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75"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800</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0.7669</w:t>
                  </w:r>
                </w:p>
              </w:tc>
              <w:tc>
                <w:tcPr>
                  <w:tcW w:w="721"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0.0383</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1.0676</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0.0534</w:t>
                  </w:r>
                </w:p>
              </w:tc>
              <w:tc>
                <w:tcPr>
                  <w:tcW w:w="720" w:type="pct"/>
                  <w:gridSpan w:val="2"/>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0.2323</w:t>
                  </w:r>
                </w:p>
              </w:tc>
              <w:tc>
                <w:tcPr>
                  <w:tcW w:w="722"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0.0258</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75"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900</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0.6570</w:t>
                  </w:r>
                </w:p>
              </w:tc>
              <w:tc>
                <w:tcPr>
                  <w:tcW w:w="721"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0.0328</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0.9115</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0.0456</w:t>
                  </w:r>
                </w:p>
              </w:tc>
              <w:tc>
                <w:tcPr>
                  <w:tcW w:w="720" w:type="pct"/>
                  <w:gridSpan w:val="2"/>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0.1984</w:t>
                  </w:r>
                </w:p>
              </w:tc>
              <w:tc>
                <w:tcPr>
                  <w:tcW w:w="722"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0.0220</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75"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1000</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0.5713</w:t>
                  </w:r>
                </w:p>
              </w:tc>
              <w:tc>
                <w:tcPr>
                  <w:tcW w:w="721"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0.0286</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0.7912</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0.0396</w:t>
                  </w:r>
                </w:p>
              </w:tc>
              <w:tc>
                <w:tcPr>
                  <w:tcW w:w="720" w:type="pct"/>
                  <w:gridSpan w:val="2"/>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0.1722</w:t>
                  </w:r>
                </w:p>
              </w:tc>
              <w:tc>
                <w:tcPr>
                  <w:tcW w:w="722"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0.0191</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75"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1200</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0.4477</w:t>
                  </w:r>
                </w:p>
              </w:tc>
              <w:tc>
                <w:tcPr>
                  <w:tcW w:w="721"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0.0224</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0.6188</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0.0309</w:t>
                  </w:r>
                </w:p>
              </w:tc>
              <w:tc>
                <w:tcPr>
                  <w:tcW w:w="720" w:type="pct"/>
                  <w:gridSpan w:val="2"/>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0.1346</w:t>
                  </w:r>
                </w:p>
              </w:tc>
              <w:tc>
                <w:tcPr>
                  <w:tcW w:w="722"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0.0150</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75"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1400</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0.3784</w:t>
                  </w:r>
                </w:p>
              </w:tc>
              <w:tc>
                <w:tcPr>
                  <w:tcW w:w="721"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0.0189</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0.5024</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0.0251</w:t>
                  </w:r>
                </w:p>
              </w:tc>
              <w:tc>
                <w:tcPr>
                  <w:tcW w:w="720" w:type="pct"/>
                  <w:gridSpan w:val="2"/>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0.1093</w:t>
                  </w:r>
                </w:p>
              </w:tc>
              <w:tc>
                <w:tcPr>
                  <w:tcW w:w="722"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0.0121</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75"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1600</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0.3336</w:t>
                  </w:r>
                </w:p>
              </w:tc>
              <w:tc>
                <w:tcPr>
                  <w:tcW w:w="721"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0.0167</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0.4194</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0.0210</w:t>
                  </w:r>
                </w:p>
              </w:tc>
              <w:tc>
                <w:tcPr>
                  <w:tcW w:w="720" w:type="pct"/>
                  <w:gridSpan w:val="2"/>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0.0913</w:t>
                  </w:r>
                </w:p>
              </w:tc>
              <w:tc>
                <w:tcPr>
                  <w:tcW w:w="722"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0.0101</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75"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1800</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0.2964</w:t>
                  </w:r>
                </w:p>
              </w:tc>
              <w:tc>
                <w:tcPr>
                  <w:tcW w:w="721"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0.0148</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0.3575</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0.0179</w:t>
                  </w:r>
                </w:p>
              </w:tc>
              <w:tc>
                <w:tcPr>
                  <w:tcW w:w="720" w:type="pct"/>
                  <w:gridSpan w:val="2"/>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0.0778</w:t>
                  </w:r>
                </w:p>
              </w:tc>
              <w:tc>
                <w:tcPr>
                  <w:tcW w:w="722"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0.0086</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75"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2000</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0.2654</w:t>
                  </w:r>
                </w:p>
              </w:tc>
              <w:tc>
                <w:tcPr>
                  <w:tcW w:w="721"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0.0133</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0.3100</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0.0155</w:t>
                  </w:r>
                </w:p>
              </w:tc>
              <w:tc>
                <w:tcPr>
                  <w:tcW w:w="720" w:type="pct"/>
                  <w:gridSpan w:val="2"/>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0.0674</w:t>
                  </w:r>
                </w:p>
              </w:tc>
              <w:tc>
                <w:tcPr>
                  <w:tcW w:w="722"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0.0075</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75"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2500</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0.2072</w:t>
                  </w:r>
                </w:p>
              </w:tc>
              <w:tc>
                <w:tcPr>
                  <w:tcW w:w="721"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0.0104</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0.2291</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0.0115</w:t>
                  </w:r>
                </w:p>
              </w:tc>
              <w:tc>
                <w:tcPr>
                  <w:tcW w:w="720" w:type="pct"/>
                  <w:gridSpan w:val="2"/>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0.0498</w:t>
                  </w:r>
                </w:p>
              </w:tc>
              <w:tc>
                <w:tcPr>
                  <w:tcW w:w="722"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0.0055</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75"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3000</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0.1674</w:t>
                  </w:r>
                </w:p>
              </w:tc>
              <w:tc>
                <w:tcPr>
                  <w:tcW w:w="721"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0.0084</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0.1793</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0.0090</w:t>
                  </w:r>
                </w:p>
              </w:tc>
              <w:tc>
                <w:tcPr>
                  <w:tcW w:w="720" w:type="pct"/>
                  <w:gridSpan w:val="2"/>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0.0390</w:t>
                  </w:r>
                </w:p>
              </w:tc>
              <w:tc>
                <w:tcPr>
                  <w:tcW w:w="722"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0.0043</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75"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3500</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0.1389</w:t>
                  </w:r>
                </w:p>
              </w:tc>
              <w:tc>
                <w:tcPr>
                  <w:tcW w:w="721"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0.0069</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0.1464</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0.0073</w:t>
                  </w:r>
                </w:p>
              </w:tc>
              <w:tc>
                <w:tcPr>
                  <w:tcW w:w="720" w:type="pct"/>
                  <w:gridSpan w:val="2"/>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0.0318</w:t>
                  </w:r>
                </w:p>
              </w:tc>
              <w:tc>
                <w:tcPr>
                  <w:tcW w:w="722"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0.0035</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75"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4000</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0.1178</w:t>
                  </w:r>
                </w:p>
              </w:tc>
              <w:tc>
                <w:tcPr>
                  <w:tcW w:w="721"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0.0059</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0.1236</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0.0062</w:t>
                  </w:r>
                </w:p>
              </w:tc>
              <w:tc>
                <w:tcPr>
                  <w:tcW w:w="720" w:type="pct"/>
                  <w:gridSpan w:val="2"/>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0.0269</w:t>
                  </w:r>
                </w:p>
              </w:tc>
              <w:tc>
                <w:tcPr>
                  <w:tcW w:w="722"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0.0030</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75"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4500</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0.1015</w:t>
                  </w:r>
                </w:p>
              </w:tc>
              <w:tc>
                <w:tcPr>
                  <w:tcW w:w="721"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0.0051</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0.1075</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0.0054</w:t>
                  </w:r>
                </w:p>
              </w:tc>
              <w:tc>
                <w:tcPr>
                  <w:tcW w:w="720" w:type="pct"/>
                  <w:gridSpan w:val="2"/>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0.0234</w:t>
                  </w:r>
                </w:p>
              </w:tc>
              <w:tc>
                <w:tcPr>
                  <w:tcW w:w="722"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0.0026</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75"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5000</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0.0887</w:t>
                  </w:r>
                </w:p>
              </w:tc>
              <w:tc>
                <w:tcPr>
                  <w:tcW w:w="721"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0.0044</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0.0951</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0.0048</w:t>
                  </w:r>
                </w:p>
              </w:tc>
              <w:tc>
                <w:tcPr>
                  <w:tcW w:w="720" w:type="pct"/>
                  <w:gridSpan w:val="2"/>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0.0207</w:t>
                  </w:r>
                </w:p>
              </w:tc>
              <w:tc>
                <w:tcPr>
                  <w:tcW w:w="722"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0.0023</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75" w:type="pct"/>
                  <w:vAlign w:val="center"/>
                </w:tcPr>
                <w:p>
                  <w:pPr>
                    <w:spacing w:line="240" w:lineRule="auto"/>
                    <w:jc w:val="center"/>
                    <w:rPr>
                      <w:rFonts w:hint="default" w:ascii="Times New Roman" w:hAnsi="Times New Roman" w:eastAsia="宋体" w:cs="Times New Roman"/>
                      <w:b w:val="0"/>
                      <w:sz w:val="21"/>
                      <w:szCs w:val="21"/>
                      <w:lang w:val="en-US" w:eastAsia="zh-CN"/>
                    </w:rPr>
                  </w:pPr>
                  <w:r>
                    <w:rPr>
                      <w:rFonts w:hint="eastAsia" w:ascii="Times New Roman" w:hAnsi="Times New Roman" w:cs="Times New Roman"/>
                      <w:b w:val="0"/>
                      <w:sz w:val="21"/>
                      <w:szCs w:val="21"/>
                      <w:lang w:val="en-US" w:eastAsia="zh-CN"/>
                    </w:rPr>
                    <w:t>下风向最大的浓度</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3.4103</w:t>
                  </w:r>
                </w:p>
              </w:tc>
              <w:tc>
                <w:tcPr>
                  <w:tcW w:w="721"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0.1705</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23.9300</w:t>
                  </w:r>
                </w:p>
              </w:tc>
              <w:tc>
                <w:tcPr>
                  <w:tcW w:w="720"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1.1965</w:t>
                  </w:r>
                </w:p>
              </w:tc>
              <w:tc>
                <w:tcPr>
                  <w:tcW w:w="720" w:type="pct"/>
                  <w:gridSpan w:val="2"/>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5.2072</w:t>
                  </w:r>
                </w:p>
              </w:tc>
              <w:tc>
                <w:tcPr>
                  <w:tcW w:w="722"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0.5786</w:t>
                  </w:r>
                </w:p>
              </w:tc>
            </w:tr>
            <w:tr>
              <w:tblPrEx>
                <w:tblBorders>
                  <w:top w:val="single" w:color="auto" w:sz="4" w:space="0"/>
                  <w:left w:val="none" w:color="auto" w:sz="0" w:space="0"/>
                  <w:bottom w:val="single" w:color="auto"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75" w:type="pct"/>
                  <w:vAlign w:val="center"/>
                </w:tcPr>
                <w:p>
                  <w:pPr>
                    <w:spacing w:line="240" w:lineRule="auto"/>
                    <w:jc w:val="center"/>
                    <w:rPr>
                      <w:rFonts w:hint="default" w:ascii="Times New Roman" w:hAnsi="Times New Roman" w:eastAsia="宋体" w:cs="Times New Roman"/>
                      <w:b w:val="0"/>
                      <w:sz w:val="21"/>
                      <w:szCs w:val="21"/>
                      <w:lang w:val="en-US" w:eastAsia="zh-CN"/>
                    </w:rPr>
                  </w:pPr>
                  <w:r>
                    <w:rPr>
                      <w:rFonts w:hint="eastAsia" w:ascii="Times New Roman" w:hAnsi="Times New Roman" w:cs="Times New Roman"/>
                      <w:b w:val="0"/>
                      <w:sz w:val="21"/>
                      <w:szCs w:val="21"/>
                      <w:lang w:val="en-US" w:eastAsia="zh-CN"/>
                    </w:rPr>
                    <w:t>最大浓度出现距离</w:t>
                  </w:r>
                </w:p>
              </w:tc>
              <w:tc>
                <w:tcPr>
                  <w:tcW w:w="1441" w:type="pct"/>
                  <w:gridSpan w:val="2"/>
                  <w:vAlign w:val="center"/>
                </w:tcPr>
                <w:p>
                  <w:pPr>
                    <w:spacing w:line="240" w:lineRule="auto"/>
                    <w:jc w:val="center"/>
                    <w:rPr>
                      <w:rFonts w:hint="default" w:ascii="Times New Roman" w:hAnsi="Times New Roman" w:eastAsia="宋体" w:cs="Times New Roman"/>
                      <w:b w:val="0"/>
                      <w:sz w:val="21"/>
                      <w:szCs w:val="21"/>
                    </w:rPr>
                  </w:pPr>
                  <w:r>
                    <w:rPr>
                      <w:rFonts w:hint="eastAsia" w:ascii="Times New Roman" w:hAnsi="Times New Roman" w:cs="Times New Roman"/>
                      <w:b w:val="0"/>
                      <w:sz w:val="21"/>
                      <w:szCs w:val="21"/>
                      <w:lang w:val="en-US" w:eastAsia="zh-CN"/>
                    </w:rPr>
                    <w:t>56</w:t>
                  </w:r>
                </w:p>
              </w:tc>
              <w:tc>
                <w:tcPr>
                  <w:tcW w:w="1441" w:type="pct"/>
                  <w:gridSpan w:val="3"/>
                  <w:vAlign w:val="center"/>
                </w:tcPr>
                <w:p>
                  <w:pPr>
                    <w:spacing w:line="240" w:lineRule="auto"/>
                    <w:jc w:val="center"/>
                    <w:rPr>
                      <w:rFonts w:hint="default" w:ascii="Times New Roman" w:hAnsi="Times New Roman" w:eastAsia="宋体" w:cs="Times New Roman"/>
                      <w:b w:val="0"/>
                      <w:sz w:val="21"/>
                      <w:szCs w:val="21"/>
                      <w:lang w:val="en-US" w:eastAsia="zh-CN"/>
                    </w:rPr>
                  </w:pPr>
                  <w:r>
                    <w:rPr>
                      <w:rFonts w:hint="eastAsia" w:ascii="Times New Roman" w:hAnsi="Times New Roman" w:cs="Times New Roman"/>
                      <w:b w:val="0"/>
                      <w:sz w:val="21"/>
                      <w:szCs w:val="21"/>
                      <w:lang w:val="en-US" w:eastAsia="zh-CN"/>
                    </w:rPr>
                    <w:t>28</w:t>
                  </w:r>
                </w:p>
              </w:tc>
              <w:tc>
                <w:tcPr>
                  <w:tcW w:w="1442" w:type="pct"/>
                  <w:gridSpan w:val="2"/>
                  <w:vAlign w:val="center"/>
                </w:tcPr>
                <w:p>
                  <w:pPr>
                    <w:spacing w:line="240" w:lineRule="auto"/>
                    <w:jc w:val="center"/>
                    <w:rPr>
                      <w:rFonts w:hint="default" w:ascii="Times New Roman" w:hAnsi="Times New Roman" w:eastAsia="宋体" w:cs="Times New Roman"/>
                      <w:b w:val="0"/>
                      <w:sz w:val="21"/>
                      <w:szCs w:val="21"/>
                      <w:lang w:val="en-US" w:eastAsia="zh-CN"/>
                    </w:rPr>
                  </w:pPr>
                  <w:r>
                    <w:rPr>
                      <w:rFonts w:hint="eastAsia" w:ascii="Times New Roman" w:hAnsi="Times New Roman" w:cs="Times New Roman"/>
                      <w:b w:val="0"/>
                      <w:sz w:val="21"/>
                      <w:szCs w:val="21"/>
                      <w:lang w:val="en-US" w:eastAsia="zh-CN"/>
                    </w:rPr>
                    <w:t>28</w:t>
                  </w:r>
                </w:p>
              </w:tc>
            </w:tr>
          </w:tbl>
          <w:p>
            <w:pPr>
              <w:spacing w:line="480" w:lineRule="exact"/>
              <w:ind w:firstLine="4"/>
            </w:pPr>
            <w:r>
              <w:rPr>
                <w:rFonts w:ascii="宋体" w:hAnsi="宋体" w:eastAsia="宋体" w:cs="宋体"/>
                <w:b w:val="0"/>
                <w:sz w:val="24"/>
              </w:rPr>
              <w:t xml:space="preserve"> </w:t>
            </w:r>
            <w:r>
              <w:rPr>
                <w:rFonts w:hint="eastAsia" w:ascii="宋体" w:hAnsi="宋体" w:cs="宋体"/>
                <w:b w:val="0"/>
                <w:sz w:val="24"/>
                <w:lang w:val="en-US" w:eastAsia="zh-CN"/>
              </w:rPr>
              <w:t xml:space="preserve">  </w:t>
            </w:r>
            <w:r>
              <w:rPr>
                <w:rFonts w:ascii="宋体" w:hAnsi="宋体" w:eastAsia="宋体" w:cs="宋体"/>
                <w:b w:val="0"/>
                <w:sz w:val="24"/>
              </w:rPr>
              <w:t>本项目所有污染源的正常排放的污染物的Pmax和D10%预测结果如下:</w:t>
            </w:r>
          </w:p>
          <w:p>
            <w:pPr>
              <w:spacing w:line="480" w:lineRule="exact"/>
              <w:jc w:val="center"/>
            </w:pPr>
            <w:r>
              <w:rPr>
                <w:rFonts w:hint="default" w:ascii="Times New Roman" w:hAnsi="Times New Roman" w:eastAsia="宋体" w:cs="Times New Roman"/>
                <w:b w:val="0"/>
                <w:sz w:val="24"/>
              </w:rPr>
              <w:t xml:space="preserve"> </w:t>
            </w:r>
            <w:r>
              <w:rPr>
                <w:rFonts w:hint="default" w:ascii="Times New Roman" w:hAnsi="Times New Roman" w:eastAsia="宋体" w:cs="Times New Roman"/>
                <w:b/>
                <w:bCs/>
                <w:sz w:val="21"/>
                <w:szCs w:val="21"/>
              </w:rPr>
              <w:t>表</w:t>
            </w:r>
            <w:r>
              <w:rPr>
                <w:rFonts w:hint="eastAsia" w:ascii="Times New Roman" w:hAnsi="Times New Roman" w:eastAsia="宋体" w:cs="Times New Roman"/>
                <w:b/>
                <w:bCs/>
                <w:sz w:val="21"/>
                <w:szCs w:val="21"/>
                <w:lang w:val="en-US" w:eastAsia="zh-CN"/>
              </w:rPr>
              <w:t xml:space="preserve">7-5  </w:t>
            </w:r>
            <w:r>
              <w:rPr>
                <w:rFonts w:hint="default" w:ascii="Times New Roman" w:hAnsi="Times New Roman" w:eastAsia="宋体" w:cs="Times New Roman"/>
                <w:b/>
                <w:bCs/>
                <w:sz w:val="21"/>
                <w:szCs w:val="21"/>
              </w:rPr>
              <w:t>Pmax和D10%预测和计算结果一览表</w:t>
            </w:r>
          </w:p>
          <w:tbl>
            <w:tblPr>
              <w:tblStyle w:val="26"/>
              <w:tblW w:w="4983" w:type="pct"/>
              <w:tblInd w:w="0" w:type="dxa"/>
              <w:tblBorders>
                <w:top w:val="single" w:color="auto" w:sz="12" w:space="0"/>
                <w:left w:val="none" w:color="auto" w:sz="0" w:space="0"/>
                <w:bottom w:val="single" w:color="auto" w:sz="12" w:space="0"/>
                <w:right w:val="non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505"/>
              <w:gridCol w:w="1174"/>
              <w:gridCol w:w="1721"/>
              <w:gridCol w:w="1734"/>
              <w:gridCol w:w="1775"/>
              <w:gridCol w:w="1481"/>
            </w:tblGrid>
            <w:tr>
              <w:tblPrEx>
                <w:tblBorders>
                  <w:top w:val="single" w:color="auto" w:sz="12" w:space="0"/>
                  <w:left w:val="none" w:color="auto" w:sz="0" w:space="0"/>
                  <w:bottom w:val="single" w:color="auto" w:sz="12" w:space="0"/>
                  <w:right w:val="none" w:color="auto" w:sz="0" w:space="0"/>
                  <w:insideH w:val="single" w:color="auto" w:sz="0" w:space="0"/>
                  <w:insideV w:val="single" w:color="auto" w:sz="0" w:space="0"/>
                </w:tblBorders>
                <w:tblCellMar>
                  <w:top w:w="0" w:type="dxa"/>
                  <w:left w:w="108" w:type="dxa"/>
                  <w:bottom w:w="0" w:type="dxa"/>
                  <w:right w:w="108" w:type="dxa"/>
                </w:tblCellMar>
              </w:tblPrEx>
              <w:trPr>
                <w:trHeight w:val="90" w:hRule="atLeast"/>
              </w:trPr>
              <w:tc>
                <w:tcPr>
                  <w:tcW w:w="801" w:type="pct"/>
                  <w:tcBorders>
                    <w:bottom w:val="single" w:color="auto" w:sz="12" w:space="0"/>
                  </w:tcBorders>
                  <w:vAlign w:val="center"/>
                </w:tcPr>
                <w:p>
                  <w:pPr>
                    <w:spacing w:line="240" w:lineRule="auto"/>
                    <w:jc w:val="center"/>
                    <w:rPr>
                      <w:rFonts w:hint="default" w:ascii="Times New Roman" w:hAnsi="Times New Roman" w:cs="Times New Roman"/>
                      <w:sz w:val="21"/>
                      <w:szCs w:val="21"/>
                    </w:rPr>
                  </w:pPr>
                  <w:r>
                    <w:rPr>
                      <w:rFonts w:hint="default" w:ascii="Times New Roman" w:hAnsi="Times New Roman" w:eastAsia="宋体" w:cs="Times New Roman"/>
                      <w:b w:val="0"/>
                      <w:sz w:val="21"/>
                      <w:szCs w:val="21"/>
                    </w:rPr>
                    <w:t>污染源名称</w:t>
                  </w:r>
                </w:p>
              </w:tc>
              <w:tc>
                <w:tcPr>
                  <w:tcW w:w="625" w:type="pct"/>
                  <w:tcBorders>
                    <w:bottom w:val="single" w:color="auto" w:sz="12" w:space="0"/>
                  </w:tcBorders>
                  <w:vAlign w:val="center"/>
                </w:tcPr>
                <w:p>
                  <w:pPr>
                    <w:spacing w:line="240" w:lineRule="auto"/>
                    <w:jc w:val="center"/>
                    <w:rPr>
                      <w:rFonts w:hint="default" w:ascii="Times New Roman" w:hAnsi="Times New Roman" w:cs="Times New Roman"/>
                      <w:sz w:val="21"/>
                      <w:szCs w:val="21"/>
                    </w:rPr>
                  </w:pPr>
                  <w:r>
                    <w:rPr>
                      <w:rFonts w:hint="default" w:ascii="Times New Roman" w:hAnsi="Times New Roman" w:eastAsia="宋体" w:cs="Times New Roman"/>
                      <w:b w:val="0"/>
                      <w:sz w:val="21"/>
                      <w:szCs w:val="21"/>
                    </w:rPr>
                    <w:t>评价因子</w:t>
                  </w:r>
                </w:p>
              </w:tc>
              <w:tc>
                <w:tcPr>
                  <w:tcW w:w="916" w:type="pct"/>
                  <w:tcBorders>
                    <w:bottom w:val="single" w:color="auto" w:sz="12" w:space="0"/>
                  </w:tcBorders>
                  <w:vAlign w:val="center"/>
                </w:tcPr>
                <w:p>
                  <w:pPr>
                    <w:spacing w:line="240" w:lineRule="auto"/>
                    <w:jc w:val="center"/>
                    <w:rPr>
                      <w:rFonts w:hint="default" w:ascii="Times New Roman" w:hAnsi="Times New Roman" w:cs="Times New Roman"/>
                      <w:sz w:val="21"/>
                      <w:szCs w:val="21"/>
                    </w:rPr>
                  </w:pPr>
                  <w:r>
                    <w:rPr>
                      <w:rFonts w:hint="default" w:ascii="Times New Roman" w:hAnsi="Times New Roman" w:eastAsia="宋体" w:cs="Times New Roman"/>
                      <w:b w:val="0"/>
                      <w:sz w:val="21"/>
                      <w:szCs w:val="21"/>
                    </w:rPr>
                    <w:t>评价标准(μg/m³)</w:t>
                  </w:r>
                </w:p>
              </w:tc>
              <w:tc>
                <w:tcPr>
                  <w:tcW w:w="923" w:type="pct"/>
                  <w:tcBorders>
                    <w:bottom w:val="single" w:color="auto" w:sz="12" w:space="0"/>
                  </w:tcBorders>
                  <w:vAlign w:val="center"/>
                </w:tcPr>
                <w:p>
                  <w:pPr>
                    <w:spacing w:line="240" w:lineRule="auto"/>
                    <w:jc w:val="center"/>
                    <w:rPr>
                      <w:rFonts w:hint="default" w:ascii="Times New Roman" w:hAnsi="Times New Roman" w:cs="Times New Roman"/>
                      <w:sz w:val="21"/>
                      <w:szCs w:val="21"/>
                    </w:rPr>
                  </w:pPr>
                  <w:r>
                    <w:rPr>
                      <w:rFonts w:hint="default" w:ascii="Times New Roman" w:hAnsi="Times New Roman" w:eastAsia="宋体" w:cs="Times New Roman"/>
                      <w:b w:val="0"/>
                      <w:sz w:val="21"/>
                      <w:szCs w:val="21"/>
                    </w:rPr>
                    <w:t>Cmax(μg/m³)</w:t>
                  </w:r>
                </w:p>
              </w:tc>
              <w:tc>
                <w:tcPr>
                  <w:tcW w:w="945" w:type="pct"/>
                  <w:tcBorders>
                    <w:bottom w:val="single" w:color="auto" w:sz="12" w:space="0"/>
                  </w:tcBorders>
                  <w:vAlign w:val="center"/>
                </w:tcPr>
                <w:p>
                  <w:pPr>
                    <w:spacing w:line="240" w:lineRule="auto"/>
                    <w:jc w:val="center"/>
                    <w:rPr>
                      <w:rFonts w:hint="default" w:ascii="Times New Roman" w:hAnsi="Times New Roman" w:cs="Times New Roman"/>
                      <w:sz w:val="21"/>
                      <w:szCs w:val="21"/>
                    </w:rPr>
                  </w:pPr>
                  <w:r>
                    <w:rPr>
                      <w:rFonts w:hint="default" w:ascii="Times New Roman" w:hAnsi="Times New Roman" w:eastAsia="宋体" w:cs="Times New Roman"/>
                      <w:b w:val="0"/>
                      <w:sz w:val="21"/>
                      <w:szCs w:val="21"/>
                    </w:rPr>
                    <w:t>Pmax(%)</w:t>
                  </w:r>
                </w:p>
              </w:tc>
              <w:tc>
                <w:tcPr>
                  <w:tcW w:w="788" w:type="pct"/>
                  <w:tcBorders>
                    <w:bottom w:val="single" w:color="auto" w:sz="12" w:space="0"/>
                  </w:tcBorders>
                  <w:vAlign w:val="center"/>
                </w:tcPr>
                <w:p>
                  <w:pPr>
                    <w:spacing w:line="240" w:lineRule="auto"/>
                    <w:jc w:val="center"/>
                    <w:rPr>
                      <w:rFonts w:hint="default" w:ascii="Times New Roman" w:hAnsi="Times New Roman" w:cs="Times New Roman"/>
                      <w:sz w:val="21"/>
                      <w:szCs w:val="21"/>
                    </w:rPr>
                  </w:pPr>
                  <w:r>
                    <w:rPr>
                      <w:rFonts w:hint="default" w:ascii="Times New Roman" w:hAnsi="Times New Roman" w:eastAsia="宋体" w:cs="Times New Roman"/>
                      <w:b w:val="0"/>
                      <w:sz w:val="21"/>
                      <w:szCs w:val="21"/>
                    </w:rPr>
                    <w:t>D10%(m)</w:t>
                  </w:r>
                </w:p>
              </w:tc>
            </w:tr>
            <w:tr>
              <w:tblPrEx>
                <w:tblBorders>
                  <w:top w:val="single" w:color="auto" w:sz="12" w:space="0"/>
                  <w:left w:val="none" w:color="auto" w:sz="0" w:space="0"/>
                  <w:bottom w:val="single" w:color="auto" w:sz="12" w:space="0"/>
                  <w:right w:val="none" w:color="auto" w:sz="0" w:space="0"/>
                  <w:insideH w:val="single" w:color="auto" w:sz="0" w:space="0"/>
                  <w:insideV w:val="single" w:color="auto" w:sz="0" w:space="0"/>
                </w:tblBorders>
                <w:tblCellMar>
                  <w:top w:w="0" w:type="dxa"/>
                  <w:left w:w="108" w:type="dxa"/>
                  <w:bottom w:w="0" w:type="dxa"/>
                  <w:right w:w="108" w:type="dxa"/>
                </w:tblCellMar>
              </w:tblPrEx>
              <w:trPr>
                <w:trHeight w:val="90" w:hRule="atLeast"/>
              </w:trPr>
              <w:tc>
                <w:tcPr>
                  <w:tcW w:w="801" w:type="pct"/>
                  <w:tcBorders>
                    <w:top w:val="single" w:color="auto" w:sz="12" w:space="0"/>
                  </w:tcBorders>
                  <w:vAlign w:val="center"/>
                </w:tcPr>
                <w:p>
                  <w:pPr>
                    <w:spacing w:line="240" w:lineRule="auto"/>
                    <w:jc w:val="center"/>
                    <w:rPr>
                      <w:rFonts w:hint="default" w:ascii="Times New Roman" w:hAnsi="Times New Roman" w:cs="Times New Roman"/>
                      <w:sz w:val="21"/>
                      <w:szCs w:val="21"/>
                    </w:rPr>
                  </w:pPr>
                  <w:r>
                    <w:rPr>
                      <w:rFonts w:hint="default" w:ascii="Times New Roman" w:hAnsi="Times New Roman" w:eastAsia="宋体" w:cs="Times New Roman"/>
                      <w:b w:val="0"/>
                      <w:sz w:val="21"/>
                      <w:szCs w:val="21"/>
                    </w:rPr>
                    <w:t>点源</w:t>
                  </w:r>
                </w:p>
              </w:tc>
              <w:tc>
                <w:tcPr>
                  <w:tcW w:w="625" w:type="pct"/>
                  <w:tcBorders>
                    <w:top w:val="single" w:color="auto" w:sz="12" w:space="0"/>
                  </w:tcBorders>
                  <w:vAlign w:val="center"/>
                </w:tcPr>
                <w:p>
                  <w:pPr>
                    <w:spacing w:line="240" w:lineRule="auto"/>
                    <w:jc w:val="center"/>
                    <w:rPr>
                      <w:rFonts w:hint="default" w:ascii="Times New Roman" w:hAnsi="Times New Roman" w:cs="Times New Roman"/>
                      <w:sz w:val="21"/>
                      <w:szCs w:val="21"/>
                    </w:rPr>
                  </w:pPr>
                  <w:r>
                    <w:rPr>
                      <w:rFonts w:hint="default" w:ascii="Times New Roman" w:hAnsi="Times New Roman" w:eastAsia="宋体" w:cs="Times New Roman"/>
                      <w:b w:val="0"/>
                      <w:sz w:val="21"/>
                      <w:szCs w:val="21"/>
                    </w:rPr>
                    <w:t>NMHC</w:t>
                  </w:r>
                </w:p>
              </w:tc>
              <w:tc>
                <w:tcPr>
                  <w:tcW w:w="916" w:type="pct"/>
                  <w:tcBorders>
                    <w:top w:val="single" w:color="auto" w:sz="12" w:space="0"/>
                  </w:tcBorders>
                  <w:vAlign w:val="center"/>
                </w:tcPr>
                <w:p>
                  <w:pPr>
                    <w:spacing w:line="240" w:lineRule="auto"/>
                    <w:jc w:val="center"/>
                    <w:rPr>
                      <w:rFonts w:hint="default" w:ascii="Times New Roman" w:hAnsi="Times New Roman" w:cs="Times New Roman"/>
                      <w:sz w:val="21"/>
                      <w:szCs w:val="21"/>
                    </w:rPr>
                  </w:pPr>
                  <w:r>
                    <w:rPr>
                      <w:rFonts w:hint="default" w:ascii="Times New Roman" w:hAnsi="Times New Roman" w:eastAsia="宋体" w:cs="Times New Roman"/>
                      <w:b w:val="0"/>
                      <w:sz w:val="21"/>
                      <w:szCs w:val="21"/>
                    </w:rPr>
                    <w:t>2000.0</w:t>
                  </w:r>
                </w:p>
              </w:tc>
              <w:tc>
                <w:tcPr>
                  <w:tcW w:w="923" w:type="pct"/>
                  <w:tcBorders>
                    <w:top w:val="single" w:color="auto" w:sz="12" w:space="0"/>
                  </w:tcBorders>
                  <w:vAlign w:val="center"/>
                </w:tcPr>
                <w:p>
                  <w:pPr>
                    <w:spacing w:line="240" w:lineRule="auto"/>
                    <w:jc w:val="center"/>
                    <w:rPr>
                      <w:rFonts w:hint="default" w:ascii="Times New Roman" w:hAnsi="Times New Roman" w:cs="Times New Roman"/>
                      <w:sz w:val="21"/>
                      <w:szCs w:val="21"/>
                    </w:rPr>
                  </w:pPr>
                  <w:r>
                    <w:rPr>
                      <w:rFonts w:hint="default" w:ascii="Times New Roman" w:hAnsi="Times New Roman" w:eastAsia="宋体" w:cs="Times New Roman"/>
                      <w:b w:val="0"/>
                      <w:sz w:val="21"/>
                      <w:szCs w:val="21"/>
                    </w:rPr>
                    <w:t>6.8490</w:t>
                  </w:r>
                </w:p>
              </w:tc>
              <w:tc>
                <w:tcPr>
                  <w:tcW w:w="945" w:type="pct"/>
                  <w:tcBorders>
                    <w:top w:val="single" w:color="auto" w:sz="12" w:space="0"/>
                  </w:tcBorders>
                  <w:vAlign w:val="center"/>
                </w:tcPr>
                <w:p>
                  <w:pPr>
                    <w:spacing w:line="240" w:lineRule="auto"/>
                    <w:jc w:val="center"/>
                    <w:rPr>
                      <w:rFonts w:hint="default" w:ascii="Times New Roman" w:hAnsi="Times New Roman" w:cs="Times New Roman"/>
                      <w:sz w:val="21"/>
                      <w:szCs w:val="21"/>
                    </w:rPr>
                  </w:pPr>
                  <w:r>
                    <w:rPr>
                      <w:rFonts w:hint="default" w:ascii="Times New Roman" w:hAnsi="Times New Roman" w:eastAsia="宋体" w:cs="Times New Roman"/>
                      <w:b w:val="0"/>
                      <w:sz w:val="21"/>
                      <w:szCs w:val="21"/>
                    </w:rPr>
                    <w:t>0.3424</w:t>
                  </w:r>
                </w:p>
              </w:tc>
              <w:tc>
                <w:tcPr>
                  <w:tcW w:w="788" w:type="pct"/>
                  <w:tcBorders>
                    <w:top w:val="single" w:color="auto" w:sz="12" w:space="0"/>
                  </w:tcBorders>
                  <w:vAlign w:val="center"/>
                </w:tcPr>
                <w:p>
                  <w:pPr>
                    <w:spacing w:line="240" w:lineRule="auto"/>
                    <w:jc w:val="center"/>
                    <w:rPr>
                      <w:rFonts w:hint="default" w:ascii="Times New Roman" w:hAnsi="Times New Roman" w:cs="Times New Roman"/>
                      <w:sz w:val="21"/>
                      <w:szCs w:val="21"/>
                    </w:rPr>
                  </w:pPr>
                  <w:r>
                    <w:rPr>
                      <w:rFonts w:hint="default" w:ascii="Times New Roman" w:hAnsi="Times New Roman" w:eastAsia="宋体" w:cs="Times New Roman"/>
                      <w:b w:val="0"/>
                      <w:sz w:val="21"/>
                      <w:szCs w:val="21"/>
                    </w:rPr>
                    <w:t>/</w:t>
                  </w:r>
                </w:p>
              </w:tc>
            </w:tr>
            <w:tr>
              <w:tblPrEx>
                <w:tblBorders>
                  <w:top w:val="single" w:color="auto" w:sz="12" w:space="0"/>
                  <w:left w:val="none" w:color="auto" w:sz="0" w:space="0"/>
                  <w:bottom w:val="single" w:color="auto" w:sz="12" w:space="0"/>
                  <w:right w:val="none" w:color="auto" w:sz="0" w:space="0"/>
                  <w:insideH w:val="single" w:color="auto" w:sz="0" w:space="0"/>
                  <w:insideV w:val="single" w:color="auto" w:sz="0" w:space="0"/>
                </w:tblBorders>
                <w:tblCellMar>
                  <w:top w:w="0" w:type="dxa"/>
                  <w:left w:w="108" w:type="dxa"/>
                  <w:bottom w:w="0" w:type="dxa"/>
                  <w:right w:w="108" w:type="dxa"/>
                </w:tblCellMar>
              </w:tblPrEx>
              <w:trPr>
                <w:trHeight w:val="90" w:hRule="atLeast"/>
              </w:trPr>
              <w:tc>
                <w:tcPr>
                  <w:tcW w:w="801" w:type="pct"/>
                  <w:vAlign w:val="center"/>
                </w:tcPr>
                <w:p>
                  <w:pPr>
                    <w:spacing w:line="240" w:lineRule="auto"/>
                    <w:jc w:val="center"/>
                    <w:rPr>
                      <w:rFonts w:hint="default" w:ascii="Times New Roman" w:hAnsi="Times New Roman" w:cs="Times New Roman"/>
                      <w:sz w:val="21"/>
                      <w:szCs w:val="21"/>
                    </w:rPr>
                  </w:pPr>
                  <w:r>
                    <w:rPr>
                      <w:rFonts w:hint="default" w:ascii="Times New Roman" w:hAnsi="Times New Roman" w:eastAsia="宋体" w:cs="Times New Roman"/>
                      <w:b w:val="0"/>
                      <w:sz w:val="21"/>
                      <w:szCs w:val="21"/>
                    </w:rPr>
                    <w:t>矩形面源</w:t>
                  </w:r>
                </w:p>
              </w:tc>
              <w:tc>
                <w:tcPr>
                  <w:tcW w:w="625" w:type="pct"/>
                  <w:vAlign w:val="center"/>
                </w:tcPr>
                <w:p>
                  <w:pPr>
                    <w:spacing w:line="240" w:lineRule="auto"/>
                    <w:jc w:val="center"/>
                    <w:rPr>
                      <w:rFonts w:hint="default" w:ascii="Times New Roman" w:hAnsi="Times New Roman" w:cs="Times New Roman"/>
                      <w:sz w:val="21"/>
                      <w:szCs w:val="21"/>
                    </w:rPr>
                  </w:pPr>
                  <w:r>
                    <w:rPr>
                      <w:rFonts w:hint="default" w:ascii="Times New Roman" w:hAnsi="Times New Roman" w:eastAsia="宋体" w:cs="Times New Roman"/>
                      <w:b w:val="0"/>
                      <w:sz w:val="21"/>
                      <w:szCs w:val="21"/>
                    </w:rPr>
                    <w:t>NMHC</w:t>
                  </w:r>
                </w:p>
              </w:tc>
              <w:tc>
                <w:tcPr>
                  <w:tcW w:w="916" w:type="pct"/>
                  <w:vAlign w:val="center"/>
                </w:tcPr>
                <w:p>
                  <w:pPr>
                    <w:spacing w:line="240" w:lineRule="auto"/>
                    <w:jc w:val="center"/>
                    <w:rPr>
                      <w:rFonts w:hint="default" w:ascii="Times New Roman" w:hAnsi="Times New Roman" w:cs="Times New Roman"/>
                      <w:sz w:val="21"/>
                      <w:szCs w:val="21"/>
                    </w:rPr>
                  </w:pPr>
                  <w:r>
                    <w:rPr>
                      <w:rFonts w:hint="default" w:ascii="Times New Roman" w:hAnsi="Times New Roman" w:eastAsia="宋体" w:cs="Times New Roman"/>
                      <w:b w:val="0"/>
                      <w:sz w:val="21"/>
                      <w:szCs w:val="21"/>
                    </w:rPr>
                    <w:t>2000.0</w:t>
                  </w:r>
                </w:p>
              </w:tc>
              <w:tc>
                <w:tcPr>
                  <w:tcW w:w="923" w:type="pct"/>
                  <w:vAlign w:val="center"/>
                </w:tcPr>
                <w:p>
                  <w:pPr>
                    <w:spacing w:line="240" w:lineRule="auto"/>
                    <w:jc w:val="center"/>
                    <w:rPr>
                      <w:rFonts w:hint="default" w:ascii="Times New Roman" w:hAnsi="Times New Roman" w:cs="Times New Roman"/>
                      <w:sz w:val="21"/>
                      <w:szCs w:val="21"/>
                    </w:rPr>
                  </w:pPr>
                  <w:r>
                    <w:rPr>
                      <w:rFonts w:hint="default" w:ascii="Times New Roman" w:hAnsi="Times New Roman" w:eastAsia="宋体" w:cs="Times New Roman"/>
                      <w:b w:val="0"/>
                      <w:sz w:val="21"/>
                      <w:szCs w:val="21"/>
                    </w:rPr>
                    <w:t>47.8790</w:t>
                  </w:r>
                </w:p>
              </w:tc>
              <w:tc>
                <w:tcPr>
                  <w:tcW w:w="945" w:type="pct"/>
                  <w:vAlign w:val="center"/>
                </w:tcPr>
                <w:p>
                  <w:pPr>
                    <w:spacing w:line="240" w:lineRule="auto"/>
                    <w:jc w:val="center"/>
                    <w:rPr>
                      <w:rFonts w:hint="default" w:ascii="Times New Roman" w:hAnsi="Times New Roman" w:cs="Times New Roman"/>
                      <w:sz w:val="21"/>
                      <w:szCs w:val="21"/>
                    </w:rPr>
                  </w:pPr>
                  <w:r>
                    <w:rPr>
                      <w:rFonts w:hint="default" w:ascii="Times New Roman" w:hAnsi="Times New Roman" w:eastAsia="宋体" w:cs="Times New Roman"/>
                      <w:b w:val="0"/>
                      <w:sz w:val="21"/>
                      <w:szCs w:val="21"/>
                    </w:rPr>
                    <w:t>2.3939</w:t>
                  </w:r>
                </w:p>
              </w:tc>
              <w:tc>
                <w:tcPr>
                  <w:tcW w:w="788" w:type="pct"/>
                  <w:vAlign w:val="center"/>
                </w:tcPr>
                <w:p>
                  <w:pPr>
                    <w:spacing w:line="240" w:lineRule="auto"/>
                    <w:jc w:val="center"/>
                    <w:rPr>
                      <w:rFonts w:hint="default" w:ascii="Times New Roman" w:hAnsi="Times New Roman" w:cs="Times New Roman"/>
                      <w:sz w:val="21"/>
                      <w:szCs w:val="21"/>
                    </w:rPr>
                  </w:pPr>
                  <w:r>
                    <w:rPr>
                      <w:rFonts w:hint="default" w:ascii="Times New Roman" w:hAnsi="Times New Roman" w:eastAsia="宋体" w:cs="Times New Roman"/>
                      <w:b w:val="0"/>
                      <w:sz w:val="21"/>
                      <w:szCs w:val="21"/>
                    </w:rPr>
                    <w:t>/</w:t>
                  </w:r>
                </w:p>
              </w:tc>
            </w:tr>
            <w:tr>
              <w:tblPrEx>
                <w:tblBorders>
                  <w:top w:val="single" w:color="auto" w:sz="12" w:space="0"/>
                  <w:left w:val="none" w:color="auto" w:sz="0" w:space="0"/>
                  <w:bottom w:val="single" w:color="auto" w:sz="12" w:space="0"/>
                  <w:right w:val="none" w:color="auto" w:sz="0" w:space="0"/>
                  <w:insideH w:val="single" w:color="auto" w:sz="0" w:space="0"/>
                  <w:insideV w:val="single" w:color="auto" w:sz="0" w:space="0"/>
                </w:tblBorders>
                <w:tblCellMar>
                  <w:top w:w="0" w:type="dxa"/>
                  <w:left w:w="108" w:type="dxa"/>
                  <w:bottom w:w="0" w:type="dxa"/>
                  <w:right w:w="108" w:type="dxa"/>
                </w:tblCellMar>
              </w:tblPrEx>
              <w:trPr>
                <w:trHeight w:val="90" w:hRule="atLeast"/>
              </w:trPr>
              <w:tc>
                <w:tcPr>
                  <w:tcW w:w="801" w:type="pct"/>
                  <w:vAlign w:val="center"/>
                </w:tcPr>
                <w:p>
                  <w:pPr>
                    <w:spacing w:line="240" w:lineRule="auto"/>
                    <w:jc w:val="center"/>
                    <w:rPr>
                      <w:rFonts w:hint="default" w:ascii="Times New Roman" w:hAnsi="Times New Roman" w:cs="Times New Roman"/>
                      <w:sz w:val="21"/>
                      <w:szCs w:val="21"/>
                    </w:rPr>
                  </w:pPr>
                  <w:r>
                    <w:rPr>
                      <w:rFonts w:hint="default" w:ascii="Times New Roman" w:hAnsi="Times New Roman" w:eastAsia="宋体" w:cs="Times New Roman"/>
                      <w:b w:val="0"/>
                      <w:sz w:val="21"/>
                      <w:szCs w:val="21"/>
                    </w:rPr>
                    <w:t>矩形面源</w:t>
                  </w:r>
                </w:p>
              </w:tc>
              <w:tc>
                <w:tcPr>
                  <w:tcW w:w="625" w:type="pct"/>
                  <w:vAlign w:val="center"/>
                </w:tcPr>
                <w:p>
                  <w:pPr>
                    <w:spacing w:line="240" w:lineRule="auto"/>
                    <w:jc w:val="center"/>
                    <w:rPr>
                      <w:rFonts w:hint="default" w:ascii="Times New Roman" w:hAnsi="Times New Roman" w:cs="Times New Roman"/>
                      <w:sz w:val="21"/>
                      <w:szCs w:val="21"/>
                    </w:rPr>
                  </w:pPr>
                  <w:r>
                    <w:rPr>
                      <w:rFonts w:hint="default" w:ascii="Times New Roman" w:hAnsi="Times New Roman" w:eastAsia="宋体" w:cs="Times New Roman"/>
                      <w:b w:val="0"/>
                      <w:sz w:val="21"/>
                      <w:szCs w:val="21"/>
                    </w:rPr>
                    <w:t>TSP</w:t>
                  </w:r>
                </w:p>
              </w:tc>
              <w:tc>
                <w:tcPr>
                  <w:tcW w:w="916" w:type="pct"/>
                  <w:vAlign w:val="center"/>
                </w:tcPr>
                <w:p>
                  <w:pPr>
                    <w:spacing w:line="240" w:lineRule="auto"/>
                    <w:jc w:val="center"/>
                    <w:rPr>
                      <w:rFonts w:hint="default" w:ascii="Times New Roman" w:hAnsi="Times New Roman" w:cs="Times New Roman"/>
                      <w:sz w:val="21"/>
                      <w:szCs w:val="21"/>
                    </w:rPr>
                  </w:pPr>
                  <w:r>
                    <w:rPr>
                      <w:rFonts w:hint="default" w:ascii="Times New Roman" w:hAnsi="Times New Roman" w:eastAsia="宋体" w:cs="Times New Roman"/>
                      <w:b w:val="0"/>
                      <w:sz w:val="21"/>
                      <w:szCs w:val="21"/>
                    </w:rPr>
                    <w:t>900.0</w:t>
                  </w:r>
                </w:p>
              </w:tc>
              <w:tc>
                <w:tcPr>
                  <w:tcW w:w="923" w:type="pct"/>
                  <w:vAlign w:val="center"/>
                </w:tcPr>
                <w:p>
                  <w:pPr>
                    <w:spacing w:line="240" w:lineRule="auto"/>
                    <w:jc w:val="center"/>
                    <w:rPr>
                      <w:rFonts w:hint="default" w:ascii="Times New Roman" w:hAnsi="Times New Roman" w:cs="Times New Roman"/>
                      <w:sz w:val="21"/>
                      <w:szCs w:val="21"/>
                    </w:rPr>
                  </w:pPr>
                  <w:r>
                    <w:rPr>
                      <w:rFonts w:hint="default" w:ascii="Times New Roman" w:hAnsi="Times New Roman" w:eastAsia="宋体" w:cs="Times New Roman"/>
                      <w:b w:val="0"/>
                      <w:sz w:val="21"/>
                      <w:szCs w:val="21"/>
                    </w:rPr>
                    <w:t>5.2188</w:t>
                  </w:r>
                </w:p>
              </w:tc>
              <w:tc>
                <w:tcPr>
                  <w:tcW w:w="945" w:type="pct"/>
                  <w:vAlign w:val="center"/>
                </w:tcPr>
                <w:p>
                  <w:pPr>
                    <w:spacing w:line="240" w:lineRule="auto"/>
                    <w:jc w:val="center"/>
                    <w:rPr>
                      <w:rFonts w:hint="default" w:ascii="Times New Roman" w:hAnsi="Times New Roman" w:cs="Times New Roman"/>
                      <w:sz w:val="21"/>
                      <w:szCs w:val="21"/>
                    </w:rPr>
                  </w:pPr>
                  <w:r>
                    <w:rPr>
                      <w:rFonts w:hint="default" w:ascii="Times New Roman" w:hAnsi="Times New Roman" w:eastAsia="宋体" w:cs="Times New Roman"/>
                      <w:b w:val="0"/>
                      <w:sz w:val="21"/>
                      <w:szCs w:val="21"/>
                    </w:rPr>
                    <w:t>0.5799</w:t>
                  </w:r>
                </w:p>
              </w:tc>
              <w:tc>
                <w:tcPr>
                  <w:tcW w:w="788" w:type="pct"/>
                  <w:vAlign w:val="center"/>
                </w:tcPr>
                <w:p>
                  <w:pPr>
                    <w:spacing w:line="240" w:lineRule="auto"/>
                    <w:jc w:val="center"/>
                    <w:rPr>
                      <w:rFonts w:hint="default" w:ascii="Times New Roman" w:hAnsi="Times New Roman" w:cs="Times New Roman"/>
                      <w:sz w:val="21"/>
                      <w:szCs w:val="21"/>
                    </w:rPr>
                  </w:pPr>
                  <w:r>
                    <w:rPr>
                      <w:rFonts w:hint="default" w:ascii="Times New Roman" w:hAnsi="Times New Roman" w:eastAsia="宋体" w:cs="Times New Roman"/>
                      <w:b w:val="0"/>
                      <w:sz w:val="21"/>
                      <w:szCs w:val="21"/>
                    </w:rPr>
                    <w:t>/</w:t>
                  </w:r>
                </w:p>
              </w:tc>
            </w:tr>
          </w:tbl>
          <w:p>
            <w:pPr>
              <w:widowControl/>
              <w:ind w:firstLine="480" w:firstLineChars="200"/>
              <w:jc w:val="left"/>
              <w:rPr>
                <w:rFonts w:hint="eastAsia" w:ascii="Times New Roman" w:hAnsi="Times New Roman" w:eastAsia="宋体" w:cs="Times New Roman"/>
                <w:lang w:eastAsia="zh-CN"/>
              </w:rPr>
            </w:pPr>
            <w:r>
              <w:rPr>
                <w:rFonts w:hint="default" w:ascii="Times New Roman" w:hAnsi="Times New Roman" w:eastAsia="宋体" w:cs="Times New Roman"/>
              </w:rPr>
              <w:t>本项目Pmax最大值出现为矩形面源排放的NMHCPmax值为1.1965%,Cmax为23.93μg/m³,根据《环境影响评价技术导则 大气环境》（HJ2.2-2018）分级判据，确定本项目大气环境影响评价工作等级为二级</w:t>
            </w:r>
            <w:r>
              <w:rPr>
                <w:rFonts w:hint="eastAsia" w:ascii="Times New Roman" w:hAnsi="Times New Roman" w:eastAsia="宋体" w:cs="Times New Roman"/>
                <w:lang w:eastAsia="zh-CN"/>
              </w:rPr>
              <w:t>。</w:t>
            </w:r>
          </w:p>
          <w:p>
            <w:pPr>
              <w:widowControl/>
              <w:ind w:firstLine="402" w:firstLineChars="200"/>
              <w:jc w:val="left"/>
              <w:rPr>
                <w:rFonts w:hint="eastAsia" w:ascii="Times New Roman" w:hAnsi="Times New Roman" w:eastAsia="宋体" w:cs="Times New Roman"/>
                <w:b/>
                <w:bCs/>
                <w:sz w:val="20"/>
                <w:szCs w:val="20"/>
                <w:lang w:eastAsia="zh-CN"/>
              </w:rPr>
            </w:pPr>
            <w:r>
              <w:rPr>
                <w:rFonts w:hint="default" w:ascii="Times New Roman" w:hAnsi="Times New Roman" w:eastAsia="宋体" w:cs="Times New Roman"/>
                <w:b/>
                <w:bCs/>
                <w:sz w:val="20"/>
                <w:szCs w:val="20"/>
              </w:rPr>
              <w:t>注：本次预测不考虑《环境影响评价技术导则 大气环境》（HJ2.2-2018）章节5.3.3中规定的评价等级判定还应遵守的规定</w:t>
            </w:r>
            <w:r>
              <w:rPr>
                <w:rFonts w:hint="eastAsia" w:cs="Times New Roman"/>
                <w:b/>
                <w:bCs/>
                <w:sz w:val="20"/>
                <w:szCs w:val="20"/>
                <w:lang w:eastAsia="zh-CN"/>
              </w:rPr>
              <w:t>。</w:t>
            </w:r>
          </w:p>
          <w:p>
            <w:pPr>
              <w:widowControl/>
              <w:ind w:firstLine="480" w:firstLineChars="200"/>
              <w:jc w:val="left"/>
              <w:rPr>
                <w:rFonts w:hint="default" w:ascii="Times New Roman" w:hAnsi="Times New Roman" w:eastAsia="宋体" w:cs="Times New Roman"/>
              </w:rPr>
            </w:pPr>
            <w:r>
              <w:rPr>
                <w:rFonts w:hint="default" w:ascii="Times New Roman" w:hAnsi="Times New Roman" w:eastAsia="宋体" w:cs="Times New Roman"/>
              </w:rPr>
              <w:t>（4）卫生防护距离计算</w:t>
            </w:r>
          </w:p>
          <w:p>
            <w:pPr>
              <w:widowControl/>
              <w:ind w:firstLine="480" w:firstLineChars="200"/>
              <w:jc w:val="left"/>
              <w:rPr>
                <w:rFonts w:hint="default" w:ascii="Times New Roman" w:hAnsi="Times New Roman" w:eastAsia="宋体" w:cs="Times New Roman"/>
              </w:rPr>
            </w:pPr>
            <w:r>
              <w:rPr>
                <w:rFonts w:hint="default" w:ascii="Times New Roman" w:hAnsi="Times New Roman" w:eastAsia="宋体" w:cs="Times New Roman"/>
              </w:rPr>
              <w:t>由《制定地方大气污染物排放标准的技术方法》(GB/T3840-1991)可知，产生有害因素的工业企业与居民区之间应设置卫生防护距离，计算公式为：</w:t>
            </w:r>
          </w:p>
          <w:p>
            <w:pPr>
              <w:widowControl/>
              <w:ind w:firstLine="480"/>
              <w:jc w:val="center"/>
              <w:rPr>
                <w:rFonts w:hint="default" w:ascii="Times New Roman" w:hAnsi="Times New Roman" w:eastAsia="宋体" w:cs="Times New Roman"/>
              </w:rPr>
            </w:pPr>
            <w:r>
              <w:rPr>
                <w:rFonts w:hint="default" w:ascii="Times New Roman" w:hAnsi="Times New Roman" w:eastAsia="宋体" w:cs="Times New Roman"/>
              </w:rPr>
              <w:drawing>
                <wp:inline distT="0" distB="0" distL="114300" distR="114300">
                  <wp:extent cx="1819910" cy="447675"/>
                  <wp:effectExtent l="0" t="0" r="0" b="825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2"/>
                          <a:stretch>
                            <a:fillRect/>
                          </a:stretch>
                        </pic:blipFill>
                        <pic:spPr>
                          <a:xfrm>
                            <a:off x="0" y="0"/>
                            <a:ext cx="1819910" cy="447675"/>
                          </a:xfrm>
                          <a:prstGeom prst="rect">
                            <a:avLst/>
                          </a:prstGeom>
                          <a:noFill/>
                          <a:ln>
                            <a:noFill/>
                          </a:ln>
                        </pic:spPr>
                      </pic:pic>
                    </a:graphicData>
                  </a:graphic>
                </wp:inline>
              </w:drawing>
            </w:r>
          </w:p>
          <w:p>
            <w:pPr>
              <w:widowControl/>
              <w:ind w:firstLine="480"/>
              <w:jc w:val="left"/>
              <w:rPr>
                <w:rFonts w:hint="default" w:ascii="Times New Roman" w:hAnsi="Times New Roman" w:eastAsia="宋体" w:cs="Times New Roman"/>
              </w:rPr>
            </w:pPr>
            <w:r>
              <w:rPr>
                <w:rFonts w:hint="default" w:ascii="Times New Roman" w:hAnsi="Times New Roman" w:eastAsia="宋体" w:cs="Times New Roman"/>
              </w:rPr>
              <w:t>式中：</w:t>
            </w:r>
            <w:r>
              <w:rPr>
                <w:rFonts w:hint="default" w:ascii="Times New Roman" w:hAnsi="Times New Roman" w:eastAsia="宋体" w:cs="Times New Roman"/>
              </w:rPr>
              <w:drawing>
                <wp:inline distT="0" distB="0" distL="114300" distR="114300">
                  <wp:extent cx="228600" cy="228600"/>
                  <wp:effectExtent l="0" t="0" r="0"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3"/>
                          <a:stretch>
                            <a:fillRect/>
                          </a:stretch>
                        </pic:blipFill>
                        <pic:spPr>
                          <a:xfrm>
                            <a:off x="0" y="0"/>
                            <a:ext cx="228600" cy="228600"/>
                          </a:xfrm>
                          <a:prstGeom prst="rect">
                            <a:avLst/>
                          </a:prstGeom>
                          <a:noFill/>
                          <a:ln>
                            <a:noFill/>
                          </a:ln>
                        </pic:spPr>
                      </pic:pic>
                    </a:graphicData>
                  </a:graphic>
                </wp:inline>
              </w:drawing>
            </w:r>
            <w:r>
              <w:rPr>
                <w:rFonts w:hint="default" w:ascii="Times New Roman" w:hAnsi="Times New Roman" w:eastAsia="宋体" w:cs="Times New Roman"/>
              </w:rPr>
              <w:t>—标准浓度限值(mg/Nm3)；</w:t>
            </w:r>
          </w:p>
          <w:p>
            <w:pPr>
              <w:widowControl/>
              <w:ind w:firstLine="1200" w:firstLineChars="500"/>
              <w:jc w:val="left"/>
              <w:rPr>
                <w:rFonts w:hint="default" w:ascii="Times New Roman" w:hAnsi="Times New Roman" w:eastAsia="宋体" w:cs="Times New Roman"/>
              </w:rPr>
            </w:pPr>
            <w:r>
              <w:rPr>
                <w:rFonts w:hint="default" w:ascii="Times New Roman" w:hAnsi="Times New Roman" w:eastAsia="宋体" w:cs="Times New Roman"/>
              </w:rPr>
              <w:object>
                <v:shape id="_x0000_i1025" o:spt="75" type="#_x0000_t75" style="height:12pt;width:11.25pt;" o:ole="t" fillcolor="#6D6D6D" filled="f" o:preferrelative="t" stroked="f" coordsize="21600,21600">
                  <v:path/>
                  <v:fill on="f" focussize="0,0"/>
                  <v:stroke on="f"/>
                  <v:imagedata r:id="rId15" o:title=""/>
                  <o:lock v:ext="edit" aspectratio="t"/>
                  <w10:wrap type="none"/>
                  <w10:anchorlock/>
                </v:shape>
                <o:OLEObject Type="Embed" ProgID="Equation.3" ShapeID="_x0000_i1025" DrawAspect="Content" ObjectID="_1468075725" r:id="rId14">
                  <o:LockedField>false</o:LockedField>
                </o:OLEObject>
              </w:object>
            </w:r>
            <w:r>
              <w:rPr>
                <w:rFonts w:hint="default" w:ascii="Times New Roman" w:hAnsi="Times New Roman" w:eastAsia="宋体" w:cs="Times New Roman"/>
              </w:rPr>
              <w:t>—工业企业所需卫生防护距离(m)；</w:t>
            </w:r>
          </w:p>
          <w:p>
            <w:pPr>
              <w:widowControl/>
              <w:ind w:firstLine="1200" w:firstLineChars="500"/>
              <w:jc w:val="left"/>
              <w:rPr>
                <w:rFonts w:hint="default" w:ascii="Times New Roman" w:hAnsi="Times New Roman" w:eastAsia="宋体" w:cs="Times New Roman"/>
              </w:rPr>
            </w:pPr>
            <w:r>
              <w:rPr>
                <w:rFonts w:hint="default" w:ascii="Times New Roman" w:hAnsi="Times New Roman" w:eastAsia="宋体" w:cs="Times New Roman"/>
              </w:rPr>
              <w:object>
                <v:shape id="_x0000_i1026" o:spt="75" type="#_x0000_t75" style="height:10.5pt;width:8.25pt;" o:ole="t" fillcolor="#6D6D6D" filled="f" o:preferrelative="t" stroked="f" coordsize="21600,21600">
                  <v:path/>
                  <v:fill on="f" focussize="0,0"/>
                  <v:stroke on="f"/>
                  <v:imagedata r:id="rId17" o:title=""/>
                  <o:lock v:ext="edit" aspectratio="t"/>
                  <w10:wrap type="none"/>
                  <w10:anchorlock/>
                </v:shape>
                <o:OLEObject Type="Embed" ProgID="Equation.3" ShapeID="_x0000_i1026" DrawAspect="Content" ObjectID="_1468075726" r:id="rId16">
                  <o:LockedField>false</o:LockedField>
                </o:OLEObject>
              </w:object>
            </w:r>
            <w:r>
              <w:rPr>
                <w:rFonts w:hint="default" w:ascii="Times New Roman" w:hAnsi="Times New Roman" w:eastAsia="宋体" w:cs="Times New Roman"/>
              </w:rPr>
              <w:t>—有害气体无组织排放源所在生产单元的等效半径(m)；</w:t>
            </w:r>
          </w:p>
          <w:p>
            <w:pPr>
              <w:widowControl/>
              <w:ind w:firstLine="1200" w:firstLineChars="500"/>
              <w:jc w:val="left"/>
              <w:rPr>
                <w:rFonts w:hint="default" w:ascii="Times New Roman" w:hAnsi="Times New Roman" w:eastAsia="宋体" w:cs="Times New Roman"/>
              </w:rPr>
            </w:pPr>
            <w:r>
              <w:rPr>
                <w:rFonts w:hint="default" w:ascii="Times New Roman" w:hAnsi="Times New Roman" w:eastAsia="宋体" w:cs="Times New Roman"/>
              </w:rPr>
              <w:object>
                <v:shape id="_x0000_i1027" o:spt="75" type="#_x0000_t75" style="height:14.25pt;width:72pt;" o:ole="t" fillcolor="#6D6D6D" filled="f" o:preferrelative="t" stroked="f" coordsize="21600,21600">
                  <v:path/>
                  <v:fill on="f" focussize="0,0"/>
                  <v:stroke on="f"/>
                  <v:imagedata r:id="rId19" o:title=""/>
                  <o:lock v:ext="edit" aspectratio="t"/>
                  <w10:wrap type="none"/>
                  <w10:anchorlock/>
                </v:shape>
                <o:OLEObject Type="Embed" ProgID="Equation.3" ShapeID="_x0000_i1027" DrawAspect="Content" ObjectID="_1468075727" r:id="rId18">
                  <o:LockedField>false</o:LockedField>
                </o:OLEObject>
              </w:object>
            </w:r>
            <w:r>
              <w:rPr>
                <w:rFonts w:hint="default" w:ascii="Times New Roman" w:hAnsi="Times New Roman" w:eastAsia="宋体" w:cs="Times New Roman"/>
              </w:rPr>
              <w:t>—卫生防护距离计算系数；</w:t>
            </w:r>
          </w:p>
          <w:p>
            <w:pPr>
              <w:widowControl/>
              <w:ind w:firstLine="1200" w:firstLineChars="500"/>
              <w:jc w:val="left"/>
              <w:rPr>
                <w:rFonts w:hint="default" w:ascii="Times New Roman" w:hAnsi="Times New Roman" w:eastAsia="宋体" w:cs="Times New Roman"/>
              </w:rPr>
            </w:pPr>
            <w:r>
              <w:rPr>
                <w:rFonts w:hint="default" w:ascii="Times New Roman" w:hAnsi="Times New Roman" w:eastAsia="宋体" w:cs="Times New Roman"/>
              </w:rPr>
              <w:drawing>
                <wp:inline distT="0" distB="0" distL="114300" distR="114300">
                  <wp:extent cx="228600" cy="200025"/>
                  <wp:effectExtent l="0" t="0" r="0" b="6985"/>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20"/>
                          <a:stretch>
                            <a:fillRect/>
                          </a:stretch>
                        </pic:blipFill>
                        <pic:spPr>
                          <a:xfrm>
                            <a:off x="0" y="0"/>
                            <a:ext cx="228600" cy="200025"/>
                          </a:xfrm>
                          <a:prstGeom prst="rect">
                            <a:avLst/>
                          </a:prstGeom>
                          <a:noFill/>
                          <a:ln>
                            <a:noFill/>
                          </a:ln>
                        </pic:spPr>
                      </pic:pic>
                    </a:graphicData>
                  </a:graphic>
                </wp:inline>
              </w:drawing>
            </w:r>
            <w:r>
              <w:rPr>
                <w:rFonts w:hint="default" w:ascii="Times New Roman" w:hAnsi="Times New Roman" w:eastAsia="宋体" w:cs="Times New Roman"/>
              </w:rPr>
              <w:t>—有害气体泄漏量可达到的控制水平(kg/h)。</w:t>
            </w:r>
          </w:p>
          <w:p>
            <w:pPr>
              <w:widowControl/>
              <w:snapToGrid w:val="0"/>
              <w:ind w:firstLine="480" w:firstLineChars="200"/>
              <w:jc w:val="left"/>
              <w:rPr>
                <w:rFonts w:hint="default" w:ascii="Times New Roman" w:hAnsi="Times New Roman" w:eastAsia="宋体" w:cs="Times New Roman"/>
              </w:rPr>
            </w:pPr>
            <w:r>
              <w:rPr>
                <w:rFonts w:hint="default" w:ascii="Times New Roman" w:hAnsi="Times New Roman" w:eastAsia="宋体" w:cs="Times New Roman"/>
              </w:rPr>
              <w:t>根据《制定地方大气污染物地方排放标准的技术方法》（GB/T3840-1991）中相关规定，卫生防护距离在100m以内时，级差为50m；超过100m，但小于或等于1000m时，级差为100m。当计算的L值在两级之间时，取偏宽的一级。无组织排放多种有害气体的工业企业，当计算的两种或两种以上的有害气体的卫生防护距离在同一级别时，该类工业企业的卫生防护距离应提高一级。</w:t>
            </w:r>
          </w:p>
          <w:p>
            <w:pPr>
              <w:widowControl/>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表7-</w:t>
            </w:r>
            <w:r>
              <w:rPr>
                <w:rFonts w:hint="eastAsia" w:ascii="Times New Roman" w:hAnsi="Times New Roman" w:eastAsia="宋体" w:cs="Times New Roman"/>
                <w:b/>
                <w:bCs/>
                <w:sz w:val="21"/>
                <w:szCs w:val="21"/>
                <w:lang w:val="en-US" w:eastAsia="zh-CN"/>
              </w:rPr>
              <w:t>6</w:t>
            </w:r>
            <w:r>
              <w:rPr>
                <w:rFonts w:hint="default" w:ascii="Times New Roman" w:hAnsi="Times New Roman" w:eastAsia="宋体" w:cs="Times New Roman"/>
                <w:b/>
                <w:bCs/>
                <w:sz w:val="21"/>
                <w:szCs w:val="21"/>
              </w:rPr>
              <w:t>有害气体的卫生防护距离*</w:t>
            </w:r>
          </w:p>
          <w:tbl>
            <w:tblPr>
              <w:tblStyle w:val="2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743"/>
              <w:gridCol w:w="1325"/>
              <w:gridCol w:w="1043"/>
              <w:gridCol w:w="1043"/>
              <w:gridCol w:w="687"/>
              <w:gridCol w:w="687"/>
              <w:gridCol w:w="687"/>
              <w:gridCol w:w="687"/>
              <w:gridCol w:w="690"/>
              <w:gridCol w:w="916"/>
              <w:gridCol w:w="91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4" w:hRule="atLeast"/>
                <w:jc w:val="center"/>
              </w:trPr>
              <w:tc>
                <w:tcPr>
                  <w:tcW w:w="2068" w:type="dxa"/>
                  <w:gridSpan w:val="2"/>
                  <w:tcBorders>
                    <w:top w:val="single" w:color="auto" w:sz="12" w:space="0"/>
                    <w:bottom w:val="single" w:color="auto" w:sz="12" w:space="0"/>
                  </w:tcBorders>
                  <w:noWrap w:val="0"/>
                  <w:tcMar>
                    <w:left w:w="0" w:type="dxa"/>
                    <w:right w:w="0" w:type="dxa"/>
                  </w:tcMar>
                  <w:vAlign w:val="center"/>
                </w:tcPr>
                <w:p>
                  <w:pPr>
                    <w:widowControl/>
                    <w:autoSpaceDE w:val="0"/>
                    <w:autoSpaceDN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面源污染物名称</w:t>
                  </w:r>
                </w:p>
              </w:tc>
              <w:tc>
                <w:tcPr>
                  <w:tcW w:w="1043" w:type="dxa"/>
                  <w:tcBorders>
                    <w:top w:val="single" w:color="auto" w:sz="12" w:space="0"/>
                    <w:bottom w:val="single" w:color="auto" w:sz="12" w:space="0"/>
                  </w:tcBorders>
                  <w:noWrap w:val="0"/>
                  <w:tcMar>
                    <w:left w:w="0" w:type="dxa"/>
                    <w:right w:w="0" w:type="dxa"/>
                  </w:tcMar>
                  <w:vAlign w:val="center"/>
                </w:tcPr>
                <w:p>
                  <w:pPr>
                    <w:widowControl/>
                    <w:autoSpaceDE w:val="0"/>
                    <w:autoSpaceDN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Qc</w:t>
                  </w:r>
                </w:p>
                <w:p>
                  <w:pPr>
                    <w:widowControl/>
                    <w:autoSpaceDE w:val="0"/>
                    <w:autoSpaceDN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(kg/h)</w:t>
                  </w:r>
                </w:p>
              </w:tc>
              <w:tc>
                <w:tcPr>
                  <w:tcW w:w="1043" w:type="dxa"/>
                  <w:tcBorders>
                    <w:top w:val="single" w:color="auto" w:sz="12" w:space="0"/>
                    <w:bottom w:val="single" w:color="auto" w:sz="12" w:space="0"/>
                  </w:tcBorders>
                  <w:noWrap w:val="0"/>
                  <w:tcMar>
                    <w:left w:w="0" w:type="dxa"/>
                    <w:right w:w="0" w:type="dxa"/>
                  </w:tcMar>
                  <w:vAlign w:val="center"/>
                </w:tcPr>
                <w:p>
                  <w:pPr>
                    <w:widowControl/>
                    <w:autoSpaceDE w:val="0"/>
                    <w:autoSpaceDN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Cm</w:t>
                  </w:r>
                </w:p>
                <w:p>
                  <w:pPr>
                    <w:widowControl/>
                    <w:autoSpaceDE w:val="0"/>
                    <w:autoSpaceDN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(mg/Nm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w:t>
                  </w:r>
                </w:p>
              </w:tc>
              <w:tc>
                <w:tcPr>
                  <w:tcW w:w="687" w:type="dxa"/>
                  <w:tcBorders>
                    <w:top w:val="single" w:color="auto" w:sz="12" w:space="0"/>
                    <w:bottom w:val="single" w:color="auto" w:sz="12" w:space="0"/>
                  </w:tcBorders>
                  <w:noWrap w:val="0"/>
                  <w:tcMar>
                    <w:left w:w="0" w:type="dxa"/>
                    <w:right w:w="0" w:type="dxa"/>
                  </w:tcMar>
                  <w:vAlign w:val="center"/>
                </w:tcPr>
                <w:p>
                  <w:pPr>
                    <w:widowControl/>
                    <w:autoSpaceDE w:val="0"/>
                    <w:autoSpaceDN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R</w:t>
                  </w:r>
                </w:p>
                <w:p>
                  <w:pPr>
                    <w:widowControl/>
                    <w:autoSpaceDE w:val="0"/>
                    <w:autoSpaceDN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w:t>
                  </w:r>
                </w:p>
              </w:tc>
              <w:tc>
                <w:tcPr>
                  <w:tcW w:w="687" w:type="dxa"/>
                  <w:tcBorders>
                    <w:top w:val="single" w:color="auto" w:sz="12" w:space="0"/>
                    <w:bottom w:val="single" w:color="auto" w:sz="12" w:space="0"/>
                  </w:tcBorders>
                  <w:noWrap w:val="0"/>
                  <w:tcMar>
                    <w:left w:w="0" w:type="dxa"/>
                    <w:right w:w="0" w:type="dxa"/>
                  </w:tcMar>
                  <w:vAlign w:val="center"/>
                </w:tcPr>
                <w:p>
                  <w:pPr>
                    <w:widowControl/>
                    <w:autoSpaceDE w:val="0"/>
                    <w:autoSpaceDN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w:t>
                  </w:r>
                </w:p>
              </w:tc>
              <w:tc>
                <w:tcPr>
                  <w:tcW w:w="687" w:type="dxa"/>
                  <w:tcBorders>
                    <w:top w:val="single" w:color="auto" w:sz="12" w:space="0"/>
                    <w:bottom w:val="single" w:color="auto" w:sz="12" w:space="0"/>
                  </w:tcBorders>
                  <w:noWrap w:val="0"/>
                  <w:tcMar>
                    <w:left w:w="0" w:type="dxa"/>
                    <w:right w:w="0" w:type="dxa"/>
                  </w:tcMar>
                  <w:vAlign w:val="center"/>
                </w:tcPr>
                <w:p>
                  <w:pPr>
                    <w:widowControl/>
                    <w:autoSpaceDE w:val="0"/>
                    <w:autoSpaceDN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w:t>
                  </w:r>
                </w:p>
              </w:tc>
              <w:tc>
                <w:tcPr>
                  <w:tcW w:w="687" w:type="dxa"/>
                  <w:tcBorders>
                    <w:top w:val="single" w:color="auto" w:sz="12" w:space="0"/>
                    <w:bottom w:val="single" w:color="auto" w:sz="12" w:space="0"/>
                  </w:tcBorders>
                  <w:noWrap w:val="0"/>
                  <w:tcMar>
                    <w:left w:w="0" w:type="dxa"/>
                    <w:right w:w="0" w:type="dxa"/>
                  </w:tcMar>
                  <w:vAlign w:val="center"/>
                </w:tcPr>
                <w:p>
                  <w:pPr>
                    <w:widowControl/>
                    <w:autoSpaceDE w:val="0"/>
                    <w:autoSpaceDN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w:t>
                  </w:r>
                </w:p>
              </w:tc>
              <w:tc>
                <w:tcPr>
                  <w:tcW w:w="690" w:type="dxa"/>
                  <w:tcBorders>
                    <w:top w:val="single" w:color="auto" w:sz="12" w:space="0"/>
                    <w:bottom w:val="single" w:color="auto" w:sz="12" w:space="0"/>
                  </w:tcBorders>
                  <w:noWrap w:val="0"/>
                  <w:tcMar>
                    <w:left w:w="0" w:type="dxa"/>
                    <w:right w:w="0" w:type="dxa"/>
                  </w:tcMar>
                  <w:vAlign w:val="center"/>
                </w:tcPr>
                <w:p>
                  <w:pPr>
                    <w:widowControl/>
                    <w:autoSpaceDE w:val="0"/>
                    <w:autoSpaceDN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w:t>
                  </w:r>
                </w:p>
              </w:tc>
              <w:tc>
                <w:tcPr>
                  <w:tcW w:w="916" w:type="dxa"/>
                  <w:tcBorders>
                    <w:top w:val="single" w:color="auto" w:sz="12" w:space="0"/>
                    <w:bottom w:val="single" w:color="auto" w:sz="12" w:space="0"/>
                  </w:tcBorders>
                  <w:noWrap w:val="0"/>
                  <w:tcMar>
                    <w:left w:w="0" w:type="dxa"/>
                    <w:right w:w="0" w:type="dxa"/>
                  </w:tcMar>
                  <w:vAlign w:val="center"/>
                </w:tcPr>
                <w:p>
                  <w:pPr>
                    <w:widowControl/>
                    <w:autoSpaceDE w:val="0"/>
                    <w:autoSpaceDN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L计</w:t>
                  </w:r>
                </w:p>
                <w:p>
                  <w:pPr>
                    <w:widowControl/>
                    <w:autoSpaceDE w:val="0"/>
                    <w:autoSpaceDN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w:t>
                  </w:r>
                </w:p>
              </w:tc>
              <w:tc>
                <w:tcPr>
                  <w:tcW w:w="914" w:type="dxa"/>
                  <w:tcBorders>
                    <w:top w:val="single" w:color="auto" w:sz="12" w:space="0"/>
                    <w:bottom w:val="single" w:color="auto" w:sz="12" w:space="0"/>
                  </w:tcBorders>
                  <w:noWrap w:val="0"/>
                  <w:tcMar>
                    <w:left w:w="0" w:type="dxa"/>
                    <w:right w:w="0" w:type="dxa"/>
                  </w:tcMar>
                  <w:vAlign w:val="center"/>
                </w:tcPr>
                <w:p>
                  <w:pPr>
                    <w:widowControl/>
                    <w:autoSpaceDE w:val="0"/>
                    <w:autoSpaceDN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w:t>
                  </w:r>
                </w:p>
                <w:p>
                  <w:pPr>
                    <w:widowControl/>
                    <w:autoSpaceDE w:val="0"/>
                    <w:autoSpaceDN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212" w:hRule="atLeast"/>
                <w:jc w:val="center"/>
              </w:trPr>
              <w:tc>
                <w:tcPr>
                  <w:tcW w:w="743" w:type="dxa"/>
                  <w:vMerge w:val="restart"/>
                  <w:tcBorders>
                    <w:top w:val="single" w:color="auto" w:sz="12" w:space="0"/>
                  </w:tcBorders>
                  <w:noWrap w:val="0"/>
                  <w:tcMar>
                    <w:left w:w="0" w:type="dxa"/>
                    <w:right w:w="0" w:type="dxa"/>
                  </w:tcMar>
                  <w:vAlign w:val="center"/>
                </w:tcPr>
                <w:p>
                  <w:pPr>
                    <w:widowControl/>
                    <w:autoSpaceDE w:val="0"/>
                    <w:autoSpaceDN w:val="0"/>
                    <w:snapToGrid w:val="0"/>
                    <w:spacing w:line="240" w:lineRule="auto"/>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车间</w:t>
                  </w:r>
                </w:p>
              </w:tc>
              <w:tc>
                <w:tcPr>
                  <w:tcW w:w="1325" w:type="dxa"/>
                  <w:tcBorders>
                    <w:top w:val="single" w:color="auto" w:sz="12" w:space="0"/>
                  </w:tcBorders>
                  <w:noWrap w:val="0"/>
                  <w:tcMar>
                    <w:left w:w="0" w:type="dxa"/>
                    <w:right w:w="0" w:type="dxa"/>
                  </w:tcMar>
                  <w:vAlign w:val="center"/>
                </w:tcPr>
                <w:p>
                  <w:pPr>
                    <w:widowControl/>
                    <w:autoSpaceDE w:val="0"/>
                    <w:autoSpaceDN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w:t>
                  </w:r>
                </w:p>
              </w:tc>
              <w:tc>
                <w:tcPr>
                  <w:tcW w:w="1043" w:type="dxa"/>
                  <w:tcBorders>
                    <w:top w:val="single" w:color="auto" w:sz="12" w:space="0"/>
                  </w:tcBorders>
                  <w:noWrap w:val="0"/>
                  <w:tcMar>
                    <w:left w:w="0" w:type="dxa"/>
                    <w:right w:w="0" w:type="dxa"/>
                  </w:tcMar>
                  <w:vAlign w:val="center"/>
                </w:tcPr>
                <w:p>
                  <w:pPr>
                    <w:widowControl/>
                    <w:snapToGrid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0.0625</w:t>
                  </w:r>
                </w:p>
              </w:tc>
              <w:tc>
                <w:tcPr>
                  <w:tcW w:w="1043" w:type="dxa"/>
                  <w:tcBorders>
                    <w:top w:val="single" w:color="auto" w:sz="12" w:space="0"/>
                  </w:tcBorders>
                  <w:noWrap w:val="0"/>
                  <w:tcMar>
                    <w:left w:w="0" w:type="dxa"/>
                    <w:right w:w="0" w:type="dxa"/>
                  </w:tcMar>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sz w:val="21"/>
                      <w:szCs w:val="21"/>
                    </w:rPr>
                    <w:t>2</w:t>
                  </w:r>
                </w:p>
              </w:tc>
              <w:tc>
                <w:tcPr>
                  <w:tcW w:w="687" w:type="dxa"/>
                  <w:vMerge w:val="restart"/>
                  <w:tcBorders>
                    <w:top w:val="single" w:color="auto" w:sz="12" w:space="0"/>
                  </w:tcBorders>
                  <w:noWrap w:val="0"/>
                  <w:tcMar>
                    <w:left w:w="0" w:type="dxa"/>
                    <w:right w:w="0" w:type="dxa"/>
                  </w:tcMar>
                  <w:vAlign w:val="center"/>
                </w:tcPr>
                <w:p>
                  <w:pPr>
                    <w:widowControl/>
                    <w:snapToGrid w:val="0"/>
                    <w:spacing w:line="240" w:lineRule="auto"/>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19</w:t>
                  </w:r>
                </w:p>
              </w:tc>
              <w:tc>
                <w:tcPr>
                  <w:tcW w:w="687" w:type="dxa"/>
                  <w:vMerge w:val="restart"/>
                  <w:tcBorders>
                    <w:top w:val="single" w:color="auto" w:sz="12" w:space="0"/>
                  </w:tcBorders>
                  <w:noWrap w:val="0"/>
                  <w:tcMar>
                    <w:left w:w="0" w:type="dxa"/>
                    <w:right w:w="0" w:type="dxa"/>
                  </w:tcMar>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470</w:t>
                  </w:r>
                </w:p>
              </w:tc>
              <w:tc>
                <w:tcPr>
                  <w:tcW w:w="687" w:type="dxa"/>
                  <w:vMerge w:val="restart"/>
                  <w:tcBorders>
                    <w:top w:val="single" w:color="auto" w:sz="12" w:space="0"/>
                  </w:tcBorders>
                  <w:noWrap w:val="0"/>
                  <w:tcMar>
                    <w:left w:w="0" w:type="dxa"/>
                    <w:right w:w="0" w:type="dxa"/>
                  </w:tcMar>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0.021</w:t>
                  </w:r>
                </w:p>
              </w:tc>
              <w:tc>
                <w:tcPr>
                  <w:tcW w:w="687" w:type="dxa"/>
                  <w:vMerge w:val="restart"/>
                  <w:tcBorders>
                    <w:top w:val="single" w:color="auto" w:sz="12" w:space="0"/>
                  </w:tcBorders>
                  <w:noWrap w:val="0"/>
                  <w:tcMar>
                    <w:left w:w="0" w:type="dxa"/>
                    <w:right w:w="0" w:type="dxa"/>
                  </w:tcMar>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1.85</w:t>
                  </w:r>
                </w:p>
              </w:tc>
              <w:tc>
                <w:tcPr>
                  <w:tcW w:w="690" w:type="dxa"/>
                  <w:vMerge w:val="restart"/>
                  <w:tcBorders>
                    <w:top w:val="single" w:color="auto" w:sz="12" w:space="0"/>
                  </w:tcBorders>
                  <w:noWrap w:val="0"/>
                  <w:tcMar>
                    <w:left w:w="0" w:type="dxa"/>
                    <w:right w:w="0" w:type="dxa"/>
                  </w:tcMar>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0.84</w:t>
                  </w:r>
                </w:p>
              </w:tc>
              <w:tc>
                <w:tcPr>
                  <w:tcW w:w="916" w:type="dxa"/>
                  <w:tcBorders>
                    <w:top w:val="single" w:color="auto" w:sz="12" w:space="0"/>
                  </w:tcBorders>
                  <w:noWrap w:val="0"/>
                  <w:tcMar>
                    <w:left w:w="0" w:type="dxa"/>
                    <w:right w:w="0" w:type="dxa"/>
                  </w:tcMar>
                  <w:vAlign w:val="center"/>
                </w:tcPr>
                <w:p>
                  <w:pPr>
                    <w:widowControl/>
                    <w:snapToGrid w:val="0"/>
                    <w:spacing w:line="240" w:lineRule="auto"/>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1.75</w:t>
                  </w:r>
                </w:p>
              </w:tc>
              <w:tc>
                <w:tcPr>
                  <w:tcW w:w="914" w:type="dxa"/>
                  <w:tcBorders>
                    <w:top w:val="single" w:color="auto" w:sz="12" w:space="0"/>
                  </w:tcBorders>
                  <w:noWrap w:val="0"/>
                  <w:tcMar>
                    <w:left w:w="0" w:type="dxa"/>
                    <w:right w:w="0" w:type="dxa"/>
                  </w:tcMar>
                  <w:vAlign w:val="center"/>
                </w:tcPr>
                <w:p>
                  <w:pPr>
                    <w:widowControl/>
                    <w:snapToGrid w:val="0"/>
                    <w:spacing w:line="240" w:lineRule="auto"/>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270" w:hRule="atLeast"/>
                <w:jc w:val="center"/>
              </w:trPr>
              <w:tc>
                <w:tcPr>
                  <w:tcW w:w="743" w:type="dxa"/>
                  <w:vMerge w:val="continue"/>
                  <w:noWrap w:val="0"/>
                  <w:tcMar>
                    <w:left w:w="0" w:type="dxa"/>
                    <w:right w:w="0" w:type="dxa"/>
                  </w:tcMar>
                  <w:vAlign w:val="center"/>
                </w:tcPr>
                <w:p>
                  <w:pPr>
                    <w:autoSpaceDE w:val="0"/>
                    <w:autoSpaceDN w:val="0"/>
                    <w:snapToGrid w:val="0"/>
                    <w:spacing w:line="240" w:lineRule="auto"/>
                    <w:jc w:val="center"/>
                    <w:rPr>
                      <w:rFonts w:hint="default" w:ascii="Times New Roman" w:hAnsi="Times New Roman" w:eastAsia="宋体" w:cs="Times New Roman"/>
                      <w:sz w:val="21"/>
                      <w:szCs w:val="21"/>
                    </w:rPr>
                  </w:pPr>
                </w:p>
              </w:tc>
              <w:tc>
                <w:tcPr>
                  <w:tcW w:w="1325" w:type="dxa"/>
                  <w:noWrap w:val="0"/>
                  <w:tcMar>
                    <w:left w:w="0" w:type="dxa"/>
                    <w:right w:w="0" w:type="dxa"/>
                  </w:tcMar>
                  <w:vAlign w:val="center"/>
                </w:tcPr>
                <w:p>
                  <w:pPr>
                    <w:autoSpaceDE w:val="0"/>
                    <w:autoSpaceDN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颗粒物</w:t>
                  </w:r>
                </w:p>
              </w:tc>
              <w:tc>
                <w:tcPr>
                  <w:tcW w:w="1043" w:type="dxa"/>
                  <w:noWrap w:val="0"/>
                  <w:tcMar>
                    <w:left w:w="0" w:type="dxa"/>
                    <w:right w:w="0" w:type="dxa"/>
                  </w:tcMar>
                  <w:vAlign w:val="center"/>
                </w:tcPr>
                <w:p>
                  <w:pPr>
                    <w:snapToGrid w:val="0"/>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0.01</w:t>
                  </w:r>
                  <w:r>
                    <w:rPr>
                      <w:rFonts w:hint="eastAsia" w:cs="Times New Roman"/>
                      <w:sz w:val="21"/>
                      <w:szCs w:val="21"/>
                      <w:lang w:val="en-US" w:eastAsia="zh-CN"/>
                    </w:rPr>
                    <w:t>36</w:t>
                  </w:r>
                </w:p>
              </w:tc>
              <w:tc>
                <w:tcPr>
                  <w:tcW w:w="1043" w:type="dxa"/>
                  <w:noWrap w:val="0"/>
                  <w:tcMar>
                    <w:left w:w="0" w:type="dxa"/>
                    <w:right w:w="0" w:type="dxa"/>
                  </w:tcMar>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b w:val="0"/>
                      <w:sz w:val="21"/>
                      <w:szCs w:val="21"/>
                      <w:lang w:val="en-US" w:eastAsia="zh-CN"/>
                    </w:rPr>
                    <w:t>0.9</w:t>
                  </w:r>
                </w:p>
              </w:tc>
              <w:tc>
                <w:tcPr>
                  <w:tcW w:w="687" w:type="dxa"/>
                  <w:vMerge w:val="continue"/>
                  <w:noWrap w:val="0"/>
                  <w:tcMar>
                    <w:left w:w="0" w:type="dxa"/>
                    <w:right w:w="0" w:type="dxa"/>
                  </w:tcMar>
                  <w:vAlign w:val="center"/>
                </w:tcPr>
                <w:p>
                  <w:pPr>
                    <w:widowControl/>
                    <w:snapToGrid w:val="0"/>
                    <w:spacing w:line="240" w:lineRule="auto"/>
                    <w:jc w:val="center"/>
                    <w:rPr>
                      <w:rFonts w:hint="default" w:ascii="Times New Roman" w:hAnsi="Times New Roman" w:eastAsia="宋体" w:cs="Times New Roman"/>
                      <w:sz w:val="21"/>
                      <w:szCs w:val="21"/>
                    </w:rPr>
                  </w:pPr>
                </w:p>
              </w:tc>
              <w:tc>
                <w:tcPr>
                  <w:tcW w:w="687" w:type="dxa"/>
                  <w:vMerge w:val="continue"/>
                  <w:noWrap w:val="0"/>
                  <w:tcMar>
                    <w:left w:w="0" w:type="dxa"/>
                    <w:right w:w="0" w:type="dxa"/>
                  </w:tcMar>
                  <w:vAlign w:val="center"/>
                </w:tcPr>
                <w:p>
                  <w:pPr>
                    <w:widowControl/>
                    <w:snapToGrid w:val="0"/>
                    <w:spacing w:line="240" w:lineRule="auto"/>
                    <w:jc w:val="center"/>
                    <w:rPr>
                      <w:rFonts w:hint="default" w:ascii="Times New Roman" w:hAnsi="Times New Roman" w:eastAsia="宋体" w:cs="Times New Roman"/>
                      <w:sz w:val="21"/>
                      <w:szCs w:val="21"/>
                    </w:rPr>
                  </w:pPr>
                </w:p>
              </w:tc>
              <w:tc>
                <w:tcPr>
                  <w:tcW w:w="687" w:type="dxa"/>
                  <w:vMerge w:val="continue"/>
                  <w:noWrap w:val="0"/>
                  <w:tcMar>
                    <w:left w:w="0" w:type="dxa"/>
                    <w:right w:w="0" w:type="dxa"/>
                  </w:tcMar>
                  <w:vAlign w:val="center"/>
                </w:tcPr>
                <w:p>
                  <w:pPr>
                    <w:widowControl/>
                    <w:snapToGrid w:val="0"/>
                    <w:spacing w:line="240" w:lineRule="auto"/>
                    <w:jc w:val="center"/>
                    <w:rPr>
                      <w:rFonts w:hint="default" w:ascii="Times New Roman" w:hAnsi="Times New Roman" w:eastAsia="宋体" w:cs="Times New Roman"/>
                      <w:sz w:val="21"/>
                      <w:szCs w:val="21"/>
                    </w:rPr>
                  </w:pPr>
                </w:p>
              </w:tc>
              <w:tc>
                <w:tcPr>
                  <w:tcW w:w="687" w:type="dxa"/>
                  <w:vMerge w:val="continue"/>
                  <w:noWrap w:val="0"/>
                  <w:tcMar>
                    <w:left w:w="0" w:type="dxa"/>
                    <w:right w:w="0" w:type="dxa"/>
                  </w:tcMar>
                  <w:vAlign w:val="center"/>
                </w:tcPr>
                <w:p>
                  <w:pPr>
                    <w:widowControl/>
                    <w:snapToGrid w:val="0"/>
                    <w:spacing w:line="240" w:lineRule="auto"/>
                    <w:jc w:val="center"/>
                    <w:rPr>
                      <w:rFonts w:hint="default" w:ascii="Times New Roman" w:hAnsi="Times New Roman" w:eastAsia="宋体" w:cs="Times New Roman"/>
                      <w:sz w:val="21"/>
                      <w:szCs w:val="21"/>
                    </w:rPr>
                  </w:pPr>
                </w:p>
              </w:tc>
              <w:tc>
                <w:tcPr>
                  <w:tcW w:w="690" w:type="dxa"/>
                  <w:vMerge w:val="continue"/>
                  <w:noWrap w:val="0"/>
                  <w:tcMar>
                    <w:left w:w="0" w:type="dxa"/>
                    <w:right w:w="0" w:type="dxa"/>
                  </w:tcMar>
                  <w:vAlign w:val="center"/>
                </w:tcPr>
                <w:p>
                  <w:pPr>
                    <w:widowControl/>
                    <w:snapToGrid w:val="0"/>
                    <w:spacing w:line="240" w:lineRule="auto"/>
                    <w:jc w:val="center"/>
                    <w:rPr>
                      <w:rFonts w:hint="default" w:ascii="Times New Roman" w:hAnsi="Times New Roman" w:eastAsia="宋体" w:cs="Times New Roman"/>
                      <w:sz w:val="21"/>
                      <w:szCs w:val="21"/>
                    </w:rPr>
                  </w:pPr>
                </w:p>
              </w:tc>
              <w:tc>
                <w:tcPr>
                  <w:tcW w:w="916" w:type="dxa"/>
                  <w:noWrap w:val="0"/>
                  <w:tcMar>
                    <w:left w:w="0" w:type="dxa"/>
                    <w:right w:w="0" w:type="dxa"/>
                  </w:tcMar>
                  <w:vAlign w:val="center"/>
                </w:tcPr>
                <w:p>
                  <w:pPr>
                    <w:snapToGrid w:val="0"/>
                    <w:spacing w:line="240" w:lineRule="auto"/>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0.246</w:t>
                  </w:r>
                </w:p>
              </w:tc>
              <w:tc>
                <w:tcPr>
                  <w:tcW w:w="914" w:type="dxa"/>
                  <w:noWrap w:val="0"/>
                  <w:tcMar>
                    <w:left w:w="0" w:type="dxa"/>
                    <w:right w:w="0" w:type="dxa"/>
                  </w:tcMar>
                  <w:vAlign w:val="center"/>
                </w:tcPr>
                <w:p>
                  <w:pPr>
                    <w:snapToGrid w:val="0"/>
                    <w:spacing w:line="240" w:lineRule="auto"/>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50</w:t>
                  </w:r>
                </w:p>
              </w:tc>
            </w:tr>
          </w:tbl>
          <w:p>
            <w:pPr>
              <w:widowControl/>
              <w:jc w:val="left"/>
              <w:rPr>
                <w:rFonts w:hint="default" w:ascii="Times New Roman" w:hAnsi="Times New Roman" w:eastAsia="宋体" w:cs="Times New Roman"/>
              </w:rPr>
            </w:pPr>
            <w:r>
              <w:rPr>
                <w:rFonts w:hint="default" w:ascii="Times New Roman" w:hAnsi="Times New Roman" w:eastAsia="宋体" w:cs="Times New Roman"/>
              </w:rPr>
              <w:t>*说明：表中数据单位同计算公式中的单位。</w:t>
            </w:r>
          </w:p>
          <w:p>
            <w:pPr>
              <w:widowControl/>
              <w:autoSpaceDE w:val="0"/>
              <w:autoSpaceDN w:val="0"/>
              <w:adjustRightInd w:val="0"/>
              <w:ind w:firstLine="480" w:firstLineChars="200"/>
              <w:jc w:val="left"/>
              <w:rPr>
                <w:rFonts w:hint="default" w:ascii="Times New Roman" w:hAnsi="Times New Roman" w:eastAsia="宋体" w:cs="Times New Roman"/>
              </w:rPr>
            </w:pPr>
            <w:r>
              <w:rPr>
                <w:rFonts w:hint="default" w:ascii="Times New Roman" w:hAnsi="Times New Roman" w:eastAsia="宋体" w:cs="Times New Roman"/>
                <w:lang w:eastAsia="zh-CN"/>
              </w:rPr>
              <w:t>根据原环评，现有项目</w:t>
            </w:r>
            <w:r>
              <w:rPr>
                <w:rFonts w:hint="default" w:ascii="Times New Roman" w:hAnsi="Times New Roman" w:eastAsia="宋体" w:cs="Times New Roman"/>
                <w:color w:val="000000"/>
                <w:sz w:val="24"/>
              </w:rPr>
              <w:t>卫生防护距离取50米</w:t>
            </w:r>
            <w:r>
              <w:rPr>
                <w:rFonts w:hint="default" w:ascii="Times New Roman" w:hAnsi="Times New Roman" w:eastAsia="宋体" w:cs="Times New Roman"/>
                <w:color w:val="000000"/>
                <w:sz w:val="24"/>
                <w:lang w:eastAsia="zh-CN"/>
              </w:rPr>
              <w:t>，</w:t>
            </w:r>
            <w:r>
              <w:rPr>
                <w:rFonts w:hint="default" w:ascii="Times New Roman" w:hAnsi="Times New Roman" w:eastAsia="宋体" w:cs="Times New Roman"/>
                <w:lang w:eastAsia="zh-CN"/>
              </w:rPr>
              <w:t>结合</w:t>
            </w:r>
            <w:r>
              <w:rPr>
                <w:rFonts w:hint="default" w:ascii="Times New Roman" w:hAnsi="Times New Roman" w:eastAsia="宋体" w:cs="Times New Roman"/>
              </w:rPr>
              <w:t>以上计算结果，</w:t>
            </w:r>
            <w:r>
              <w:rPr>
                <w:rFonts w:hint="eastAsia"/>
              </w:rPr>
              <w:t>当按两种或两种以上的有害气体计算的卫生防护距离在同一级别，该工业企业的卫生防护距离级别应提高一级，</w:t>
            </w:r>
            <w:r>
              <w:rPr>
                <w:rFonts w:hint="default" w:ascii="Times New Roman" w:hAnsi="Times New Roman" w:eastAsia="宋体" w:cs="Times New Roman"/>
              </w:rPr>
              <w:t>本项目</w:t>
            </w:r>
            <w:r>
              <w:rPr>
                <w:rFonts w:hint="default" w:ascii="Times New Roman" w:hAnsi="Times New Roman" w:eastAsia="宋体" w:cs="Times New Roman"/>
                <w:lang w:val="en-US" w:eastAsia="zh-CN"/>
              </w:rPr>
              <w:t>以厂界</w:t>
            </w:r>
            <w:r>
              <w:rPr>
                <w:rFonts w:hint="default" w:ascii="Times New Roman" w:hAnsi="Times New Roman" w:eastAsia="宋体" w:cs="Times New Roman"/>
              </w:rPr>
              <w:t>设置100m的卫生防护距离。经现场勘查，本项目以生产车间为边界周边100m范围内没有居民区、医院、学校等敏感目标。在本项目卫生防护距离内，今后也不得建设居民区、医院、学校等敏感建筑。</w:t>
            </w:r>
          </w:p>
          <w:p>
            <w:pPr>
              <w:pStyle w:val="2"/>
              <w:ind w:firstLine="480"/>
              <w:rPr>
                <w:rFonts w:hint="default" w:ascii="Times New Roman" w:hAnsi="Times New Roman" w:eastAsia="宋体" w:cs="Times New Roman"/>
              </w:rPr>
            </w:pPr>
            <w:r>
              <w:rPr>
                <w:rFonts w:hint="default" w:ascii="Times New Roman" w:hAnsi="Times New Roman" w:eastAsia="宋体" w:cs="Times New Roman"/>
              </w:rPr>
              <w:t>因此，本项目营运期产生的大气污染物对项目周环境空气的影响较小，不会改变区域的环境空气质量类别。</w:t>
            </w:r>
          </w:p>
          <w:p>
            <w:pPr>
              <w:widowControl/>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表7-</w:t>
            </w:r>
            <w:r>
              <w:rPr>
                <w:rFonts w:hint="eastAsia" w:ascii="Times New Roman" w:hAnsi="Times New Roman" w:eastAsia="宋体" w:cs="Times New Roman"/>
                <w:b/>
                <w:bCs/>
                <w:sz w:val="21"/>
                <w:szCs w:val="21"/>
                <w:lang w:val="en-US" w:eastAsia="zh-CN"/>
              </w:rPr>
              <w:t>7</w:t>
            </w:r>
            <w:r>
              <w:rPr>
                <w:rFonts w:hint="default" w:ascii="Times New Roman" w:hAnsi="Times New Roman" w:eastAsia="宋体" w:cs="Times New Roman"/>
                <w:b/>
                <w:bCs/>
                <w:sz w:val="21"/>
                <w:szCs w:val="21"/>
              </w:rPr>
              <w:t>建设项目大气环境影响评价自查表</w:t>
            </w:r>
          </w:p>
          <w:tbl>
            <w:tblPr>
              <w:tblStyle w:val="26"/>
              <w:tblW w:w="0" w:type="auto"/>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994"/>
              <w:gridCol w:w="1578"/>
              <w:gridCol w:w="921"/>
              <w:gridCol w:w="736"/>
              <w:gridCol w:w="238"/>
              <w:gridCol w:w="203"/>
              <w:gridCol w:w="18"/>
              <w:gridCol w:w="276"/>
              <w:gridCol w:w="507"/>
              <w:gridCol w:w="637"/>
              <w:gridCol w:w="702"/>
              <w:gridCol w:w="636"/>
              <w:gridCol w:w="399"/>
              <w:gridCol w:w="860"/>
              <w:gridCol w:w="71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4" w:hRule="atLeast"/>
              </w:trPr>
              <w:tc>
                <w:tcPr>
                  <w:tcW w:w="2704" w:type="dxa"/>
                  <w:gridSpan w:val="2"/>
                  <w:tcBorders>
                    <w:top w:val="single" w:color="auto" w:sz="12" w:space="0"/>
                  </w:tcBorders>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工作内容</w:t>
                  </w:r>
                </w:p>
              </w:tc>
              <w:tc>
                <w:tcPr>
                  <w:tcW w:w="6709" w:type="dxa"/>
                  <w:gridSpan w:val="13"/>
                  <w:tcBorders>
                    <w:top w:val="single" w:color="auto" w:sz="12" w:space="0"/>
                  </w:tcBorders>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自查项目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4" w:hRule="atLeast"/>
              </w:trPr>
              <w:tc>
                <w:tcPr>
                  <w:tcW w:w="1063" w:type="dxa"/>
                  <w:vMerge w:val="restart"/>
                  <w:tcBorders>
                    <w:top w:val="single" w:color="auto" w:sz="12" w:space="0"/>
                  </w:tcBorders>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评价等级与范围</w:t>
                  </w:r>
                </w:p>
              </w:tc>
              <w:tc>
                <w:tcPr>
                  <w:tcW w:w="1641" w:type="dxa"/>
                  <w:tcBorders>
                    <w:top w:val="single" w:color="auto" w:sz="12" w:space="0"/>
                  </w:tcBorders>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评价等级</w:t>
                  </w:r>
                </w:p>
              </w:tc>
              <w:tc>
                <w:tcPr>
                  <w:tcW w:w="1640" w:type="dxa"/>
                  <w:gridSpan w:val="2"/>
                  <w:tcBorders>
                    <w:top w:val="single" w:color="auto" w:sz="12" w:space="0"/>
                  </w:tcBorders>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一级□</w:t>
                  </w:r>
                </w:p>
              </w:tc>
              <w:tc>
                <w:tcPr>
                  <w:tcW w:w="3429" w:type="dxa"/>
                  <w:gridSpan w:val="9"/>
                  <w:tcBorders>
                    <w:top w:val="single" w:color="auto" w:sz="12" w:space="0"/>
                  </w:tcBorders>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二级</w:t>
                  </w:r>
                  <w:r>
                    <w:rPr>
                      <w:rFonts w:hint="default" w:ascii="Times New Roman" w:hAnsi="Times New Roman" w:eastAsia="宋体" w:cs="Times New Roman"/>
                      <w:sz w:val="21"/>
                      <w:szCs w:val="21"/>
                    </w:rPr>
                    <w:sym w:font="Wingdings 2" w:char="0052"/>
                  </w:r>
                </w:p>
              </w:tc>
              <w:tc>
                <w:tcPr>
                  <w:tcW w:w="1640" w:type="dxa"/>
                  <w:gridSpan w:val="2"/>
                  <w:tcBorders>
                    <w:top w:val="single" w:color="auto" w:sz="12" w:space="0"/>
                  </w:tcBorders>
                  <w:noWrap w:val="0"/>
                  <w:vAlign w:val="center"/>
                </w:tcPr>
                <w:p>
                  <w:pPr>
                    <w:widowControl/>
                    <w:snapToGrid w:val="0"/>
                    <w:spacing w:line="240" w:lineRule="auto"/>
                    <w:jc w:val="center"/>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三级</w:t>
                  </w:r>
                  <w:r>
                    <w:rPr>
                      <w:rFonts w:hint="eastAsia" w:cs="Times New Roman"/>
                      <w:sz w:val="21"/>
                      <w:szCs w:val="21"/>
                      <w:lang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4" w:hRule="atLeast"/>
              </w:trPr>
              <w:tc>
                <w:tcPr>
                  <w:tcW w:w="1063" w:type="dxa"/>
                  <w:vMerge w:val="continue"/>
                  <w:noWrap w:val="0"/>
                  <w:vAlign w:val="center"/>
                </w:tcPr>
                <w:p>
                  <w:pPr>
                    <w:widowControl/>
                    <w:snapToGrid w:val="0"/>
                    <w:spacing w:line="240" w:lineRule="auto"/>
                    <w:jc w:val="center"/>
                    <w:rPr>
                      <w:rFonts w:hint="default" w:ascii="Times New Roman" w:hAnsi="Times New Roman" w:eastAsia="宋体" w:cs="Times New Roman"/>
                      <w:sz w:val="21"/>
                      <w:szCs w:val="21"/>
                    </w:rPr>
                  </w:pPr>
                </w:p>
              </w:tc>
              <w:tc>
                <w:tcPr>
                  <w:tcW w:w="1641"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评价范围</w:t>
                  </w:r>
                </w:p>
              </w:tc>
              <w:tc>
                <w:tcPr>
                  <w:tcW w:w="1640" w:type="dxa"/>
                  <w:gridSpan w:val="2"/>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边长=50km□</w:t>
                  </w:r>
                </w:p>
              </w:tc>
              <w:tc>
                <w:tcPr>
                  <w:tcW w:w="3429" w:type="dxa"/>
                  <w:gridSpan w:val="9"/>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边长5～50km□</w:t>
                  </w:r>
                </w:p>
              </w:tc>
              <w:tc>
                <w:tcPr>
                  <w:tcW w:w="1640" w:type="dxa"/>
                  <w:gridSpan w:val="2"/>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边长=5km□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4" w:hRule="atLeast"/>
              </w:trPr>
              <w:tc>
                <w:tcPr>
                  <w:tcW w:w="1063" w:type="dxa"/>
                  <w:vMerge w:val="restart"/>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评价因子</w:t>
                  </w:r>
                </w:p>
              </w:tc>
              <w:tc>
                <w:tcPr>
                  <w:tcW w:w="1641"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SO</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+NO</w:t>
                  </w:r>
                  <w:r>
                    <w:rPr>
                      <w:rFonts w:hint="default" w:ascii="Times New Roman" w:hAnsi="Times New Roman" w:eastAsia="宋体" w:cs="Times New Roman"/>
                      <w:sz w:val="21"/>
                      <w:szCs w:val="21"/>
                      <w:vertAlign w:val="subscript"/>
                    </w:rPr>
                    <w:t>X</w:t>
                  </w:r>
                  <w:r>
                    <w:rPr>
                      <w:rFonts w:hint="default" w:ascii="Times New Roman" w:hAnsi="Times New Roman" w:eastAsia="宋体" w:cs="Times New Roman"/>
                      <w:sz w:val="21"/>
                      <w:szCs w:val="21"/>
                    </w:rPr>
                    <w:t>排放量</w:t>
                  </w:r>
                </w:p>
              </w:tc>
              <w:tc>
                <w:tcPr>
                  <w:tcW w:w="1640" w:type="dxa"/>
                  <w:gridSpan w:val="2"/>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≥2000t/a□</w:t>
                  </w:r>
                </w:p>
              </w:tc>
              <w:tc>
                <w:tcPr>
                  <w:tcW w:w="3429" w:type="dxa"/>
                  <w:gridSpan w:val="9"/>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500～2000t/a□</w:t>
                  </w:r>
                </w:p>
              </w:tc>
              <w:tc>
                <w:tcPr>
                  <w:tcW w:w="1640" w:type="dxa"/>
                  <w:gridSpan w:val="2"/>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＜500t/a□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4" w:hRule="atLeast"/>
              </w:trPr>
              <w:tc>
                <w:tcPr>
                  <w:tcW w:w="1063" w:type="dxa"/>
                  <w:vMerge w:val="continue"/>
                  <w:noWrap w:val="0"/>
                  <w:vAlign w:val="center"/>
                </w:tcPr>
                <w:p>
                  <w:pPr>
                    <w:widowControl/>
                    <w:snapToGrid w:val="0"/>
                    <w:spacing w:line="240" w:lineRule="auto"/>
                    <w:jc w:val="center"/>
                    <w:rPr>
                      <w:rFonts w:hint="default" w:ascii="Times New Roman" w:hAnsi="Times New Roman" w:eastAsia="宋体" w:cs="Times New Roman"/>
                      <w:sz w:val="21"/>
                      <w:szCs w:val="21"/>
                    </w:rPr>
                  </w:pPr>
                </w:p>
              </w:tc>
              <w:tc>
                <w:tcPr>
                  <w:tcW w:w="1641"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评价因子</w:t>
                  </w:r>
                </w:p>
              </w:tc>
              <w:tc>
                <w:tcPr>
                  <w:tcW w:w="5069" w:type="dxa"/>
                  <w:gridSpan w:val="11"/>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基本污染物（SO2、NO2、PM10、CO、O3、PM2.5）</w:t>
                  </w:r>
                </w:p>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其他污染物（ 非甲烷总烃 ）</w:t>
                  </w:r>
                </w:p>
              </w:tc>
              <w:tc>
                <w:tcPr>
                  <w:tcW w:w="1640" w:type="dxa"/>
                  <w:gridSpan w:val="2"/>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包括二次PM2.5</w:t>
                  </w:r>
                </w:p>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不包括二次PM2.5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4" w:hRule="atLeast"/>
              </w:trPr>
              <w:tc>
                <w:tcPr>
                  <w:tcW w:w="1063"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评价标准</w:t>
                  </w:r>
                </w:p>
              </w:tc>
              <w:tc>
                <w:tcPr>
                  <w:tcW w:w="1641"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评价标准</w:t>
                  </w:r>
                </w:p>
              </w:tc>
              <w:tc>
                <w:tcPr>
                  <w:tcW w:w="1640" w:type="dxa"/>
                  <w:gridSpan w:val="2"/>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国家标准☑</w:t>
                  </w:r>
                </w:p>
              </w:tc>
              <w:tc>
                <w:tcPr>
                  <w:tcW w:w="1759" w:type="dxa"/>
                  <w:gridSpan w:val="6"/>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地方标准□</w:t>
                  </w:r>
                </w:p>
              </w:tc>
              <w:tc>
                <w:tcPr>
                  <w:tcW w:w="1670" w:type="dxa"/>
                  <w:gridSpan w:val="3"/>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附录D□</w:t>
                  </w:r>
                </w:p>
              </w:tc>
              <w:tc>
                <w:tcPr>
                  <w:tcW w:w="1640" w:type="dxa"/>
                  <w:gridSpan w:val="2"/>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其他标准☑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4" w:hRule="atLeast"/>
              </w:trPr>
              <w:tc>
                <w:tcPr>
                  <w:tcW w:w="1063" w:type="dxa"/>
                  <w:vMerge w:val="restart"/>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现状评价</w:t>
                  </w:r>
                </w:p>
              </w:tc>
              <w:tc>
                <w:tcPr>
                  <w:tcW w:w="1641"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环境功能区</w:t>
                  </w:r>
                </w:p>
              </w:tc>
              <w:tc>
                <w:tcPr>
                  <w:tcW w:w="1640" w:type="dxa"/>
                  <w:gridSpan w:val="2"/>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一类区□</w:t>
                  </w:r>
                </w:p>
              </w:tc>
              <w:tc>
                <w:tcPr>
                  <w:tcW w:w="3429" w:type="dxa"/>
                  <w:gridSpan w:val="9"/>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二类区☑</w:t>
                  </w:r>
                </w:p>
              </w:tc>
              <w:tc>
                <w:tcPr>
                  <w:tcW w:w="1640" w:type="dxa"/>
                  <w:gridSpan w:val="2"/>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一类和二类区□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4" w:hRule="atLeast"/>
              </w:trPr>
              <w:tc>
                <w:tcPr>
                  <w:tcW w:w="1063" w:type="dxa"/>
                  <w:vMerge w:val="continue"/>
                  <w:noWrap w:val="0"/>
                  <w:vAlign w:val="center"/>
                </w:tcPr>
                <w:p>
                  <w:pPr>
                    <w:widowControl/>
                    <w:snapToGrid w:val="0"/>
                    <w:spacing w:line="240" w:lineRule="auto"/>
                    <w:jc w:val="center"/>
                    <w:rPr>
                      <w:rFonts w:hint="default" w:ascii="Times New Roman" w:hAnsi="Times New Roman" w:eastAsia="宋体" w:cs="Times New Roman"/>
                      <w:sz w:val="21"/>
                      <w:szCs w:val="21"/>
                    </w:rPr>
                  </w:pPr>
                </w:p>
              </w:tc>
              <w:tc>
                <w:tcPr>
                  <w:tcW w:w="1641"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评价基准年</w:t>
                  </w:r>
                </w:p>
              </w:tc>
              <w:tc>
                <w:tcPr>
                  <w:tcW w:w="6709" w:type="dxa"/>
                  <w:gridSpan w:val="13"/>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201</w:t>
                  </w:r>
                  <w:r>
                    <w:rPr>
                      <w:rFonts w:hint="eastAsia" w:cs="Times New Roman"/>
                      <w:sz w:val="21"/>
                      <w:szCs w:val="21"/>
                      <w:lang w:val="en-US" w:eastAsia="zh-CN"/>
                    </w:rPr>
                    <w:t>8</w:t>
                  </w:r>
                  <w:r>
                    <w:rPr>
                      <w:rFonts w:hint="default" w:ascii="Times New Roman" w:hAnsi="Times New Roman" w:eastAsia="宋体" w:cs="Times New Roman"/>
                      <w:sz w:val="21"/>
                      <w:szCs w:val="21"/>
                    </w:rPr>
                    <w:t xml:space="preserve">  ）年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4" w:hRule="atLeast"/>
              </w:trPr>
              <w:tc>
                <w:tcPr>
                  <w:tcW w:w="1063" w:type="dxa"/>
                  <w:vMerge w:val="continue"/>
                  <w:noWrap w:val="0"/>
                  <w:vAlign w:val="center"/>
                </w:tcPr>
                <w:p>
                  <w:pPr>
                    <w:widowControl/>
                    <w:snapToGrid w:val="0"/>
                    <w:spacing w:line="240" w:lineRule="auto"/>
                    <w:jc w:val="center"/>
                    <w:rPr>
                      <w:rFonts w:hint="default" w:ascii="Times New Roman" w:hAnsi="Times New Roman" w:eastAsia="宋体" w:cs="Times New Roman"/>
                      <w:sz w:val="21"/>
                      <w:szCs w:val="21"/>
                    </w:rPr>
                  </w:pPr>
                </w:p>
              </w:tc>
              <w:tc>
                <w:tcPr>
                  <w:tcW w:w="1641"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环境空气质量</w:t>
                  </w:r>
                </w:p>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现状调查数据来源</w:t>
                  </w:r>
                </w:p>
              </w:tc>
              <w:tc>
                <w:tcPr>
                  <w:tcW w:w="2087" w:type="dxa"/>
                  <w:gridSpan w:val="5"/>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长期例行监测数据□</w:t>
                  </w:r>
                </w:p>
              </w:tc>
              <w:tc>
                <w:tcPr>
                  <w:tcW w:w="2982" w:type="dxa"/>
                  <w:gridSpan w:val="6"/>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主管部门发布的数据☑</w:t>
                  </w:r>
                </w:p>
              </w:tc>
              <w:tc>
                <w:tcPr>
                  <w:tcW w:w="1640" w:type="dxa"/>
                  <w:gridSpan w:val="2"/>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现状补充监测□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4" w:hRule="atLeast"/>
              </w:trPr>
              <w:tc>
                <w:tcPr>
                  <w:tcW w:w="1063" w:type="dxa"/>
                  <w:vMerge w:val="continue"/>
                  <w:noWrap w:val="0"/>
                  <w:vAlign w:val="center"/>
                </w:tcPr>
                <w:p>
                  <w:pPr>
                    <w:widowControl/>
                    <w:snapToGrid w:val="0"/>
                    <w:spacing w:line="240" w:lineRule="auto"/>
                    <w:jc w:val="center"/>
                    <w:rPr>
                      <w:rFonts w:hint="default" w:ascii="Times New Roman" w:hAnsi="Times New Roman" w:eastAsia="宋体" w:cs="Times New Roman"/>
                      <w:sz w:val="21"/>
                      <w:szCs w:val="21"/>
                    </w:rPr>
                  </w:pPr>
                </w:p>
              </w:tc>
              <w:tc>
                <w:tcPr>
                  <w:tcW w:w="1641"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现状评价</w:t>
                  </w:r>
                </w:p>
              </w:tc>
              <w:tc>
                <w:tcPr>
                  <w:tcW w:w="3399" w:type="dxa"/>
                  <w:gridSpan w:val="8"/>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达标区□</w:t>
                  </w:r>
                </w:p>
              </w:tc>
              <w:tc>
                <w:tcPr>
                  <w:tcW w:w="3310" w:type="dxa"/>
                  <w:gridSpan w:val="5"/>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不达标区☑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4" w:hRule="atLeast"/>
              </w:trPr>
              <w:tc>
                <w:tcPr>
                  <w:tcW w:w="1063"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污染源</w:t>
                  </w:r>
                </w:p>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调查</w:t>
                  </w:r>
                </w:p>
              </w:tc>
              <w:tc>
                <w:tcPr>
                  <w:tcW w:w="1641"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调查内容</w:t>
                  </w:r>
                </w:p>
              </w:tc>
              <w:tc>
                <w:tcPr>
                  <w:tcW w:w="2071" w:type="dxa"/>
                  <w:gridSpan w:val="4"/>
                  <w:noWrap w:val="0"/>
                  <w:vAlign w:val="center"/>
                </w:tcPr>
                <w:p>
                  <w:pPr>
                    <w:widowControl/>
                    <w:snapToGrid w:val="0"/>
                    <w:spacing w:line="240"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本项目正常排放源□</w:t>
                  </w:r>
                </w:p>
                <w:p>
                  <w:pPr>
                    <w:widowControl/>
                    <w:snapToGrid w:val="0"/>
                    <w:spacing w:line="240"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本项目非正常排放源□</w:t>
                  </w:r>
                </w:p>
                <w:p>
                  <w:pPr>
                    <w:widowControl/>
                    <w:snapToGrid w:val="0"/>
                    <w:spacing w:line="240"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现有污染源□</w:t>
                  </w:r>
                </w:p>
              </w:tc>
              <w:tc>
                <w:tcPr>
                  <w:tcW w:w="1328" w:type="dxa"/>
                  <w:gridSpan w:val="4"/>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拟替代的污染源□</w:t>
                  </w:r>
                </w:p>
              </w:tc>
              <w:tc>
                <w:tcPr>
                  <w:tcW w:w="1670" w:type="dxa"/>
                  <w:gridSpan w:val="3"/>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其他在建、拟建项目</w:t>
                  </w:r>
                </w:p>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污染源□</w:t>
                  </w:r>
                </w:p>
              </w:tc>
              <w:tc>
                <w:tcPr>
                  <w:tcW w:w="1640" w:type="dxa"/>
                  <w:gridSpan w:val="2"/>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区域污染源□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4" w:hRule="atLeast"/>
              </w:trPr>
              <w:tc>
                <w:tcPr>
                  <w:tcW w:w="1063" w:type="dxa"/>
                  <w:vMerge w:val="restart"/>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大气环境影响预测与评价</w:t>
                  </w:r>
                </w:p>
              </w:tc>
              <w:tc>
                <w:tcPr>
                  <w:tcW w:w="1641"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预测模型</w:t>
                  </w:r>
                </w:p>
              </w:tc>
              <w:tc>
                <w:tcPr>
                  <w:tcW w:w="894" w:type="dxa"/>
                  <w:noWrap w:val="0"/>
                  <w:tcMar>
                    <w:left w:w="0" w:type="dxa"/>
                    <w:right w:w="0" w:type="dxa"/>
                  </w:tcMar>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AREMOD</w:t>
                  </w:r>
                </w:p>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46" w:type="dxa"/>
                  <w:noWrap w:val="0"/>
                  <w:tcMar>
                    <w:left w:w="0" w:type="dxa"/>
                    <w:right w:w="0" w:type="dxa"/>
                  </w:tcMar>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ADMS</w:t>
                  </w:r>
                </w:p>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92" w:type="dxa"/>
                  <w:gridSpan w:val="5"/>
                  <w:noWrap w:val="0"/>
                  <w:tcMar>
                    <w:left w:w="0" w:type="dxa"/>
                    <w:right w:w="0" w:type="dxa"/>
                  </w:tcMar>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AUSTAL2000</w:t>
                  </w:r>
                </w:p>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93" w:type="dxa"/>
                  <w:gridSpan w:val="2"/>
                  <w:noWrap w:val="0"/>
                  <w:tcMar>
                    <w:left w:w="0" w:type="dxa"/>
                    <w:right w:w="0" w:type="dxa"/>
                  </w:tcMar>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EDMS/AEDT□</w:t>
                  </w:r>
                </w:p>
              </w:tc>
              <w:tc>
                <w:tcPr>
                  <w:tcW w:w="1044" w:type="dxa"/>
                  <w:gridSpan w:val="2"/>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CALPUFF</w:t>
                  </w:r>
                </w:p>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95"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网格模型</w:t>
                  </w:r>
                </w:p>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45"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其他</w:t>
                  </w:r>
                </w:p>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4" w:hRule="atLeast"/>
              </w:trPr>
              <w:tc>
                <w:tcPr>
                  <w:tcW w:w="1063" w:type="dxa"/>
                  <w:vMerge w:val="continue"/>
                  <w:noWrap w:val="0"/>
                  <w:vAlign w:val="center"/>
                </w:tcPr>
                <w:p>
                  <w:pPr>
                    <w:widowControl/>
                    <w:snapToGrid w:val="0"/>
                    <w:spacing w:line="240" w:lineRule="auto"/>
                    <w:jc w:val="center"/>
                    <w:rPr>
                      <w:rFonts w:hint="default" w:ascii="Times New Roman" w:hAnsi="Times New Roman" w:eastAsia="宋体" w:cs="Times New Roman"/>
                      <w:sz w:val="21"/>
                      <w:szCs w:val="21"/>
                    </w:rPr>
                  </w:pPr>
                </w:p>
              </w:tc>
              <w:tc>
                <w:tcPr>
                  <w:tcW w:w="1641"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预测范围</w:t>
                  </w:r>
                </w:p>
              </w:tc>
              <w:tc>
                <w:tcPr>
                  <w:tcW w:w="1640" w:type="dxa"/>
                  <w:gridSpan w:val="2"/>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边长≥50km□</w:t>
                  </w:r>
                </w:p>
              </w:tc>
              <w:tc>
                <w:tcPr>
                  <w:tcW w:w="3429" w:type="dxa"/>
                  <w:gridSpan w:val="9"/>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边长5~50km□</w:t>
                  </w:r>
                </w:p>
              </w:tc>
              <w:tc>
                <w:tcPr>
                  <w:tcW w:w="1640" w:type="dxa"/>
                  <w:gridSpan w:val="2"/>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边长=5km</w:t>
                  </w:r>
                  <w:r>
                    <w:rPr>
                      <w:rFonts w:hint="default" w:ascii="Times New Roman" w:hAnsi="Times New Roman" w:eastAsia="宋体" w:cs="Times New Roman"/>
                      <w:sz w:val="21"/>
                      <w:szCs w:val="21"/>
                    </w:rPr>
                    <w:sym w:font="Wingdings 2" w:char="0052"/>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4" w:hRule="atLeast"/>
              </w:trPr>
              <w:tc>
                <w:tcPr>
                  <w:tcW w:w="1063" w:type="dxa"/>
                  <w:vMerge w:val="continue"/>
                  <w:noWrap w:val="0"/>
                  <w:vAlign w:val="center"/>
                </w:tcPr>
                <w:p>
                  <w:pPr>
                    <w:widowControl/>
                    <w:snapToGrid w:val="0"/>
                    <w:spacing w:line="240" w:lineRule="auto"/>
                    <w:jc w:val="center"/>
                    <w:rPr>
                      <w:rFonts w:hint="default" w:ascii="Times New Roman" w:hAnsi="Times New Roman" w:eastAsia="宋体" w:cs="Times New Roman"/>
                      <w:sz w:val="21"/>
                      <w:szCs w:val="21"/>
                    </w:rPr>
                  </w:pPr>
                </w:p>
              </w:tc>
              <w:tc>
                <w:tcPr>
                  <w:tcW w:w="1641"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预测因子</w:t>
                  </w:r>
                </w:p>
              </w:tc>
              <w:tc>
                <w:tcPr>
                  <w:tcW w:w="3399" w:type="dxa"/>
                  <w:gridSpan w:val="8"/>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预测因子（颗粒物、 非甲烷总烃）</w:t>
                  </w:r>
                </w:p>
              </w:tc>
              <w:tc>
                <w:tcPr>
                  <w:tcW w:w="3310" w:type="dxa"/>
                  <w:gridSpan w:val="5"/>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包括二次PM2.5□</w:t>
                  </w:r>
                </w:p>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不包括二次PM2.5</w:t>
                  </w:r>
                  <w:r>
                    <w:rPr>
                      <w:rFonts w:hint="default" w:ascii="Times New Roman" w:hAnsi="Times New Roman" w:eastAsia="宋体" w:cs="Times New Roman"/>
                      <w:sz w:val="21"/>
                      <w:szCs w:val="21"/>
                    </w:rPr>
                    <w:sym w:font="Wingdings 2" w:char="0052"/>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4" w:hRule="atLeast"/>
              </w:trPr>
              <w:tc>
                <w:tcPr>
                  <w:tcW w:w="1063" w:type="dxa"/>
                  <w:vMerge w:val="continue"/>
                  <w:noWrap w:val="0"/>
                  <w:vAlign w:val="center"/>
                </w:tcPr>
                <w:p>
                  <w:pPr>
                    <w:widowControl/>
                    <w:snapToGrid w:val="0"/>
                    <w:spacing w:line="240" w:lineRule="auto"/>
                    <w:jc w:val="center"/>
                    <w:rPr>
                      <w:rFonts w:hint="default" w:ascii="Times New Roman" w:hAnsi="Times New Roman" w:eastAsia="宋体" w:cs="Times New Roman"/>
                      <w:sz w:val="21"/>
                      <w:szCs w:val="21"/>
                    </w:rPr>
                  </w:pPr>
                </w:p>
              </w:tc>
              <w:tc>
                <w:tcPr>
                  <w:tcW w:w="1641"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正常排放短期浓度贡献值</w:t>
                  </w:r>
                </w:p>
              </w:tc>
              <w:tc>
                <w:tcPr>
                  <w:tcW w:w="3399" w:type="dxa"/>
                  <w:gridSpan w:val="8"/>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C本项目最大占标≤100%</w:t>
                  </w:r>
                  <w:r>
                    <w:rPr>
                      <w:rFonts w:hint="default" w:ascii="Times New Roman" w:hAnsi="Times New Roman" w:eastAsia="宋体" w:cs="Times New Roman"/>
                      <w:sz w:val="21"/>
                      <w:szCs w:val="21"/>
                    </w:rPr>
                    <w:sym w:font="Wingdings 2" w:char="0052"/>
                  </w:r>
                </w:p>
              </w:tc>
              <w:tc>
                <w:tcPr>
                  <w:tcW w:w="3310" w:type="dxa"/>
                  <w:gridSpan w:val="5"/>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C本项目最大占标率＞100%□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4" w:hRule="atLeast"/>
              </w:trPr>
              <w:tc>
                <w:tcPr>
                  <w:tcW w:w="1063" w:type="dxa"/>
                  <w:vMerge w:val="continue"/>
                  <w:noWrap w:val="0"/>
                  <w:vAlign w:val="center"/>
                </w:tcPr>
                <w:p>
                  <w:pPr>
                    <w:widowControl/>
                    <w:snapToGrid w:val="0"/>
                    <w:spacing w:line="240" w:lineRule="auto"/>
                    <w:jc w:val="center"/>
                    <w:rPr>
                      <w:rFonts w:hint="default" w:ascii="Times New Roman" w:hAnsi="Times New Roman" w:eastAsia="宋体" w:cs="Times New Roman"/>
                      <w:sz w:val="21"/>
                      <w:szCs w:val="21"/>
                    </w:rPr>
                  </w:pPr>
                </w:p>
              </w:tc>
              <w:tc>
                <w:tcPr>
                  <w:tcW w:w="1641" w:type="dxa"/>
                  <w:vMerge w:val="restart"/>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正常排放年平均浓度贡献值</w:t>
                  </w:r>
                </w:p>
              </w:tc>
              <w:tc>
                <w:tcPr>
                  <w:tcW w:w="894"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一类区</w:t>
                  </w:r>
                </w:p>
              </w:tc>
              <w:tc>
                <w:tcPr>
                  <w:tcW w:w="2505" w:type="dxa"/>
                  <w:gridSpan w:val="7"/>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C本项目最大占标率≤10%</w:t>
                  </w:r>
                  <w:r>
                    <w:rPr>
                      <w:rFonts w:hint="default" w:ascii="Times New Roman" w:hAnsi="Times New Roman" w:eastAsia="宋体" w:cs="Times New Roman"/>
                      <w:sz w:val="21"/>
                      <w:szCs w:val="21"/>
                    </w:rPr>
                    <w:sym w:font="Wingdings 2" w:char="00A3"/>
                  </w:r>
                </w:p>
              </w:tc>
              <w:tc>
                <w:tcPr>
                  <w:tcW w:w="3310" w:type="dxa"/>
                  <w:gridSpan w:val="5"/>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C本项目最大标率＞10%□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4" w:hRule="atLeast"/>
              </w:trPr>
              <w:tc>
                <w:tcPr>
                  <w:tcW w:w="1063" w:type="dxa"/>
                  <w:vMerge w:val="continue"/>
                  <w:noWrap w:val="0"/>
                  <w:vAlign w:val="center"/>
                </w:tcPr>
                <w:p>
                  <w:pPr>
                    <w:widowControl/>
                    <w:snapToGrid w:val="0"/>
                    <w:spacing w:line="240" w:lineRule="auto"/>
                    <w:jc w:val="center"/>
                    <w:rPr>
                      <w:rFonts w:hint="default" w:ascii="Times New Roman" w:hAnsi="Times New Roman" w:eastAsia="宋体" w:cs="Times New Roman"/>
                      <w:sz w:val="21"/>
                      <w:szCs w:val="21"/>
                    </w:rPr>
                  </w:pPr>
                </w:p>
              </w:tc>
              <w:tc>
                <w:tcPr>
                  <w:tcW w:w="1641" w:type="dxa"/>
                  <w:vMerge w:val="continue"/>
                  <w:noWrap w:val="0"/>
                  <w:vAlign w:val="center"/>
                </w:tcPr>
                <w:p>
                  <w:pPr>
                    <w:widowControl/>
                    <w:snapToGrid w:val="0"/>
                    <w:spacing w:line="240" w:lineRule="auto"/>
                    <w:jc w:val="center"/>
                    <w:rPr>
                      <w:rFonts w:hint="default" w:ascii="Times New Roman" w:hAnsi="Times New Roman" w:eastAsia="宋体" w:cs="Times New Roman"/>
                      <w:sz w:val="21"/>
                      <w:szCs w:val="21"/>
                    </w:rPr>
                  </w:pPr>
                </w:p>
              </w:tc>
              <w:tc>
                <w:tcPr>
                  <w:tcW w:w="894"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二类区</w:t>
                  </w:r>
                </w:p>
              </w:tc>
              <w:tc>
                <w:tcPr>
                  <w:tcW w:w="2505" w:type="dxa"/>
                  <w:gridSpan w:val="7"/>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C本项目最大占标率≤30%□</w:t>
                  </w:r>
                </w:p>
              </w:tc>
              <w:tc>
                <w:tcPr>
                  <w:tcW w:w="3310" w:type="dxa"/>
                  <w:gridSpan w:val="5"/>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C本项目最大标率＞30%□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4" w:hRule="atLeast"/>
              </w:trPr>
              <w:tc>
                <w:tcPr>
                  <w:tcW w:w="1063" w:type="dxa"/>
                  <w:vMerge w:val="continue"/>
                  <w:noWrap w:val="0"/>
                  <w:vAlign w:val="center"/>
                </w:tcPr>
                <w:p>
                  <w:pPr>
                    <w:widowControl/>
                    <w:snapToGrid w:val="0"/>
                    <w:spacing w:line="240" w:lineRule="auto"/>
                    <w:jc w:val="center"/>
                    <w:rPr>
                      <w:rFonts w:hint="default" w:ascii="Times New Roman" w:hAnsi="Times New Roman" w:eastAsia="宋体" w:cs="Times New Roman"/>
                      <w:sz w:val="21"/>
                      <w:szCs w:val="21"/>
                    </w:rPr>
                  </w:pPr>
                </w:p>
              </w:tc>
              <w:tc>
                <w:tcPr>
                  <w:tcW w:w="1641"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非正常排放1h浓度贡献值</w:t>
                  </w:r>
                </w:p>
              </w:tc>
              <w:tc>
                <w:tcPr>
                  <w:tcW w:w="1872" w:type="dxa"/>
                  <w:gridSpan w:val="3"/>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非正常持续时长</w:t>
                  </w:r>
                </w:p>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）h</w:t>
                  </w:r>
                </w:p>
              </w:tc>
              <w:tc>
                <w:tcPr>
                  <w:tcW w:w="2789" w:type="dxa"/>
                  <w:gridSpan w:val="7"/>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C非正常占标率≤100%□</w:t>
                  </w:r>
                </w:p>
              </w:tc>
              <w:tc>
                <w:tcPr>
                  <w:tcW w:w="2048" w:type="dxa"/>
                  <w:gridSpan w:val="3"/>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C非正常占标率＞100%□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4" w:hRule="atLeast"/>
              </w:trPr>
              <w:tc>
                <w:tcPr>
                  <w:tcW w:w="1063" w:type="dxa"/>
                  <w:vMerge w:val="continue"/>
                  <w:noWrap w:val="0"/>
                  <w:vAlign w:val="center"/>
                </w:tcPr>
                <w:p>
                  <w:pPr>
                    <w:widowControl/>
                    <w:snapToGrid w:val="0"/>
                    <w:spacing w:line="240" w:lineRule="auto"/>
                    <w:jc w:val="center"/>
                    <w:rPr>
                      <w:rFonts w:hint="default" w:ascii="Times New Roman" w:hAnsi="Times New Roman" w:eastAsia="宋体" w:cs="Times New Roman"/>
                      <w:sz w:val="21"/>
                      <w:szCs w:val="21"/>
                    </w:rPr>
                  </w:pPr>
                </w:p>
              </w:tc>
              <w:tc>
                <w:tcPr>
                  <w:tcW w:w="1641"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保证率日平均浓度和年平均浓度叠加</w:t>
                  </w:r>
                </w:p>
              </w:tc>
              <w:tc>
                <w:tcPr>
                  <w:tcW w:w="2832" w:type="dxa"/>
                  <w:gridSpan w:val="7"/>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C叠加达标□</w:t>
                  </w:r>
                </w:p>
              </w:tc>
              <w:tc>
                <w:tcPr>
                  <w:tcW w:w="3877" w:type="dxa"/>
                  <w:gridSpan w:val="6"/>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C叠加不达标□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4" w:hRule="atLeast"/>
              </w:trPr>
              <w:tc>
                <w:tcPr>
                  <w:tcW w:w="1063" w:type="dxa"/>
                  <w:vMerge w:val="continue"/>
                  <w:noWrap w:val="0"/>
                  <w:vAlign w:val="center"/>
                </w:tcPr>
                <w:p>
                  <w:pPr>
                    <w:widowControl/>
                    <w:snapToGrid w:val="0"/>
                    <w:spacing w:line="240" w:lineRule="auto"/>
                    <w:jc w:val="center"/>
                    <w:rPr>
                      <w:rFonts w:hint="default" w:ascii="Times New Roman" w:hAnsi="Times New Roman" w:eastAsia="宋体" w:cs="Times New Roman"/>
                      <w:sz w:val="21"/>
                      <w:szCs w:val="21"/>
                    </w:rPr>
                  </w:pPr>
                </w:p>
              </w:tc>
              <w:tc>
                <w:tcPr>
                  <w:tcW w:w="1641"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区域环境质量的整体变化情况</w:t>
                  </w:r>
                </w:p>
              </w:tc>
              <w:tc>
                <w:tcPr>
                  <w:tcW w:w="2832" w:type="dxa"/>
                  <w:gridSpan w:val="7"/>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k≤-20％□</w:t>
                  </w:r>
                </w:p>
              </w:tc>
              <w:tc>
                <w:tcPr>
                  <w:tcW w:w="3877" w:type="dxa"/>
                  <w:gridSpan w:val="6"/>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k＞-20％□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4" w:hRule="atLeast"/>
              </w:trPr>
              <w:tc>
                <w:tcPr>
                  <w:tcW w:w="1063" w:type="dxa"/>
                  <w:vMerge w:val="restart"/>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环境监测</w:t>
                  </w:r>
                </w:p>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计划</w:t>
                  </w:r>
                </w:p>
              </w:tc>
              <w:tc>
                <w:tcPr>
                  <w:tcW w:w="1641"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污染源监测</w:t>
                  </w:r>
                </w:p>
              </w:tc>
              <w:tc>
                <w:tcPr>
                  <w:tcW w:w="2349" w:type="dxa"/>
                  <w:gridSpan w:val="6"/>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监测因子：（非甲烷总烃、颗粒物 ）</w:t>
                  </w:r>
                </w:p>
              </w:tc>
              <w:tc>
                <w:tcPr>
                  <w:tcW w:w="2720" w:type="dxa"/>
                  <w:gridSpan w:val="5"/>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有组织废气监测☑</w:t>
                  </w:r>
                </w:p>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无组织废气监测☑</w:t>
                  </w:r>
                </w:p>
              </w:tc>
              <w:tc>
                <w:tcPr>
                  <w:tcW w:w="1640" w:type="dxa"/>
                  <w:gridSpan w:val="2"/>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无监测□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4" w:hRule="atLeast"/>
              </w:trPr>
              <w:tc>
                <w:tcPr>
                  <w:tcW w:w="1063" w:type="dxa"/>
                  <w:vMerge w:val="continue"/>
                  <w:noWrap w:val="0"/>
                  <w:vAlign w:val="center"/>
                </w:tcPr>
                <w:p>
                  <w:pPr>
                    <w:widowControl/>
                    <w:snapToGrid w:val="0"/>
                    <w:spacing w:line="240" w:lineRule="auto"/>
                    <w:jc w:val="center"/>
                    <w:rPr>
                      <w:rFonts w:hint="default" w:ascii="Times New Roman" w:hAnsi="Times New Roman" w:eastAsia="宋体" w:cs="Times New Roman"/>
                      <w:sz w:val="21"/>
                      <w:szCs w:val="21"/>
                    </w:rPr>
                  </w:pPr>
                </w:p>
              </w:tc>
              <w:tc>
                <w:tcPr>
                  <w:tcW w:w="1641"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环境质量监测</w:t>
                  </w:r>
                </w:p>
              </w:tc>
              <w:tc>
                <w:tcPr>
                  <w:tcW w:w="2349" w:type="dxa"/>
                  <w:gridSpan w:val="6"/>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监测因子：（SO</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、NO</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、CO、O</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、PM</w:t>
                  </w:r>
                  <w:r>
                    <w:rPr>
                      <w:rFonts w:hint="default" w:ascii="Times New Roman" w:hAnsi="Times New Roman" w:eastAsia="宋体" w:cs="Times New Roman"/>
                      <w:sz w:val="21"/>
                      <w:szCs w:val="21"/>
                      <w:vertAlign w:val="subscript"/>
                    </w:rPr>
                    <w:t>10</w:t>
                  </w:r>
                  <w:r>
                    <w:rPr>
                      <w:rFonts w:hint="default" w:ascii="Times New Roman" w:hAnsi="Times New Roman" w:eastAsia="宋体" w:cs="Times New Roman"/>
                      <w:sz w:val="21"/>
                      <w:szCs w:val="21"/>
                    </w:rPr>
                    <w:t>、PM</w:t>
                  </w:r>
                  <w:r>
                    <w:rPr>
                      <w:rFonts w:hint="default" w:ascii="Times New Roman" w:hAnsi="Times New Roman" w:eastAsia="宋体" w:cs="Times New Roman"/>
                      <w:sz w:val="21"/>
                      <w:szCs w:val="21"/>
                      <w:vertAlign w:val="subscript"/>
                    </w:rPr>
                    <w:t>2.5</w:t>
                  </w:r>
                  <w:r>
                    <w:rPr>
                      <w:rFonts w:hint="default" w:ascii="Times New Roman" w:hAnsi="Times New Roman" w:eastAsia="宋体" w:cs="Times New Roman"/>
                      <w:sz w:val="21"/>
                      <w:szCs w:val="21"/>
                    </w:rPr>
                    <w:t>）</w:t>
                  </w:r>
                </w:p>
              </w:tc>
              <w:tc>
                <w:tcPr>
                  <w:tcW w:w="2720" w:type="dxa"/>
                  <w:gridSpan w:val="5"/>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监测点位数（  /  ）</w:t>
                  </w:r>
                </w:p>
              </w:tc>
              <w:tc>
                <w:tcPr>
                  <w:tcW w:w="1640" w:type="dxa"/>
                  <w:gridSpan w:val="2"/>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无监测□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4" w:hRule="atLeast"/>
              </w:trPr>
              <w:tc>
                <w:tcPr>
                  <w:tcW w:w="1063" w:type="dxa"/>
                  <w:vMerge w:val="restart"/>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评价结论</w:t>
                  </w:r>
                </w:p>
              </w:tc>
              <w:tc>
                <w:tcPr>
                  <w:tcW w:w="1641"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环境影响</w:t>
                  </w:r>
                </w:p>
              </w:tc>
              <w:tc>
                <w:tcPr>
                  <w:tcW w:w="6709" w:type="dxa"/>
                  <w:gridSpan w:val="13"/>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可以接受☑          不可以接受□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4" w:hRule="atLeast"/>
              </w:trPr>
              <w:tc>
                <w:tcPr>
                  <w:tcW w:w="1063" w:type="dxa"/>
                  <w:vMerge w:val="continue"/>
                  <w:noWrap w:val="0"/>
                  <w:vAlign w:val="center"/>
                </w:tcPr>
                <w:p>
                  <w:pPr>
                    <w:widowControl/>
                    <w:snapToGrid w:val="0"/>
                    <w:spacing w:line="240" w:lineRule="auto"/>
                    <w:jc w:val="center"/>
                    <w:rPr>
                      <w:rFonts w:hint="default" w:ascii="Times New Roman" w:hAnsi="Times New Roman" w:eastAsia="宋体" w:cs="Times New Roman"/>
                      <w:sz w:val="21"/>
                      <w:szCs w:val="21"/>
                    </w:rPr>
                  </w:pPr>
                </w:p>
              </w:tc>
              <w:tc>
                <w:tcPr>
                  <w:tcW w:w="1641" w:type="dxa"/>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大气防护距离</w:t>
                  </w:r>
                </w:p>
              </w:tc>
              <w:tc>
                <w:tcPr>
                  <w:tcW w:w="6709" w:type="dxa"/>
                  <w:gridSpan w:val="13"/>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距（  ）厂界最远（）m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4" w:hRule="atLeast"/>
              </w:trPr>
              <w:tc>
                <w:tcPr>
                  <w:tcW w:w="1063" w:type="dxa"/>
                  <w:vMerge w:val="continue"/>
                  <w:tcBorders>
                    <w:bottom w:val="single" w:color="auto" w:sz="12" w:space="0"/>
                  </w:tcBorders>
                  <w:noWrap w:val="0"/>
                  <w:vAlign w:val="center"/>
                </w:tcPr>
                <w:p>
                  <w:pPr>
                    <w:widowControl/>
                    <w:snapToGrid w:val="0"/>
                    <w:spacing w:line="240" w:lineRule="auto"/>
                    <w:jc w:val="center"/>
                    <w:rPr>
                      <w:rFonts w:hint="default" w:ascii="Times New Roman" w:hAnsi="Times New Roman" w:eastAsia="宋体" w:cs="Times New Roman"/>
                      <w:sz w:val="21"/>
                      <w:szCs w:val="21"/>
                    </w:rPr>
                  </w:pPr>
                </w:p>
              </w:tc>
              <w:tc>
                <w:tcPr>
                  <w:tcW w:w="1641" w:type="dxa"/>
                  <w:tcBorders>
                    <w:bottom w:val="single" w:color="auto" w:sz="12" w:space="0"/>
                  </w:tcBorders>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污染源排放量</w:t>
                  </w:r>
                </w:p>
              </w:tc>
              <w:tc>
                <w:tcPr>
                  <w:tcW w:w="1640" w:type="dxa"/>
                  <w:gridSpan w:val="2"/>
                  <w:tcBorders>
                    <w:bottom w:val="single" w:color="auto" w:sz="12" w:space="0"/>
                  </w:tcBorders>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SO2：（  ）t/a</w:t>
                  </w:r>
                </w:p>
              </w:tc>
              <w:tc>
                <w:tcPr>
                  <w:tcW w:w="1759" w:type="dxa"/>
                  <w:gridSpan w:val="6"/>
                  <w:tcBorders>
                    <w:bottom w:val="single" w:color="auto" w:sz="12" w:space="0"/>
                  </w:tcBorders>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NO2：（  ）t/a</w:t>
                  </w:r>
                </w:p>
              </w:tc>
              <w:tc>
                <w:tcPr>
                  <w:tcW w:w="1670" w:type="dxa"/>
                  <w:gridSpan w:val="3"/>
                  <w:tcBorders>
                    <w:bottom w:val="single" w:color="auto" w:sz="12" w:space="0"/>
                  </w:tcBorders>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颗粒物：（</w:t>
                  </w:r>
                  <w:r>
                    <w:rPr>
                      <w:rFonts w:hint="eastAsia" w:cs="Times New Roman"/>
                      <w:sz w:val="21"/>
                      <w:szCs w:val="21"/>
                      <w:lang w:val="en-US" w:eastAsia="zh-CN"/>
                    </w:rPr>
                    <w:t>0.0327</w:t>
                  </w:r>
                  <w:r>
                    <w:rPr>
                      <w:rFonts w:hint="default" w:ascii="Times New Roman" w:hAnsi="Times New Roman" w:eastAsia="宋体" w:cs="Times New Roman"/>
                      <w:sz w:val="21"/>
                      <w:szCs w:val="21"/>
                    </w:rPr>
                    <w:t>）t/a</w:t>
                  </w:r>
                </w:p>
              </w:tc>
              <w:tc>
                <w:tcPr>
                  <w:tcW w:w="1640" w:type="dxa"/>
                  <w:gridSpan w:val="2"/>
                  <w:tcBorders>
                    <w:bottom w:val="single" w:color="auto" w:sz="12" w:space="0"/>
                  </w:tcBorders>
                  <w:noWrap w:val="0"/>
                  <w:vAlign w:val="center"/>
                </w:tcPr>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w:t>
                  </w:r>
                </w:p>
                <w:p>
                  <w:pPr>
                    <w:widowControl/>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r>
                    <w:rPr>
                      <w:rFonts w:hint="eastAsia" w:cs="Times New Roman"/>
                      <w:sz w:val="21"/>
                      <w:szCs w:val="21"/>
                      <w:lang w:val="en-US" w:eastAsia="zh-CN"/>
                    </w:rPr>
                    <w:t>0.57</w:t>
                  </w:r>
                  <w:r>
                    <w:rPr>
                      <w:rFonts w:hint="default" w:ascii="Times New Roman" w:hAnsi="Times New Roman" w:eastAsia="宋体" w:cs="Times New Roman"/>
                      <w:sz w:val="21"/>
                      <w:szCs w:val="21"/>
                    </w:rPr>
                    <w:t>）t/a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4" w:hRule="atLeast"/>
              </w:trPr>
              <w:tc>
                <w:tcPr>
                  <w:tcW w:w="9413" w:type="dxa"/>
                  <w:gridSpan w:val="15"/>
                  <w:tcBorders>
                    <w:top w:val="single" w:color="auto" w:sz="12" w:space="0"/>
                    <w:bottom w:val="single" w:color="auto" w:sz="12" w:space="0"/>
                  </w:tcBorders>
                  <w:noWrap w:val="0"/>
                  <w:vAlign w:val="center"/>
                </w:tcPr>
                <w:p>
                  <w:pPr>
                    <w:widowControl/>
                    <w:snapToGrid w:val="0"/>
                    <w:spacing w:line="240"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注：</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为勾选项，填</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 ）</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为内容填写项</w:t>
                  </w:r>
                </w:p>
              </w:tc>
            </w:tr>
          </w:tbl>
          <w:p>
            <w:pPr>
              <w:ind w:firstLine="482" w:firstLineChars="200"/>
              <w:rPr>
                <w:rFonts w:hint="default" w:ascii="Times New Roman" w:hAnsi="Times New Roman" w:eastAsia="宋体" w:cs="Times New Roman"/>
                <w:b/>
                <w:bCs/>
              </w:rPr>
            </w:pPr>
            <w:r>
              <w:rPr>
                <w:rFonts w:hint="default" w:ascii="Times New Roman" w:hAnsi="Times New Roman" w:eastAsia="宋体" w:cs="Times New Roman"/>
                <w:b/>
                <w:bCs/>
              </w:rPr>
              <w:t>3、声环境影响分析</w:t>
            </w:r>
          </w:p>
          <w:p>
            <w:pPr>
              <w:pStyle w:val="2"/>
              <w:ind w:firstLine="480"/>
              <w:rPr>
                <w:rFonts w:hint="default" w:ascii="Times New Roman" w:hAnsi="Times New Roman" w:eastAsia="宋体" w:cs="Times New Roman"/>
              </w:rPr>
            </w:pPr>
            <w:r>
              <w:rPr>
                <w:rFonts w:hint="default" w:ascii="Times New Roman" w:hAnsi="Times New Roman" w:eastAsia="宋体" w:cs="Times New Roman"/>
              </w:rPr>
              <w:t>本项目噪声源强主要来自于</w:t>
            </w:r>
            <w:r>
              <w:rPr>
                <w:rFonts w:hint="eastAsia" w:cs="Times New Roman"/>
                <w:lang w:val="en-US" w:eastAsia="zh-CN"/>
              </w:rPr>
              <w:t>捏合机及</w:t>
            </w:r>
            <w:r>
              <w:rPr>
                <w:rFonts w:hint="default" w:ascii="Times New Roman" w:hAnsi="Times New Roman" w:eastAsia="宋体" w:cs="Times New Roman"/>
              </w:rPr>
              <w:t>空压机产生的噪声，源强在 75~85dB(A)左右，通过厂房隔音及降噪措施并进行合理布局，确保厂界噪声达到《工业企业厂界环境噪声排放标准》（GB12348-2008）3类标准。</w:t>
            </w:r>
          </w:p>
          <w:p>
            <w:pPr>
              <w:ind w:firstLine="482" w:firstLineChars="200"/>
              <w:rPr>
                <w:rFonts w:hint="default" w:ascii="Times New Roman" w:hAnsi="Times New Roman" w:eastAsia="宋体" w:cs="Times New Roman"/>
                <w:b/>
                <w:bCs/>
              </w:rPr>
            </w:pPr>
            <w:r>
              <w:rPr>
                <w:rFonts w:hint="default" w:ascii="Times New Roman" w:hAnsi="Times New Roman" w:eastAsia="宋体" w:cs="Times New Roman"/>
                <w:b/>
                <w:bCs/>
              </w:rPr>
              <w:t>4、固体废弃物影响分析</w:t>
            </w:r>
          </w:p>
          <w:p>
            <w:pPr>
              <w:ind w:firstLine="480" w:firstLineChars="200"/>
              <w:rPr>
                <w:rFonts w:hint="default" w:ascii="Times New Roman" w:hAnsi="Times New Roman" w:eastAsia="宋体" w:cs="Times New Roman"/>
              </w:rPr>
            </w:pPr>
            <w:r>
              <w:rPr>
                <w:rFonts w:hint="default" w:ascii="Times New Roman" w:hAnsi="Times New Roman" w:eastAsia="宋体" w:cs="Times New Roman"/>
              </w:rPr>
              <w:t>项目固废处置本着</w:t>
            </w:r>
            <w:r>
              <w:rPr>
                <w:rFonts w:hint="default" w:ascii="Times New Roman" w:hAnsi="Times New Roman" w:eastAsia="宋体" w:cs="Times New Roman"/>
                <w:lang w:eastAsia="zh-CN"/>
              </w:rPr>
              <w:t>“</w:t>
            </w:r>
            <w:r>
              <w:rPr>
                <w:rFonts w:hint="default" w:ascii="Times New Roman" w:hAnsi="Times New Roman" w:eastAsia="宋体" w:cs="Times New Roman"/>
              </w:rPr>
              <w:t>资源化、减量化和无害化</w:t>
            </w:r>
            <w:r>
              <w:rPr>
                <w:rFonts w:hint="default" w:ascii="Times New Roman" w:hAnsi="Times New Roman" w:eastAsia="宋体" w:cs="Times New Roman"/>
                <w:lang w:eastAsia="zh-CN"/>
              </w:rPr>
              <w:t>”</w:t>
            </w:r>
            <w:r>
              <w:rPr>
                <w:rFonts w:hint="default" w:ascii="Times New Roman" w:hAnsi="Times New Roman" w:eastAsia="宋体" w:cs="Times New Roman"/>
              </w:rPr>
              <w:t>的原则，具体见表7-</w:t>
            </w:r>
            <w:r>
              <w:rPr>
                <w:rFonts w:hint="eastAsia" w:cs="Times New Roman"/>
                <w:lang w:val="en-US" w:eastAsia="zh-CN"/>
              </w:rPr>
              <w:t>8</w:t>
            </w:r>
            <w:r>
              <w:rPr>
                <w:rFonts w:hint="default" w:ascii="Times New Roman" w:hAnsi="Times New Roman" w:eastAsia="宋体" w:cs="Times New Roman"/>
              </w:rPr>
              <w:t>、7-</w:t>
            </w:r>
            <w:r>
              <w:rPr>
                <w:rFonts w:hint="eastAsia" w:cs="Times New Roman"/>
                <w:lang w:val="en-US" w:eastAsia="zh-CN"/>
              </w:rPr>
              <w:t>9</w:t>
            </w:r>
            <w:r>
              <w:rPr>
                <w:rFonts w:hint="default" w:ascii="Times New Roman" w:hAnsi="Times New Roman" w:eastAsia="宋体" w:cs="Times New Roman"/>
              </w:rPr>
              <w:t>。</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表7-</w:t>
            </w:r>
            <w:r>
              <w:rPr>
                <w:rFonts w:hint="eastAsia" w:ascii="Times New Roman" w:hAnsi="Times New Roman" w:eastAsia="宋体" w:cs="Times New Roman"/>
                <w:b/>
                <w:bCs/>
                <w:sz w:val="21"/>
                <w:szCs w:val="21"/>
                <w:lang w:val="en-US" w:eastAsia="zh-CN"/>
              </w:rPr>
              <w:t>8</w:t>
            </w:r>
            <w:r>
              <w:rPr>
                <w:rFonts w:hint="default" w:ascii="Times New Roman" w:hAnsi="Times New Roman" w:eastAsia="宋体" w:cs="Times New Roman"/>
                <w:b/>
                <w:bCs/>
                <w:sz w:val="21"/>
                <w:szCs w:val="21"/>
              </w:rPr>
              <w:t>建设项目危险废物贮存场所（设施）基本情况表</w:t>
            </w:r>
          </w:p>
          <w:tbl>
            <w:tblPr>
              <w:tblStyle w:val="2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053"/>
              <w:gridCol w:w="1593"/>
              <w:gridCol w:w="1114"/>
              <w:gridCol w:w="1434"/>
              <w:gridCol w:w="954"/>
              <w:gridCol w:w="638"/>
              <w:gridCol w:w="637"/>
              <w:gridCol w:w="956"/>
              <w:gridCol w:w="104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053" w:type="dxa"/>
                  <w:tcBorders>
                    <w:top w:val="single" w:color="auto" w:sz="12" w:space="0"/>
                    <w:bottom w:val="single" w:color="auto" w:sz="12" w:space="0"/>
                  </w:tcBorders>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贮存场所名称</w:t>
                  </w:r>
                </w:p>
              </w:tc>
              <w:tc>
                <w:tcPr>
                  <w:tcW w:w="1593" w:type="dxa"/>
                  <w:tcBorders>
                    <w:top w:val="single" w:color="auto" w:sz="12" w:space="0"/>
                    <w:bottom w:val="single" w:color="auto" w:sz="12" w:space="0"/>
                  </w:tcBorders>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危险废物名称</w:t>
                  </w:r>
                </w:p>
              </w:tc>
              <w:tc>
                <w:tcPr>
                  <w:tcW w:w="1114" w:type="dxa"/>
                  <w:tcBorders>
                    <w:top w:val="single" w:color="auto" w:sz="12" w:space="0"/>
                    <w:bottom w:val="single" w:color="auto" w:sz="12" w:space="0"/>
                  </w:tcBorders>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危险废物类别</w:t>
                  </w:r>
                </w:p>
              </w:tc>
              <w:tc>
                <w:tcPr>
                  <w:tcW w:w="1434" w:type="dxa"/>
                  <w:tcBorders>
                    <w:top w:val="single" w:color="auto" w:sz="12" w:space="0"/>
                    <w:bottom w:val="single" w:color="auto" w:sz="12" w:space="0"/>
                  </w:tcBorders>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危险废物代号</w:t>
                  </w:r>
                </w:p>
              </w:tc>
              <w:tc>
                <w:tcPr>
                  <w:tcW w:w="954" w:type="dxa"/>
                  <w:tcBorders>
                    <w:top w:val="single" w:color="auto" w:sz="12" w:space="0"/>
                    <w:bottom w:val="single" w:color="auto" w:sz="12" w:space="0"/>
                  </w:tcBorders>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位置</w:t>
                  </w:r>
                </w:p>
              </w:tc>
              <w:tc>
                <w:tcPr>
                  <w:tcW w:w="638" w:type="dxa"/>
                  <w:tcBorders>
                    <w:top w:val="single" w:color="auto" w:sz="12" w:space="0"/>
                    <w:bottom w:val="single" w:color="auto" w:sz="12" w:space="0"/>
                  </w:tcBorders>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占地面积</w:t>
                  </w:r>
                </w:p>
              </w:tc>
              <w:tc>
                <w:tcPr>
                  <w:tcW w:w="637" w:type="dxa"/>
                  <w:tcBorders>
                    <w:top w:val="single" w:color="auto" w:sz="12" w:space="0"/>
                    <w:bottom w:val="single" w:color="auto" w:sz="12" w:space="0"/>
                  </w:tcBorders>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贮存方式</w:t>
                  </w:r>
                </w:p>
              </w:tc>
              <w:tc>
                <w:tcPr>
                  <w:tcW w:w="956" w:type="dxa"/>
                  <w:tcBorders>
                    <w:top w:val="single" w:color="auto" w:sz="12" w:space="0"/>
                    <w:bottom w:val="single" w:color="auto" w:sz="12" w:space="0"/>
                  </w:tcBorders>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贮存</w:t>
                  </w:r>
                </w:p>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能力</w:t>
                  </w:r>
                </w:p>
              </w:tc>
              <w:tc>
                <w:tcPr>
                  <w:tcW w:w="1043" w:type="dxa"/>
                  <w:tcBorders>
                    <w:top w:val="single" w:color="auto" w:sz="12" w:space="0"/>
                    <w:bottom w:val="single" w:color="auto" w:sz="12" w:space="0"/>
                  </w:tcBorders>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贮存周期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053" w:type="dxa"/>
                  <w:tcBorders>
                    <w:top w:val="single" w:color="auto" w:sz="12" w:space="0"/>
                  </w:tcBorders>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危废</w:t>
                  </w:r>
                </w:p>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贮存间</w:t>
                  </w:r>
                </w:p>
              </w:tc>
              <w:tc>
                <w:tcPr>
                  <w:tcW w:w="1593" w:type="dxa"/>
                  <w:tcBorders>
                    <w:top w:val="single" w:color="auto" w:sz="12" w:space="0"/>
                    <w:bottom w:val="single" w:color="auto" w:sz="4" w:space="0"/>
                  </w:tcBorders>
                  <w:noWrap w:val="0"/>
                  <w:vAlign w:val="center"/>
                </w:tcPr>
                <w:p>
                  <w:pPr>
                    <w:snapToGrid w:val="0"/>
                    <w:spacing w:line="240" w:lineRule="auto"/>
                    <w:jc w:val="center"/>
                    <w:rPr>
                      <w:rFonts w:hint="default" w:ascii="Times New Roman" w:hAnsi="Times New Roman" w:eastAsia="宋体" w:cs="Times New Roman"/>
                      <w:kern w:val="0"/>
                      <w:sz w:val="21"/>
                      <w:szCs w:val="21"/>
                      <w:lang w:val="en-US" w:eastAsia="zh-CN" w:bidi="ar-SA"/>
                    </w:rPr>
                  </w:pPr>
                  <w:r>
                    <w:rPr>
                      <w:sz w:val="21"/>
                      <w:szCs w:val="21"/>
                    </w:rPr>
                    <w:t>废</w:t>
                  </w:r>
                  <w:r>
                    <w:rPr>
                      <w:rFonts w:hint="eastAsia"/>
                      <w:sz w:val="21"/>
                      <w:szCs w:val="21"/>
                      <w:lang w:val="en-US" w:eastAsia="zh-CN"/>
                    </w:rPr>
                    <w:t>活性炭</w:t>
                  </w:r>
                </w:p>
              </w:tc>
              <w:tc>
                <w:tcPr>
                  <w:tcW w:w="1114" w:type="dxa"/>
                  <w:tcBorders>
                    <w:top w:val="single" w:color="auto" w:sz="12" w:space="0"/>
                    <w:bottom w:val="single" w:color="auto" w:sz="4" w:space="0"/>
                  </w:tcBorders>
                  <w:noWrap w:val="0"/>
                  <w:vAlign w:val="center"/>
                </w:tcPr>
                <w:p>
                  <w:pPr>
                    <w:snapToGrid w:val="0"/>
                    <w:spacing w:line="240" w:lineRule="auto"/>
                    <w:jc w:val="center"/>
                    <w:rPr>
                      <w:rFonts w:hint="default" w:ascii="Times New Roman" w:hAnsi="Times New Roman" w:eastAsia="宋体" w:cs="Times New Roman"/>
                      <w:kern w:val="0"/>
                      <w:sz w:val="21"/>
                      <w:szCs w:val="21"/>
                      <w:lang w:val="en-US" w:eastAsia="zh-CN" w:bidi="ar-SA"/>
                    </w:rPr>
                  </w:pPr>
                  <w:r>
                    <w:rPr>
                      <w:sz w:val="21"/>
                      <w:szCs w:val="21"/>
                    </w:rPr>
                    <w:t>HW49</w:t>
                  </w:r>
                </w:p>
              </w:tc>
              <w:tc>
                <w:tcPr>
                  <w:tcW w:w="1434" w:type="dxa"/>
                  <w:tcBorders>
                    <w:top w:val="single" w:color="auto" w:sz="12" w:space="0"/>
                  </w:tcBorders>
                  <w:noWrap w:val="0"/>
                  <w:vAlign w:val="center"/>
                </w:tcPr>
                <w:p>
                  <w:pPr>
                    <w:snapToGrid w:val="0"/>
                    <w:spacing w:line="240" w:lineRule="auto"/>
                    <w:jc w:val="center"/>
                    <w:rPr>
                      <w:rFonts w:hint="default" w:ascii="Times New Roman" w:hAnsi="Times New Roman" w:eastAsia="宋体" w:cs="Times New Roman"/>
                      <w:kern w:val="0"/>
                      <w:sz w:val="21"/>
                      <w:szCs w:val="21"/>
                      <w:lang w:val="en-US" w:eastAsia="zh-CN" w:bidi="ar-SA"/>
                    </w:rPr>
                  </w:pPr>
                  <w:r>
                    <w:rPr>
                      <w:sz w:val="21"/>
                      <w:szCs w:val="21"/>
                    </w:rPr>
                    <w:t>900-041-49</w:t>
                  </w:r>
                </w:p>
              </w:tc>
              <w:tc>
                <w:tcPr>
                  <w:tcW w:w="954" w:type="dxa"/>
                  <w:tcBorders>
                    <w:top w:val="single" w:color="auto" w:sz="12" w:space="0"/>
                  </w:tcBorders>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危废车间</w:t>
                  </w:r>
                </w:p>
              </w:tc>
              <w:tc>
                <w:tcPr>
                  <w:tcW w:w="638" w:type="dxa"/>
                  <w:tcBorders>
                    <w:top w:val="single" w:color="auto" w:sz="12" w:space="0"/>
                  </w:tcBorders>
                  <w:noWrap w:val="0"/>
                  <w:vAlign w:val="center"/>
                </w:tcPr>
                <w:p>
                  <w:pPr>
                    <w:snapToGrid w:val="0"/>
                    <w:spacing w:line="240" w:lineRule="auto"/>
                    <w:jc w:val="center"/>
                    <w:rPr>
                      <w:rFonts w:hint="default" w:ascii="Times New Roman" w:hAnsi="Times New Roman" w:eastAsia="宋体" w:cs="Times New Roman"/>
                      <w:sz w:val="21"/>
                      <w:szCs w:val="21"/>
                    </w:rPr>
                  </w:pPr>
                  <w:r>
                    <w:rPr>
                      <w:rFonts w:hint="eastAsia" w:cs="Times New Roman"/>
                      <w:sz w:val="21"/>
                      <w:szCs w:val="21"/>
                      <w:lang w:val="en-US" w:eastAsia="zh-CN"/>
                    </w:rPr>
                    <w:t>2</w:t>
                  </w:r>
                  <w:r>
                    <w:rPr>
                      <w:rFonts w:hint="default" w:ascii="Times New Roman" w:hAnsi="Times New Roman" w:eastAsia="宋体" w:cs="Times New Roman"/>
                      <w:sz w:val="21"/>
                      <w:szCs w:val="21"/>
                    </w:rPr>
                    <w:t>m</w:t>
                  </w:r>
                  <w:r>
                    <w:rPr>
                      <w:rFonts w:hint="default" w:ascii="Times New Roman" w:hAnsi="Times New Roman" w:eastAsia="宋体" w:cs="Times New Roman"/>
                      <w:sz w:val="21"/>
                      <w:szCs w:val="21"/>
                      <w:vertAlign w:val="superscript"/>
                    </w:rPr>
                    <w:t>2</w:t>
                  </w:r>
                </w:p>
              </w:tc>
              <w:tc>
                <w:tcPr>
                  <w:tcW w:w="637" w:type="dxa"/>
                  <w:tcBorders>
                    <w:top w:val="single" w:color="auto" w:sz="12" w:space="0"/>
                  </w:tcBorders>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袋装</w:t>
                  </w:r>
                </w:p>
              </w:tc>
              <w:tc>
                <w:tcPr>
                  <w:tcW w:w="956" w:type="dxa"/>
                  <w:tcBorders>
                    <w:top w:val="single" w:color="auto" w:sz="12" w:space="0"/>
                  </w:tcBorders>
                  <w:noWrap w:val="0"/>
                  <w:vAlign w:val="center"/>
                </w:tcPr>
                <w:p>
                  <w:pPr>
                    <w:widowControl/>
                    <w:spacing w:line="240" w:lineRule="auto"/>
                    <w:jc w:val="center"/>
                    <w:textAlignment w:val="center"/>
                    <w:rPr>
                      <w:rFonts w:hint="default" w:ascii="Times New Roman" w:hAnsi="Times New Roman" w:eastAsia="宋体" w:cs="Times New Roman"/>
                      <w:sz w:val="21"/>
                      <w:szCs w:val="21"/>
                    </w:rPr>
                  </w:pPr>
                  <w:r>
                    <w:rPr>
                      <w:rFonts w:hint="eastAsia" w:cs="Times New Roman"/>
                      <w:sz w:val="21"/>
                      <w:szCs w:val="21"/>
                      <w:lang w:val="en-US" w:eastAsia="zh-CN"/>
                    </w:rPr>
                    <w:t>2</w:t>
                  </w:r>
                  <w:r>
                    <w:rPr>
                      <w:rFonts w:hint="default" w:ascii="Times New Roman" w:hAnsi="Times New Roman" w:eastAsia="宋体" w:cs="Times New Roman"/>
                      <w:sz w:val="21"/>
                      <w:szCs w:val="21"/>
                    </w:rPr>
                    <w:t>t</w:t>
                  </w:r>
                </w:p>
              </w:tc>
              <w:tc>
                <w:tcPr>
                  <w:tcW w:w="1043" w:type="dxa"/>
                  <w:tcBorders>
                    <w:top w:val="single" w:color="auto" w:sz="12" w:space="0"/>
                  </w:tcBorders>
                  <w:noWrap w:val="0"/>
                  <w:vAlign w:val="center"/>
                </w:tcPr>
                <w:p>
                  <w:pPr>
                    <w:snapToGrid w:val="0"/>
                    <w:spacing w:line="240" w:lineRule="auto"/>
                    <w:jc w:val="center"/>
                    <w:rPr>
                      <w:rFonts w:hint="eastAsia" w:ascii="Times New Roman" w:hAnsi="Times New Roman" w:eastAsia="宋体" w:cs="Times New Roman"/>
                      <w:sz w:val="21"/>
                      <w:szCs w:val="21"/>
                      <w:lang w:eastAsia="zh-CN"/>
                    </w:rPr>
                  </w:pPr>
                  <w:r>
                    <w:rPr>
                      <w:rFonts w:hint="eastAsia" w:cs="Times New Roman"/>
                      <w:sz w:val="21"/>
                      <w:szCs w:val="21"/>
                      <w:lang w:val="en-US" w:eastAsia="zh-CN"/>
                    </w:rPr>
                    <w:t>一季</w:t>
                  </w:r>
                </w:p>
              </w:tc>
            </w:tr>
          </w:tbl>
          <w:p>
            <w:pPr>
              <w:spacing w:before="156" w:beforeLines="50"/>
              <w:jc w:val="center"/>
              <w:rPr>
                <w:rFonts w:hint="default" w:ascii="Times New Roman" w:hAnsi="Times New Roman" w:eastAsia="宋体" w:cs="Times New Roman"/>
              </w:rPr>
            </w:pPr>
            <w:r>
              <w:rPr>
                <w:rFonts w:hint="default" w:ascii="Times New Roman" w:hAnsi="Times New Roman" w:eastAsia="宋体" w:cs="Times New Roman"/>
                <w:b/>
                <w:bCs/>
                <w:sz w:val="21"/>
                <w:szCs w:val="21"/>
              </w:rPr>
              <w:t>表7-</w:t>
            </w:r>
            <w:r>
              <w:rPr>
                <w:rFonts w:hint="eastAsia" w:ascii="Times New Roman" w:hAnsi="Times New Roman" w:eastAsia="宋体" w:cs="Times New Roman"/>
                <w:b/>
                <w:bCs/>
                <w:sz w:val="21"/>
                <w:szCs w:val="21"/>
                <w:lang w:val="en-US" w:eastAsia="zh-CN"/>
              </w:rPr>
              <w:t>9</w:t>
            </w:r>
            <w:r>
              <w:rPr>
                <w:rFonts w:hint="default" w:ascii="Times New Roman" w:hAnsi="Times New Roman" w:eastAsia="宋体" w:cs="Times New Roman"/>
                <w:b/>
                <w:bCs/>
                <w:sz w:val="21"/>
                <w:szCs w:val="21"/>
              </w:rPr>
              <w:t>建设项目固体废物利用处置方式评价表</w:t>
            </w:r>
          </w:p>
          <w:tbl>
            <w:tblPr>
              <w:tblStyle w:val="2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492"/>
              <w:gridCol w:w="1041"/>
              <w:gridCol w:w="1119"/>
              <w:gridCol w:w="1050"/>
              <w:gridCol w:w="682"/>
              <w:gridCol w:w="845"/>
              <w:gridCol w:w="1173"/>
              <w:gridCol w:w="965"/>
              <w:gridCol w:w="948"/>
              <w:gridCol w:w="110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492" w:type="dxa"/>
                  <w:tcBorders>
                    <w:top w:val="single" w:color="auto" w:sz="12" w:space="0"/>
                    <w:bottom w:val="single" w:color="auto" w:sz="12" w:space="0"/>
                  </w:tcBorders>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序号</w:t>
                  </w:r>
                </w:p>
              </w:tc>
              <w:tc>
                <w:tcPr>
                  <w:tcW w:w="1041" w:type="dxa"/>
                  <w:tcBorders>
                    <w:top w:val="single" w:color="auto" w:sz="12" w:space="0"/>
                    <w:bottom w:val="single" w:color="auto" w:sz="12" w:space="0"/>
                  </w:tcBorders>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固废名称</w:t>
                  </w:r>
                </w:p>
              </w:tc>
              <w:tc>
                <w:tcPr>
                  <w:tcW w:w="1119" w:type="dxa"/>
                  <w:tcBorders>
                    <w:top w:val="single" w:color="auto" w:sz="12" w:space="0"/>
                    <w:bottom w:val="single" w:color="auto" w:sz="12" w:space="0"/>
                  </w:tcBorders>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属性</w:t>
                  </w:r>
                </w:p>
              </w:tc>
              <w:tc>
                <w:tcPr>
                  <w:tcW w:w="1050" w:type="dxa"/>
                  <w:tcBorders>
                    <w:top w:val="single" w:color="auto" w:sz="12" w:space="0"/>
                    <w:bottom w:val="single" w:color="auto" w:sz="12" w:space="0"/>
                  </w:tcBorders>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产生工序</w:t>
                  </w:r>
                </w:p>
              </w:tc>
              <w:tc>
                <w:tcPr>
                  <w:tcW w:w="682" w:type="dxa"/>
                  <w:tcBorders>
                    <w:top w:val="single" w:color="auto" w:sz="12" w:space="0"/>
                    <w:bottom w:val="single" w:color="auto" w:sz="12" w:space="0"/>
                  </w:tcBorders>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形态</w:t>
                  </w:r>
                </w:p>
              </w:tc>
              <w:tc>
                <w:tcPr>
                  <w:tcW w:w="845" w:type="dxa"/>
                  <w:tcBorders>
                    <w:top w:val="single" w:color="auto" w:sz="12" w:space="0"/>
                    <w:bottom w:val="single" w:color="auto" w:sz="12" w:space="0"/>
                  </w:tcBorders>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分类编号</w:t>
                  </w:r>
                </w:p>
              </w:tc>
              <w:tc>
                <w:tcPr>
                  <w:tcW w:w="1173" w:type="dxa"/>
                  <w:tcBorders>
                    <w:top w:val="single" w:color="auto" w:sz="12" w:space="0"/>
                    <w:bottom w:val="single" w:color="auto" w:sz="12" w:space="0"/>
                  </w:tcBorders>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废物代码</w:t>
                  </w:r>
                </w:p>
              </w:tc>
              <w:tc>
                <w:tcPr>
                  <w:tcW w:w="965" w:type="dxa"/>
                  <w:tcBorders>
                    <w:top w:val="single" w:color="auto" w:sz="12" w:space="0"/>
                    <w:bottom w:val="single" w:color="auto" w:sz="12" w:space="0"/>
                  </w:tcBorders>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估算产生量t/a</w:t>
                  </w:r>
                </w:p>
              </w:tc>
              <w:tc>
                <w:tcPr>
                  <w:tcW w:w="948" w:type="dxa"/>
                  <w:tcBorders>
                    <w:top w:val="single" w:color="auto" w:sz="12" w:space="0"/>
                    <w:bottom w:val="single" w:color="auto" w:sz="12" w:space="0"/>
                  </w:tcBorders>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利用处理方式</w:t>
                  </w:r>
                </w:p>
              </w:tc>
              <w:tc>
                <w:tcPr>
                  <w:tcW w:w="1107" w:type="dxa"/>
                  <w:tcBorders>
                    <w:top w:val="single" w:color="auto" w:sz="12" w:space="0"/>
                    <w:bottom w:val="single" w:color="auto" w:sz="12" w:space="0"/>
                  </w:tcBorders>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利用处置单位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40" w:hRule="atLeast"/>
                <w:jc w:val="center"/>
              </w:trPr>
              <w:tc>
                <w:tcPr>
                  <w:tcW w:w="492" w:type="dxa"/>
                  <w:tcBorders>
                    <w:top w:val="single" w:color="auto" w:sz="12" w:space="0"/>
                  </w:tcBorders>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041" w:type="dxa"/>
                  <w:tcBorders>
                    <w:top w:val="single" w:color="auto" w:sz="12" w:space="0"/>
                  </w:tcBorders>
                  <w:noWrap w:val="0"/>
                  <w:vAlign w:val="center"/>
                </w:tcPr>
                <w:p>
                  <w:pPr>
                    <w:snapToGrid w:val="0"/>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不合格品</w:t>
                  </w:r>
                </w:p>
              </w:tc>
              <w:tc>
                <w:tcPr>
                  <w:tcW w:w="1119" w:type="dxa"/>
                  <w:vMerge w:val="restart"/>
                  <w:tcBorders>
                    <w:top w:val="single" w:color="auto" w:sz="12" w:space="0"/>
                  </w:tcBorders>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一般固废</w:t>
                  </w:r>
                </w:p>
              </w:tc>
              <w:tc>
                <w:tcPr>
                  <w:tcW w:w="1050" w:type="dxa"/>
                  <w:tcBorders>
                    <w:top w:val="single" w:color="auto" w:sz="12" w:space="0"/>
                  </w:tcBorders>
                  <w:noWrap w:val="0"/>
                  <w:vAlign w:val="center"/>
                </w:tcPr>
                <w:p>
                  <w:pPr>
                    <w:snapToGrid w:val="0"/>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检验</w:t>
                  </w:r>
                </w:p>
              </w:tc>
              <w:tc>
                <w:tcPr>
                  <w:tcW w:w="682" w:type="dxa"/>
                  <w:tcBorders>
                    <w:top w:val="single" w:color="auto" w:sz="12" w:space="0"/>
                  </w:tcBorders>
                  <w:noWrap w:val="0"/>
                  <w:vAlign w:val="center"/>
                </w:tcPr>
                <w:p>
                  <w:pPr>
                    <w:snapToGrid w:val="0"/>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固态</w:t>
                  </w:r>
                </w:p>
              </w:tc>
              <w:tc>
                <w:tcPr>
                  <w:tcW w:w="845" w:type="dxa"/>
                  <w:tcBorders>
                    <w:top w:val="single" w:color="auto" w:sz="12" w:space="0"/>
                  </w:tcBorders>
                  <w:noWrap w:val="0"/>
                  <w:vAlign w:val="center"/>
                </w:tcPr>
                <w:p>
                  <w:pPr>
                    <w:topLinePunct/>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73" w:type="dxa"/>
                  <w:tcBorders>
                    <w:top w:val="single" w:color="auto" w:sz="12" w:space="0"/>
                  </w:tcBorders>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65" w:type="dxa"/>
                  <w:tcBorders>
                    <w:top w:val="single" w:color="auto" w:sz="12" w:space="0"/>
                  </w:tcBorders>
                  <w:noWrap w:val="0"/>
                  <w:vAlign w:val="center"/>
                </w:tcPr>
                <w:p>
                  <w:pPr>
                    <w:widowControl/>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0.3</w:t>
                  </w:r>
                </w:p>
              </w:tc>
              <w:tc>
                <w:tcPr>
                  <w:tcW w:w="948" w:type="dxa"/>
                  <w:tcBorders>
                    <w:top w:val="single" w:color="auto" w:sz="12" w:space="0"/>
                  </w:tcBorders>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利用</w:t>
                  </w:r>
                </w:p>
              </w:tc>
              <w:tc>
                <w:tcPr>
                  <w:tcW w:w="1107" w:type="dxa"/>
                  <w:tcBorders>
                    <w:top w:val="single" w:color="auto" w:sz="12" w:space="0"/>
                  </w:tcBorders>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外售利用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11" w:hRule="atLeast"/>
                <w:jc w:val="center"/>
              </w:trPr>
              <w:tc>
                <w:tcPr>
                  <w:tcW w:w="492" w:type="dxa"/>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041" w:type="dxa"/>
                  <w:noWrap w:val="0"/>
                  <w:vAlign w:val="center"/>
                </w:tcPr>
                <w:p>
                  <w:pPr>
                    <w:snapToGrid w:val="0"/>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废包装</w:t>
                  </w:r>
                </w:p>
              </w:tc>
              <w:tc>
                <w:tcPr>
                  <w:tcW w:w="1119" w:type="dxa"/>
                  <w:vMerge w:val="continue"/>
                  <w:noWrap w:val="0"/>
                  <w:vAlign w:val="center"/>
                </w:tcPr>
                <w:p>
                  <w:pPr>
                    <w:snapToGrid w:val="0"/>
                    <w:spacing w:line="240" w:lineRule="auto"/>
                    <w:jc w:val="center"/>
                    <w:rPr>
                      <w:rFonts w:hint="default" w:ascii="Times New Roman" w:hAnsi="Times New Roman" w:eastAsia="宋体" w:cs="Times New Roman"/>
                      <w:sz w:val="21"/>
                      <w:szCs w:val="21"/>
                    </w:rPr>
                  </w:pPr>
                </w:p>
              </w:tc>
              <w:tc>
                <w:tcPr>
                  <w:tcW w:w="1050" w:type="dxa"/>
                  <w:noWrap w:val="0"/>
                  <w:vAlign w:val="center"/>
                </w:tcPr>
                <w:p>
                  <w:pPr>
                    <w:snapToGrid w:val="0"/>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入库</w:t>
                  </w:r>
                </w:p>
              </w:tc>
              <w:tc>
                <w:tcPr>
                  <w:tcW w:w="682" w:type="dxa"/>
                  <w:noWrap w:val="0"/>
                  <w:vAlign w:val="center"/>
                </w:tcPr>
                <w:p>
                  <w:pPr>
                    <w:snapToGrid w:val="0"/>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固态</w:t>
                  </w:r>
                </w:p>
              </w:tc>
              <w:tc>
                <w:tcPr>
                  <w:tcW w:w="845" w:type="dxa"/>
                  <w:noWrap w:val="0"/>
                  <w:vAlign w:val="center"/>
                </w:tcPr>
                <w:p>
                  <w:pPr>
                    <w:topLinePunct/>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73" w:type="dxa"/>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65" w:type="dxa"/>
                  <w:noWrap w:val="0"/>
                  <w:vAlign w:val="center"/>
                </w:tcPr>
                <w:p>
                  <w:pPr>
                    <w:widowControl/>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3</w:t>
                  </w:r>
                </w:p>
              </w:tc>
              <w:tc>
                <w:tcPr>
                  <w:tcW w:w="948" w:type="dxa"/>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利用</w:t>
                  </w:r>
                </w:p>
              </w:tc>
              <w:tc>
                <w:tcPr>
                  <w:tcW w:w="1107" w:type="dxa"/>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供应商回收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52" w:hRule="atLeast"/>
                <w:jc w:val="center"/>
              </w:trPr>
              <w:tc>
                <w:tcPr>
                  <w:tcW w:w="492" w:type="dxa"/>
                  <w:noWrap w:val="0"/>
                  <w:vAlign w:val="center"/>
                </w:tcPr>
                <w:p>
                  <w:pPr>
                    <w:snapToGrid w:val="0"/>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3</w:t>
                  </w:r>
                </w:p>
              </w:tc>
              <w:tc>
                <w:tcPr>
                  <w:tcW w:w="1041" w:type="dxa"/>
                  <w:noWrap w:val="0"/>
                  <w:vAlign w:val="center"/>
                </w:tcPr>
                <w:p>
                  <w:pPr>
                    <w:snapToGrid w:val="0"/>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布袋收尘</w:t>
                  </w:r>
                </w:p>
              </w:tc>
              <w:tc>
                <w:tcPr>
                  <w:tcW w:w="1119" w:type="dxa"/>
                  <w:vMerge w:val="continue"/>
                  <w:noWrap w:val="0"/>
                  <w:vAlign w:val="center"/>
                </w:tcPr>
                <w:p>
                  <w:pPr>
                    <w:snapToGrid w:val="0"/>
                    <w:spacing w:line="240" w:lineRule="auto"/>
                    <w:jc w:val="center"/>
                    <w:rPr>
                      <w:rFonts w:hint="default" w:ascii="Times New Roman" w:hAnsi="Times New Roman" w:eastAsia="宋体" w:cs="Times New Roman"/>
                      <w:sz w:val="21"/>
                      <w:szCs w:val="21"/>
                    </w:rPr>
                  </w:pPr>
                </w:p>
              </w:tc>
              <w:tc>
                <w:tcPr>
                  <w:tcW w:w="1050" w:type="dxa"/>
                  <w:noWrap w:val="0"/>
                  <w:vAlign w:val="center"/>
                </w:tcPr>
                <w:p>
                  <w:pPr>
                    <w:snapToGrid w:val="0"/>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废气处理</w:t>
                  </w:r>
                </w:p>
              </w:tc>
              <w:tc>
                <w:tcPr>
                  <w:tcW w:w="682" w:type="dxa"/>
                  <w:noWrap w:val="0"/>
                  <w:vAlign w:val="center"/>
                </w:tcPr>
                <w:p>
                  <w:pPr>
                    <w:snapToGrid w:val="0"/>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固态</w:t>
                  </w:r>
                </w:p>
              </w:tc>
              <w:tc>
                <w:tcPr>
                  <w:tcW w:w="845" w:type="dxa"/>
                  <w:noWrap w:val="0"/>
                  <w:vAlign w:val="center"/>
                </w:tcPr>
                <w:p>
                  <w:pPr>
                    <w:topLinePunct/>
                    <w:snapToGrid w:val="0"/>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w:t>
                  </w:r>
                </w:p>
              </w:tc>
              <w:tc>
                <w:tcPr>
                  <w:tcW w:w="1173" w:type="dxa"/>
                  <w:noWrap w:val="0"/>
                  <w:vAlign w:val="center"/>
                </w:tcPr>
                <w:p>
                  <w:pPr>
                    <w:snapToGrid w:val="0"/>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w:t>
                  </w:r>
                </w:p>
              </w:tc>
              <w:tc>
                <w:tcPr>
                  <w:tcW w:w="965" w:type="dxa"/>
                  <w:noWrap w:val="0"/>
                  <w:vAlign w:val="center"/>
                </w:tcPr>
                <w:p>
                  <w:pPr>
                    <w:widowControl/>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0.2673</w:t>
                  </w:r>
                </w:p>
              </w:tc>
              <w:tc>
                <w:tcPr>
                  <w:tcW w:w="948" w:type="dxa"/>
                  <w:noWrap w:val="0"/>
                  <w:vAlign w:val="center"/>
                </w:tcPr>
                <w:p>
                  <w:pPr>
                    <w:snapToGrid w:val="0"/>
                    <w:spacing w:line="240" w:lineRule="auto"/>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利用</w:t>
                  </w:r>
                </w:p>
              </w:tc>
              <w:tc>
                <w:tcPr>
                  <w:tcW w:w="1107" w:type="dxa"/>
                  <w:noWrap w:val="0"/>
                  <w:vAlign w:val="center"/>
                </w:tcPr>
                <w:p>
                  <w:pPr>
                    <w:snapToGrid w:val="0"/>
                    <w:spacing w:line="240" w:lineRule="auto"/>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本厂回用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59" w:hRule="atLeast"/>
                <w:jc w:val="center"/>
              </w:trPr>
              <w:tc>
                <w:tcPr>
                  <w:tcW w:w="492" w:type="dxa"/>
                  <w:noWrap w:val="0"/>
                  <w:vAlign w:val="center"/>
                </w:tcPr>
                <w:p>
                  <w:pPr>
                    <w:snapToGrid w:val="0"/>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4</w:t>
                  </w:r>
                </w:p>
              </w:tc>
              <w:tc>
                <w:tcPr>
                  <w:tcW w:w="1041" w:type="dxa"/>
                  <w:noWrap w:val="0"/>
                  <w:vAlign w:val="center"/>
                </w:tcPr>
                <w:p>
                  <w:pPr>
                    <w:snapToGrid w:val="0"/>
                    <w:spacing w:line="240" w:lineRule="auto"/>
                    <w:jc w:val="center"/>
                    <w:rPr>
                      <w:rFonts w:hint="eastAsia" w:ascii="Times New Roman" w:hAnsi="Times New Roman" w:eastAsia="宋体" w:cs="Times New Roman"/>
                      <w:sz w:val="21"/>
                      <w:szCs w:val="21"/>
                      <w:lang w:eastAsia="zh-CN"/>
                    </w:rPr>
                  </w:pPr>
                  <w:r>
                    <w:rPr>
                      <w:rFonts w:hint="eastAsia" w:cs="Times New Roman"/>
                      <w:sz w:val="21"/>
                      <w:szCs w:val="21"/>
                      <w:lang w:val="en-US" w:eastAsia="zh-CN"/>
                    </w:rPr>
                    <w:t>废活性炭</w:t>
                  </w:r>
                </w:p>
              </w:tc>
              <w:tc>
                <w:tcPr>
                  <w:tcW w:w="1119" w:type="dxa"/>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危险废物</w:t>
                  </w:r>
                </w:p>
              </w:tc>
              <w:tc>
                <w:tcPr>
                  <w:tcW w:w="1050" w:type="dxa"/>
                  <w:noWrap w:val="0"/>
                  <w:vAlign w:val="center"/>
                </w:tcPr>
                <w:p>
                  <w:pPr>
                    <w:snapToGrid w:val="0"/>
                    <w:spacing w:line="240" w:lineRule="auto"/>
                    <w:jc w:val="center"/>
                    <w:rPr>
                      <w:rFonts w:hint="eastAsia" w:ascii="Times New Roman" w:hAnsi="Times New Roman" w:eastAsia="宋体" w:cs="Times New Roman"/>
                      <w:sz w:val="21"/>
                      <w:szCs w:val="21"/>
                      <w:lang w:eastAsia="zh-CN"/>
                    </w:rPr>
                  </w:pPr>
                  <w:r>
                    <w:rPr>
                      <w:rFonts w:hint="eastAsia" w:cs="Times New Roman"/>
                      <w:sz w:val="21"/>
                      <w:szCs w:val="21"/>
                      <w:lang w:val="en-US" w:eastAsia="zh-CN"/>
                    </w:rPr>
                    <w:t>废气处理</w:t>
                  </w:r>
                </w:p>
              </w:tc>
              <w:tc>
                <w:tcPr>
                  <w:tcW w:w="682" w:type="dxa"/>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固态</w:t>
                  </w:r>
                </w:p>
              </w:tc>
              <w:tc>
                <w:tcPr>
                  <w:tcW w:w="845" w:type="dxa"/>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HW49</w:t>
                  </w:r>
                </w:p>
              </w:tc>
              <w:tc>
                <w:tcPr>
                  <w:tcW w:w="1173" w:type="dxa"/>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900-041-49</w:t>
                  </w:r>
                </w:p>
              </w:tc>
              <w:tc>
                <w:tcPr>
                  <w:tcW w:w="965" w:type="dxa"/>
                  <w:noWrap w:val="0"/>
                  <w:vAlign w:val="center"/>
                </w:tcPr>
                <w:p>
                  <w:pPr>
                    <w:widowControl/>
                    <w:spacing w:line="240" w:lineRule="auto"/>
                    <w:jc w:val="center"/>
                    <w:textAlignment w:val="center"/>
                    <w:rPr>
                      <w:rFonts w:hint="eastAsia" w:ascii="Times New Roman" w:hAnsi="Times New Roman" w:eastAsia="宋体" w:cs="Times New Roman"/>
                      <w:sz w:val="21"/>
                      <w:szCs w:val="21"/>
                      <w:lang w:eastAsia="zh-CN"/>
                    </w:rPr>
                  </w:pPr>
                  <w:r>
                    <w:rPr>
                      <w:rFonts w:hint="eastAsia" w:cs="Times New Roman"/>
                      <w:sz w:val="21"/>
                      <w:szCs w:val="21"/>
                      <w:lang w:val="en-US" w:eastAsia="zh-CN"/>
                    </w:rPr>
                    <w:t>1</w:t>
                  </w:r>
                </w:p>
              </w:tc>
              <w:tc>
                <w:tcPr>
                  <w:tcW w:w="948" w:type="dxa"/>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处置</w:t>
                  </w:r>
                </w:p>
              </w:tc>
              <w:tc>
                <w:tcPr>
                  <w:tcW w:w="1107" w:type="dxa"/>
                  <w:vMerge w:val="restart"/>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委托</w:t>
                  </w:r>
                  <w:r>
                    <w:rPr>
                      <w:rFonts w:hint="default" w:ascii="Times New Roman" w:hAnsi="Times New Roman" w:eastAsia="宋体" w:cs="Times New Roman"/>
                      <w:sz w:val="21"/>
                      <w:szCs w:val="21"/>
                    </w:rPr>
                    <w:t>有资质单位处理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492" w:type="dxa"/>
                  <w:noWrap w:val="0"/>
                  <w:vAlign w:val="center"/>
                </w:tcPr>
                <w:p>
                  <w:pPr>
                    <w:snapToGrid w:val="0"/>
                    <w:spacing w:line="240" w:lineRule="auto"/>
                    <w:jc w:val="center"/>
                    <w:rPr>
                      <w:rFonts w:hint="eastAsia" w:ascii="Times New Roman" w:hAnsi="Times New Roman" w:eastAsia="宋体" w:cs="Times New Roman"/>
                      <w:sz w:val="21"/>
                      <w:szCs w:val="21"/>
                      <w:lang w:eastAsia="zh-CN"/>
                    </w:rPr>
                  </w:pPr>
                  <w:r>
                    <w:rPr>
                      <w:rFonts w:hint="eastAsia" w:cs="Times New Roman"/>
                      <w:sz w:val="21"/>
                      <w:szCs w:val="21"/>
                      <w:lang w:val="en-US" w:eastAsia="zh-CN"/>
                    </w:rPr>
                    <w:t>5</w:t>
                  </w:r>
                </w:p>
              </w:tc>
              <w:tc>
                <w:tcPr>
                  <w:tcW w:w="1041" w:type="dxa"/>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生活垃圾</w:t>
                  </w:r>
                </w:p>
              </w:tc>
              <w:tc>
                <w:tcPr>
                  <w:tcW w:w="1119" w:type="dxa"/>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一般废物</w:t>
                  </w:r>
                </w:p>
              </w:tc>
              <w:tc>
                <w:tcPr>
                  <w:tcW w:w="1050" w:type="dxa"/>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w:t>
                  </w:r>
                </w:p>
              </w:tc>
              <w:tc>
                <w:tcPr>
                  <w:tcW w:w="682" w:type="dxa"/>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固态</w:t>
                  </w:r>
                </w:p>
              </w:tc>
              <w:tc>
                <w:tcPr>
                  <w:tcW w:w="845" w:type="dxa"/>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73" w:type="dxa"/>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65" w:type="dxa"/>
                  <w:noWrap w:val="0"/>
                  <w:vAlign w:val="center"/>
                </w:tcPr>
                <w:p>
                  <w:pPr>
                    <w:widowControl/>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948" w:type="dxa"/>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处置</w:t>
                  </w:r>
                </w:p>
              </w:tc>
              <w:tc>
                <w:tcPr>
                  <w:tcW w:w="1107" w:type="dxa"/>
                  <w:vMerge w:val="continue"/>
                  <w:noWrap w:val="0"/>
                  <w:vAlign w:val="center"/>
                </w:tcPr>
                <w:p>
                  <w:pPr>
                    <w:snapToGrid w:val="0"/>
                    <w:spacing w:line="240" w:lineRule="auto"/>
                    <w:jc w:val="center"/>
                    <w:rPr>
                      <w:rFonts w:hint="default" w:ascii="Times New Roman" w:hAnsi="Times New Roman" w:eastAsia="宋体" w:cs="Times New Roman"/>
                      <w:sz w:val="21"/>
                      <w:szCs w:val="21"/>
                    </w:rPr>
                  </w:pPr>
                </w:p>
              </w:tc>
            </w:tr>
          </w:tbl>
          <w:p>
            <w:pPr>
              <w:tabs>
                <w:tab w:val="left" w:pos="7200"/>
              </w:tabs>
              <w:ind w:firstLine="480" w:firstLineChars="200"/>
              <w:rPr>
                <w:rFonts w:hint="default" w:ascii="Times New Roman" w:hAnsi="Times New Roman" w:eastAsia="宋体" w:cs="Times New Roman"/>
              </w:rPr>
            </w:pPr>
            <w:r>
              <w:rPr>
                <w:rFonts w:hint="default" w:ascii="Times New Roman" w:hAnsi="Times New Roman" w:eastAsia="宋体" w:cs="Times New Roman"/>
              </w:rPr>
              <w:t xml:space="preserve">本项目设置的危废贮存场所严格按照《危险废物贮存污染控制标准》（GB 18597-2001）及修改公告的要求设置，危险废物的收集、运输应按照《危险废物收集贮存运输技术规范》（HJ2025-2012）的要求进行，按《环境保护图形标志—固体废物贮存（处置）场》（GB15562.2-1995）设置环境保护图形标志。 </w:t>
            </w:r>
          </w:p>
          <w:p>
            <w:pPr>
              <w:tabs>
                <w:tab w:val="left" w:pos="7200"/>
              </w:tabs>
              <w:ind w:firstLine="480" w:firstLineChars="200"/>
              <w:jc w:val="left"/>
              <w:rPr>
                <w:rFonts w:hint="default" w:ascii="Times New Roman" w:hAnsi="Times New Roman" w:eastAsia="宋体" w:cs="Times New Roman"/>
              </w:rPr>
            </w:pPr>
            <w:r>
              <w:rPr>
                <w:rFonts w:hint="default" w:ascii="Times New Roman" w:hAnsi="Times New Roman" w:eastAsia="宋体" w:cs="Times New Roman"/>
              </w:rPr>
              <w:t>固废的收集：危险废物按照要求置于指定的存放桶（袋）统一送危废暂存间存放。生活垃圾按照环卫部门要求，在办公区、休息区等生活场所设置垃圾收集桶，并由清洁工人定期清理到生活垃圾箱以备环卫部门进行处理。</w:t>
            </w:r>
          </w:p>
          <w:p>
            <w:pPr>
              <w:ind w:firstLine="480" w:firstLineChars="200"/>
              <w:rPr>
                <w:rFonts w:hint="default" w:ascii="Times New Roman" w:hAnsi="Times New Roman" w:eastAsia="宋体" w:cs="Times New Roman"/>
              </w:rPr>
            </w:pPr>
            <w:r>
              <w:rPr>
                <w:rFonts w:hint="default" w:ascii="Times New Roman" w:hAnsi="Times New Roman" w:eastAsia="宋体" w:cs="Times New Roman"/>
              </w:rPr>
              <w:t>固废的贮存：危废暂存间设置符合《危险废物贮存污染控制标准》（GB18597-2001）的专用标志。危险废物使用专用的容器贮存后放置在危废储存间。危险废物暂存区要求如下： a、在常温常压下不水解、不挥发的固体危险废物可在贮存设施内分别堆放。 b、各贮存容器有明显标志，并且按实际情况标明各废物的特性。 c、危废储存间有集排水和防渗漏防腐设施并符合消防要求。 d、贮存场所内将采用安全照明设施，并设置观察窗口。 e、装载液体、半固体危险废物的容器内须留足够空间。 f、必须有泄漏液体收集装置、气体导出口及气体净化装置。 g、用以存放装载液体、半固体危险废物容器的地方，必须有耐腐蚀的硬化地面，且表面无裂隙。 h、基础必须防渗，危险废物堆要防风、防雨、防晒。建设单位计划建设10m</w:t>
            </w:r>
            <w:r>
              <w:rPr>
                <w:rFonts w:hint="default" w:ascii="Times New Roman" w:hAnsi="Times New Roman" w:eastAsia="宋体" w:cs="Times New Roman"/>
                <w:vertAlign w:val="superscript"/>
              </w:rPr>
              <w:t>2</w:t>
            </w:r>
            <w:r>
              <w:rPr>
                <w:rFonts w:hint="default" w:ascii="Times New Roman" w:hAnsi="Times New Roman" w:eastAsia="宋体" w:cs="Times New Roman"/>
              </w:rPr>
              <w:t xml:space="preserve">危废暂存间，危险固废均妥善暂存在暂存间的废液桶和收集袋中，并且定期委托有危险废物处理资质单位处置。因此，项目危废暂存间贮存能力满足需求。对于非危险废物范畴的废物放置在一般固废储存间。对于生活垃圾每天倒入新区设置的垃圾箱，并由城市环卫部门每天定时清理。 </w:t>
            </w:r>
          </w:p>
          <w:p>
            <w:pPr>
              <w:ind w:firstLine="480" w:firstLineChars="200"/>
              <w:rPr>
                <w:rFonts w:hint="default" w:ascii="Times New Roman" w:hAnsi="Times New Roman" w:eastAsia="宋体" w:cs="Times New Roman"/>
              </w:rPr>
            </w:pPr>
            <w:r>
              <w:rPr>
                <w:rFonts w:hint="default" w:ascii="Times New Roman" w:hAnsi="Times New Roman" w:eastAsia="宋体" w:cs="Times New Roman"/>
              </w:rPr>
              <w:t>固废的运输：在危险废物的清运过程中，建设单位应做好密闭措施，防止固废抛洒遗漏而导致污染物扩散，保证在运输过程中无抛、洒、滴、漏现象发生。危险废物由危废运输单位委托有资质的运输公司运输，运输车辆在醒目处标有特殊标志，告知公众为危险品运输车辆。运输、搬运过程采取专人专车并做到轻拿轻放，保证货物不倾泻、翻出。</w:t>
            </w:r>
          </w:p>
          <w:p>
            <w:pPr>
              <w:ind w:firstLine="480" w:firstLineChars="200"/>
              <w:rPr>
                <w:rFonts w:hint="default" w:ascii="Times New Roman" w:hAnsi="Times New Roman" w:eastAsia="宋体" w:cs="Times New Roman"/>
              </w:rPr>
            </w:pPr>
            <w:r>
              <w:rPr>
                <w:rFonts w:hint="default" w:ascii="Times New Roman" w:hAnsi="Times New Roman" w:eastAsia="宋体" w:cs="Times New Roman"/>
              </w:rPr>
              <w:t xml:space="preserve">各类固废按其性质、种类分类收集、贮存，一般工业固体废物执行《一般工业固体废物贮存、处置场污染控制标准》 （GB18599-2001），危险废物执行《危险废物贮存污染控制标准》（GB18597-2001）和《危险废物转移联单管理办法》； </w:t>
            </w:r>
          </w:p>
          <w:p>
            <w:pPr>
              <w:ind w:firstLine="480" w:firstLineChars="200"/>
              <w:rPr>
                <w:rFonts w:hint="default" w:ascii="Times New Roman" w:hAnsi="Times New Roman" w:eastAsia="宋体" w:cs="Times New Roman"/>
              </w:rPr>
            </w:pPr>
            <w:r>
              <w:rPr>
                <w:rFonts w:hint="default" w:ascii="Times New Roman" w:hAnsi="Times New Roman" w:eastAsia="宋体" w:cs="Times New Roman"/>
              </w:rPr>
              <w:t>经上述分析可知，项目各类废物分类收集、分别存放，均得到了妥善的处理或处置，不会对周围环境产生二次污染。</w:t>
            </w:r>
          </w:p>
          <w:p>
            <w:pPr>
              <w:tabs>
                <w:tab w:val="left" w:pos="7200"/>
              </w:tabs>
              <w:ind w:firstLine="472" w:firstLineChars="196"/>
              <w:jc w:val="left"/>
              <w:rPr>
                <w:rFonts w:hint="default" w:ascii="Times New Roman" w:hAnsi="Times New Roman" w:eastAsia="宋体" w:cs="Times New Roman"/>
                <w:b/>
                <w:bCs/>
              </w:rPr>
            </w:pPr>
            <w:r>
              <w:rPr>
                <w:rFonts w:hint="default" w:ascii="Times New Roman" w:hAnsi="Times New Roman" w:eastAsia="宋体" w:cs="Times New Roman"/>
                <w:b/>
                <w:bCs/>
              </w:rPr>
              <w:t>5、环境风险防范措施</w:t>
            </w:r>
          </w:p>
          <w:p>
            <w:pPr>
              <w:tabs>
                <w:tab w:val="left" w:pos="7200"/>
              </w:tabs>
              <w:ind w:firstLine="480" w:firstLineChars="200"/>
              <w:jc w:val="left"/>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（1）风险调查</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eastAsia" w:cs="Times New Roman"/>
                <w:lang w:val="en-US" w:eastAsia="zh-CN"/>
              </w:rPr>
            </w:pPr>
            <w:r>
              <w:rPr>
                <w:rFonts w:hint="default" w:ascii="Times New Roman" w:hAnsi="Times New Roman" w:eastAsia="宋体" w:cs="Times New Roman"/>
                <w:lang w:val="en-US" w:eastAsia="zh-CN"/>
              </w:rPr>
              <w:t>建设项目风险源调查主要包括调查建设项目危险物质数量和分布情况、生产工艺特点，收集危险物质安全技术说明书（MSDS）等基础资料。根据《建设项目环境风险评价技术导则》（HJ169-2018）中附录 B 表 B.1，确定本项目</w:t>
            </w:r>
            <w:r>
              <w:rPr>
                <w:rFonts w:hint="eastAsia" w:cs="Times New Roman"/>
                <w:lang w:val="en-US" w:eastAsia="zh-CN"/>
              </w:rPr>
              <w:t>不涉及风险物质</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2）风险潜势初判</w:t>
            </w:r>
          </w:p>
          <w:p>
            <w:pPr>
              <w:spacing w:line="360" w:lineRule="auto"/>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分析建设项目生产、使用、储存过程中涉及的有毒有害、易燃易爆物质，根据危险物质的临界量，定量分析危险物质数量与临界量的比值（Q）和所属行业及生产工艺特点（M），对危险物质及工艺系统危险性（P）等级进行判断。当只涉及一种危险物质时，计算该物质的总量与其临界量比值，即为 Q； 当存在多种危险物质时，则按下列公示计算物质总量与其临界量比（Q）：</w:t>
            </w:r>
          </w:p>
          <w:p>
            <w:pPr>
              <w:spacing w:line="360" w:lineRule="auto"/>
              <w:jc w:val="center"/>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Cs w:val="21"/>
              </w:rPr>
              <w:drawing>
                <wp:inline distT="0" distB="0" distL="114300" distR="114300">
                  <wp:extent cx="3208020" cy="647700"/>
                  <wp:effectExtent l="0" t="0" r="11430" b="0"/>
                  <wp:docPr id="7" name="图片 7" descr="C:\Users\lenovo\AppData\Local\DOCUME~1\ADMINI~1\LOCALS~1\Temp\ksohtml\wps35.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lenovo\AppData\Local\DOCUME~1\ADMINI~1\LOCALS~1\Temp\ksohtml\wps35.tmp.png"/>
                          <pic:cNvPicPr>
                            <a:picLocks noChangeAspect="1"/>
                          </pic:cNvPicPr>
                        </pic:nvPicPr>
                        <pic:blipFill>
                          <a:blip r:embed="rId21"/>
                          <a:stretch>
                            <a:fillRect/>
                          </a:stretch>
                        </pic:blipFill>
                        <pic:spPr>
                          <a:xfrm>
                            <a:off x="0" y="0"/>
                            <a:ext cx="3208020" cy="6477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式中：q</w:t>
            </w:r>
            <w:r>
              <w:rPr>
                <w:rFonts w:hint="default" w:ascii="Times New Roman" w:hAnsi="Times New Roman" w:eastAsia="宋体" w:cs="Times New Roman"/>
                <w:color w:val="auto"/>
                <w:sz w:val="24"/>
                <w:szCs w:val="24"/>
                <w:vertAlign w:val="subscript"/>
              </w:rPr>
              <w:t>1</w:t>
            </w:r>
            <w:r>
              <w:rPr>
                <w:rFonts w:hint="default" w:ascii="Times New Roman" w:hAnsi="Times New Roman" w:eastAsia="宋体" w:cs="Times New Roman"/>
                <w:color w:val="auto"/>
                <w:sz w:val="24"/>
                <w:szCs w:val="24"/>
              </w:rPr>
              <w:t>, q</w:t>
            </w:r>
            <w:r>
              <w:rPr>
                <w:rFonts w:hint="default" w:ascii="Times New Roman" w:hAnsi="Times New Roman" w:eastAsia="宋体" w:cs="Times New Roman"/>
                <w:color w:val="auto"/>
                <w:sz w:val="24"/>
                <w:szCs w:val="24"/>
                <w:vertAlign w:val="subscript"/>
              </w:rPr>
              <w:t>2</w:t>
            </w:r>
            <w:r>
              <w:rPr>
                <w:rFonts w:hint="default" w:ascii="Times New Roman" w:hAnsi="Times New Roman" w:eastAsia="宋体" w:cs="Times New Roman"/>
                <w:color w:val="auto"/>
                <w:sz w:val="24"/>
                <w:szCs w:val="24"/>
              </w:rPr>
              <w:t>, ..., q</w:t>
            </w:r>
            <w:r>
              <w:rPr>
                <w:rFonts w:hint="default" w:ascii="Times New Roman" w:hAnsi="Times New Roman" w:eastAsia="宋体" w:cs="Times New Roman"/>
                <w:color w:val="auto"/>
                <w:sz w:val="24"/>
                <w:szCs w:val="24"/>
                <w:vertAlign w:val="subscript"/>
              </w:rPr>
              <w:t>n</w:t>
            </w:r>
            <w:r>
              <w:rPr>
                <w:rFonts w:hint="default" w:ascii="Times New Roman" w:hAnsi="Times New Roman" w:eastAsia="宋体" w:cs="Times New Roman"/>
                <w:color w:val="auto"/>
                <w:sz w:val="24"/>
                <w:szCs w:val="24"/>
              </w:rPr>
              <w:t>——每种环境风险物质的最大存在总量，t；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Q</w:t>
            </w:r>
            <w:r>
              <w:rPr>
                <w:rFonts w:hint="default" w:ascii="Times New Roman" w:hAnsi="Times New Roman" w:eastAsia="宋体" w:cs="Times New Roman"/>
                <w:color w:val="auto"/>
                <w:sz w:val="24"/>
                <w:szCs w:val="24"/>
                <w:vertAlign w:val="subscript"/>
              </w:rPr>
              <w:t>1</w:t>
            </w:r>
            <w:r>
              <w:rPr>
                <w:rFonts w:hint="default" w:ascii="Times New Roman" w:hAnsi="Times New Roman" w:eastAsia="宋体" w:cs="Times New Roman"/>
                <w:color w:val="auto"/>
                <w:sz w:val="24"/>
                <w:szCs w:val="24"/>
              </w:rPr>
              <w:t>, Q</w:t>
            </w:r>
            <w:r>
              <w:rPr>
                <w:rFonts w:hint="default" w:ascii="Times New Roman" w:hAnsi="Times New Roman" w:eastAsia="宋体" w:cs="Times New Roman"/>
                <w:color w:val="auto"/>
                <w:sz w:val="24"/>
                <w:szCs w:val="24"/>
                <w:vertAlign w:val="subscript"/>
              </w:rPr>
              <w:t>2</w:t>
            </w:r>
            <w:r>
              <w:rPr>
                <w:rFonts w:hint="default" w:ascii="Times New Roman" w:hAnsi="Times New Roman" w:eastAsia="宋体" w:cs="Times New Roman"/>
                <w:color w:val="auto"/>
                <w:sz w:val="24"/>
                <w:szCs w:val="24"/>
              </w:rPr>
              <w:t>, ..., Q</w:t>
            </w:r>
            <w:r>
              <w:rPr>
                <w:rFonts w:hint="default" w:ascii="Times New Roman" w:hAnsi="Times New Roman" w:eastAsia="宋体" w:cs="Times New Roman"/>
                <w:color w:val="auto"/>
                <w:sz w:val="24"/>
                <w:szCs w:val="24"/>
                <w:vertAlign w:val="subscript"/>
              </w:rPr>
              <w:t>n</w:t>
            </w:r>
            <w:r>
              <w:rPr>
                <w:rFonts w:hint="default" w:ascii="Times New Roman" w:hAnsi="Times New Roman" w:eastAsia="宋体" w:cs="Times New Roman"/>
                <w:color w:val="auto"/>
                <w:sz w:val="24"/>
                <w:szCs w:val="24"/>
              </w:rPr>
              <w:t>——每种环境风险物质的临界量，t。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Q＜1 时，该项目环境风险潜势为Ⅰ。</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当 Q≥1 时，将 Q 值划分为：（1）1≤Q＜10；（2）10≤Q＜100；（3）Q≥100。</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9"/>
              <w:rPr>
                <w:rFonts w:hint="default" w:ascii="Times New Roman" w:hAnsi="Times New Roman" w:eastAsia="宋体" w:cs="Times New Roman"/>
                <w:color w:val="auto"/>
                <w:lang w:eastAsia="zh-CN"/>
              </w:rPr>
            </w:pPr>
            <w:r>
              <w:rPr>
                <w:rFonts w:hint="default" w:ascii="Times New Roman" w:hAnsi="Times New Roman" w:eastAsia="宋体" w:cs="Times New Roman"/>
                <w:color w:val="auto"/>
                <w:sz w:val="24"/>
                <w:szCs w:val="24"/>
              </w:rPr>
              <w:t>根据《建设项目环境风险评价技术导则》（HJ169-2018）附录 B 表 B.1 以及表 B.2的危险物质临界量，本项目危险物质总量与其临界量比值 Q 计算结果</w:t>
            </w:r>
            <w:r>
              <w:rPr>
                <w:rFonts w:hint="eastAsia" w:cs="Times New Roman"/>
                <w:color w:val="auto"/>
                <w:sz w:val="24"/>
                <w:szCs w:val="24"/>
                <w:lang w:val="en-US" w:eastAsia="zh-CN"/>
              </w:rPr>
              <w:t>为0</w:t>
            </w:r>
            <w:r>
              <w:rPr>
                <w:rFonts w:hint="default" w:ascii="Times New Roman" w:hAnsi="Times New Roman" w:eastAsia="宋体" w:cs="Times New Roman"/>
                <w:color w:val="auto"/>
                <w:sz w:val="24"/>
                <w:szCs w:val="24"/>
              </w:rPr>
              <w:t>：</w:t>
            </w:r>
          </w:p>
          <w:p>
            <w:pPr>
              <w:tabs>
                <w:tab w:val="left" w:pos="7200"/>
              </w:tabs>
              <w:ind w:firstLine="480" w:firstLineChars="200"/>
              <w:jc w:val="left"/>
              <w:rPr>
                <w:rFonts w:hint="default" w:ascii="Times New Roman" w:hAnsi="Times New Roman" w:eastAsia="宋体" w:cs="Times New Roman"/>
              </w:rPr>
            </w:pPr>
            <w:r>
              <w:rPr>
                <w:rFonts w:hint="default" w:ascii="Times New Roman" w:hAnsi="Times New Roman" w:eastAsia="宋体" w:cs="Times New Roman"/>
              </w:rPr>
              <w:t>因此，本项目环境风险潜势为Ⅰ。</w:t>
            </w:r>
          </w:p>
          <w:p>
            <w:pPr>
              <w:tabs>
                <w:tab w:val="left" w:pos="7200"/>
              </w:tabs>
              <w:ind w:firstLine="480" w:firstLineChars="200"/>
              <w:jc w:val="left"/>
              <w:rPr>
                <w:rFonts w:hint="default" w:ascii="Times New Roman" w:hAnsi="Times New Roman" w:eastAsia="宋体" w:cs="Times New Roman"/>
              </w:rPr>
            </w:pPr>
            <w:r>
              <w:rPr>
                <w:rFonts w:hint="default" w:ascii="Times New Roman" w:hAnsi="Times New Roman" w:eastAsia="宋体" w:cs="Times New Roman"/>
              </w:rPr>
              <w:t>（3）评价等级</w:t>
            </w:r>
          </w:p>
          <w:p>
            <w:pPr>
              <w:pStyle w:val="2"/>
              <w:ind w:left="0" w:leftChars="0" w:firstLine="480" w:firstLineChars="200"/>
              <w:rPr>
                <w:rFonts w:hint="default" w:ascii="Times New Roman" w:hAnsi="Times New Roman" w:eastAsia="宋体" w:cs="Times New Roman"/>
              </w:rPr>
            </w:pPr>
            <w:r>
              <w:rPr>
                <w:rFonts w:hint="default" w:ascii="Times New Roman" w:hAnsi="Times New Roman" w:eastAsia="宋体" w:cs="Times New Roman"/>
              </w:rPr>
              <w:t>按照《建设项目环境风险评价技术导则》（HJ169-2018）表 7-22 确定评价工作等级。</w:t>
            </w:r>
          </w:p>
          <w:p>
            <w:pPr>
              <w:pStyle w:val="2"/>
              <w:ind w:left="0" w:leftChars="0" w:firstLine="0" w:firstLineChars="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表7-</w:t>
            </w:r>
            <w:r>
              <w:rPr>
                <w:rFonts w:hint="default" w:ascii="Times New Roman" w:hAnsi="Times New Roman" w:eastAsia="宋体" w:cs="Times New Roman"/>
                <w:b/>
                <w:bCs/>
                <w:sz w:val="21"/>
                <w:szCs w:val="21"/>
                <w:lang w:val="en-US" w:eastAsia="zh-CN"/>
              </w:rPr>
              <w:t>15</w:t>
            </w:r>
            <w:r>
              <w:rPr>
                <w:rFonts w:hint="default" w:ascii="Times New Roman" w:hAnsi="Times New Roman" w:eastAsia="宋体" w:cs="Times New Roman"/>
                <w:b/>
                <w:bCs/>
                <w:sz w:val="21"/>
                <w:szCs w:val="21"/>
              </w:rPr>
              <w:t>评价工作等级划分</w:t>
            </w:r>
          </w:p>
          <w:tbl>
            <w:tblPr>
              <w:tblStyle w:val="27"/>
              <w:tblW w:w="9422" w:type="dxa"/>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884"/>
              <w:gridCol w:w="1884"/>
              <w:gridCol w:w="1884"/>
              <w:gridCol w:w="1885"/>
              <w:gridCol w:w="188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84" w:type="dxa"/>
                  <w:noWrap w:val="0"/>
                  <w:vAlign w:val="top"/>
                </w:tcPr>
                <w:p>
                  <w:pPr>
                    <w:spacing w:line="240" w:lineRule="auto"/>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环境风险潜势</w:t>
                  </w:r>
                </w:p>
              </w:tc>
              <w:tc>
                <w:tcPr>
                  <w:tcW w:w="1884" w:type="dxa"/>
                  <w:noWrap w:val="0"/>
                  <w:vAlign w:val="top"/>
                </w:tcPr>
                <w:p>
                  <w:pPr>
                    <w:spacing w:line="240" w:lineRule="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Ⅳ、Ⅳ+</w:t>
                  </w:r>
                </w:p>
              </w:tc>
              <w:tc>
                <w:tcPr>
                  <w:tcW w:w="1884" w:type="dxa"/>
                  <w:noWrap w:val="0"/>
                  <w:vAlign w:val="top"/>
                </w:tcPr>
                <w:p>
                  <w:pPr>
                    <w:spacing w:line="240" w:lineRule="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Ⅲ</w:t>
                  </w:r>
                </w:p>
              </w:tc>
              <w:tc>
                <w:tcPr>
                  <w:tcW w:w="1885" w:type="dxa"/>
                  <w:noWrap w:val="0"/>
                  <w:vAlign w:val="top"/>
                </w:tcPr>
                <w:p>
                  <w:pPr>
                    <w:spacing w:line="240" w:lineRule="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Ⅱ</w:t>
                  </w:r>
                </w:p>
              </w:tc>
              <w:tc>
                <w:tcPr>
                  <w:tcW w:w="1885" w:type="dxa"/>
                  <w:noWrap w:val="0"/>
                  <w:vAlign w:val="top"/>
                </w:tcPr>
                <w:p>
                  <w:pPr>
                    <w:spacing w:line="240" w:lineRule="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84" w:type="dxa"/>
                  <w:noWrap w:val="0"/>
                  <w:vAlign w:val="top"/>
                </w:tcPr>
                <w:p>
                  <w:pPr>
                    <w:spacing w:line="240" w:lineRule="auto"/>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评价工作等级</w:t>
                  </w:r>
                </w:p>
              </w:tc>
              <w:tc>
                <w:tcPr>
                  <w:tcW w:w="1884" w:type="dxa"/>
                  <w:noWrap w:val="0"/>
                  <w:vAlign w:val="top"/>
                </w:tcPr>
                <w:p>
                  <w:pPr>
                    <w:spacing w:line="240" w:lineRule="auto"/>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一</w:t>
                  </w:r>
                </w:p>
              </w:tc>
              <w:tc>
                <w:tcPr>
                  <w:tcW w:w="1884" w:type="dxa"/>
                  <w:noWrap w:val="0"/>
                  <w:vAlign w:val="top"/>
                </w:tcPr>
                <w:p>
                  <w:pPr>
                    <w:spacing w:line="240" w:lineRule="auto"/>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二</w:t>
                  </w:r>
                </w:p>
              </w:tc>
              <w:tc>
                <w:tcPr>
                  <w:tcW w:w="1885" w:type="dxa"/>
                  <w:noWrap w:val="0"/>
                  <w:vAlign w:val="top"/>
                </w:tcPr>
                <w:p>
                  <w:pPr>
                    <w:spacing w:line="240" w:lineRule="auto"/>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三</w:t>
                  </w:r>
                </w:p>
              </w:tc>
              <w:tc>
                <w:tcPr>
                  <w:tcW w:w="1885" w:type="dxa"/>
                  <w:noWrap w:val="0"/>
                  <w:vAlign w:val="top"/>
                </w:tcPr>
                <w:p>
                  <w:pPr>
                    <w:spacing w:line="240" w:lineRule="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eastAsia="zh-CN"/>
                    </w:rPr>
                    <w:t>简单分析</w:t>
                  </w:r>
                  <w:r>
                    <w:rPr>
                      <w:rFonts w:hint="default" w:ascii="Times New Roman" w:hAnsi="Times New Roman" w:eastAsia="宋体" w:cs="Times New Roman"/>
                      <w:sz w:val="21"/>
                      <w:szCs w:val="21"/>
                      <w:vertAlign w:val="baseline"/>
                      <w:lang w:val="en-US" w:eastAsia="zh-CN"/>
                    </w:rPr>
                    <w:t>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422" w:type="dxa"/>
                  <w:gridSpan w:val="5"/>
                  <w:noWrap w:val="0"/>
                  <w:vAlign w:val="top"/>
                </w:tcPr>
                <w:p>
                  <w:pPr>
                    <w:spacing w:line="240" w:lineRule="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a 是相对于详细评价工作内容而言，在描述危险物质、环境影响途径、环境危害后果、风险防范措施等方面给出定性的说明。见附录 A。</w:t>
                  </w:r>
                </w:p>
              </w:tc>
            </w:tr>
          </w:tbl>
          <w:p>
            <w:pPr>
              <w:ind w:firstLine="480" w:firstLineChars="200"/>
              <w:rPr>
                <w:rFonts w:hint="default" w:ascii="Times New Roman" w:hAnsi="Times New Roman" w:eastAsia="宋体" w:cs="Times New Roman"/>
              </w:rPr>
            </w:pPr>
            <w:r>
              <w:rPr>
                <w:rFonts w:hint="default" w:ascii="Times New Roman" w:hAnsi="Times New Roman" w:eastAsia="宋体" w:cs="Times New Roman"/>
              </w:rPr>
              <w:t>本项目环境风险潜势为Ⅰ，由表7-</w:t>
            </w:r>
            <w:r>
              <w:rPr>
                <w:rFonts w:hint="default" w:ascii="Times New Roman" w:hAnsi="Times New Roman" w:eastAsia="宋体" w:cs="Times New Roman"/>
                <w:lang w:val="en-US" w:eastAsia="zh-CN"/>
              </w:rPr>
              <w:t>15</w:t>
            </w:r>
            <w:r>
              <w:rPr>
                <w:rFonts w:hint="default" w:ascii="Times New Roman" w:hAnsi="Times New Roman" w:eastAsia="宋体" w:cs="Times New Roman"/>
              </w:rPr>
              <w:t>判定可知，本项目评价工作等级为简单分析。</w:t>
            </w:r>
          </w:p>
          <w:p>
            <w:pPr>
              <w:tabs>
                <w:tab w:val="left" w:pos="7200"/>
              </w:tabs>
              <w:ind w:firstLine="480" w:firstLineChars="200"/>
              <w:jc w:val="left"/>
              <w:rPr>
                <w:rFonts w:hint="default" w:ascii="Times New Roman" w:hAnsi="Times New Roman" w:eastAsia="宋体" w:cs="Times New Roman"/>
              </w:rPr>
            </w:pPr>
            <w:r>
              <w:rPr>
                <w:rFonts w:hint="default" w:ascii="Times New Roman" w:hAnsi="Times New Roman" w:eastAsia="宋体" w:cs="Times New Roman"/>
              </w:rPr>
              <w:t>风险识别范围：本次环境风险识别包括项目</w:t>
            </w:r>
            <w:r>
              <w:rPr>
                <w:rFonts w:hint="eastAsia" w:cs="Times New Roman"/>
                <w:lang w:val="en-US" w:eastAsia="zh-CN"/>
              </w:rPr>
              <w:t>挤塑等工艺</w:t>
            </w:r>
            <w:r>
              <w:rPr>
                <w:rFonts w:hint="default" w:ascii="Times New Roman" w:hAnsi="Times New Roman" w:eastAsia="宋体" w:cs="Times New Roman"/>
              </w:rPr>
              <w:t>风险识别和可能涉及的物质风险识别。</w:t>
            </w:r>
          </w:p>
          <w:p>
            <w:pPr>
              <w:tabs>
                <w:tab w:val="left" w:pos="7200"/>
              </w:tabs>
              <w:ind w:firstLine="480" w:firstLineChars="200"/>
              <w:jc w:val="left"/>
              <w:rPr>
                <w:rFonts w:hint="default" w:ascii="Times New Roman" w:hAnsi="Times New Roman" w:eastAsia="宋体" w:cs="Times New Roman"/>
              </w:rPr>
            </w:pPr>
            <w:r>
              <w:rPr>
                <w:rFonts w:hint="default" w:ascii="Times New Roman" w:hAnsi="Times New Roman" w:eastAsia="宋体" w:cs="Times New Roman"/>
              </w:rPr>
              <w:t>风险识别内容：可能存在事故风险如下：</w:t>
            </w:r>
            <w:r>
              <w:rPr>
                <w:rFonts w:hint="eastAsia" w:cs="Times New Roman"/>
                <w:lang w:val="en-US" w:eastAsia="zh-CN"/>
              </w:rPr>
              <w:t>线路老化发生火灾对周围大气造成影响</w:t>
            </w:r>
            <w:r>
              <w:rPr>
                <w:rFonts w:hint="default" w:ascii="Times New Roman" w:hAnsi="Times New Roman" w:eastAsia="宋体" w:cs="Times New Roman"/>
              </w:rPr>
              <w:t>，对周围大气环境风险影响不明显。</w:t>
            </w:r>
          </w:p>
          <w:p>
            <w:pPr>
              <w:ind w:firstLine="472" w:firstLineChars="196"/>
              <w:jc w:val="left"/>
              <w:rPr>
                <w:rFonts w:hint="default" w:ascii="Times New Roman" w:hAnsi="Times New Roman" w:eastAsia="宋体" w:cs="Times New Roman"/>
                <w:b/>
                <w:bCs/>
              </w:rPr>
            </w:pPr>
            <w:r>
              <w:rPr>
                <w:rFonts w:hint="default" w:ascii="Times New Roman" w:hAnsi="Times New Roman" w:eastAsia="宋体" w:cs="Times New Roman"/>
                <w:b/>
                <w:bCs/>
              </w:rPr>
              <w:t>6、环境监测和排污口规范化</w:t>
            </w:r>
          </w:p>
          <w:p>
            <w:pPr>
              <w:ind w:firstLine="480" w:firstLineChars="200"/>
              <w:jc w:val="left"/>
              <w:rPr>
                <w:rFonts w:hint="default" w:ascii="Times New Roman" w:hAnsi="Times New Roman" w:eastAsia="宋体" w:cs="Times New Roman"/>
              </w:rPr>
            </w:pPr>
            <w:r>
              <w:rPr>
                <w:rFonts w:hint="default" w:ascii="Times New Roman" w:hAnsi="Times New Roman" w:eastAsia="宋体" w:cs="Times New Roman"/>
              </w:rPr>
              <w:t>（1）大气污染源监测</w:t>
            </w:r>
          </w:p>
          <w:p>
            <w:pPr>
              <w:ind w:firstLine="480" w:firstLineChars="200"/>
              <w:jc w:val="left"/>
              <w:rPr>
                <w:rFonts w:hint="default" w:ascii="Times New Roman" w:hAnsi="Times New Roman" w:eastAsia="宋体" w:cs="Times New Roman"/>
              </w:rPr>
            </w:pPr>
            <w:r>
              <w:rPr>
                <w:rFonts w:hint="default" w:ascii="Times New Roman" w:hAnsi="Times New Roman" w:eastAsia="宋体" w:cs="Times New Roman"/>
              </w:rPr>
              <w:t>按《大气污染物综合排放标准》 GB16297-1996）表 2二级标准规定的监测分析方法对废气污染源进行日常例行监测，废气污染源监测点设置应满足GB/T 16157、HJ75 等技术规范的要求，排气筒设置检测孔，在排污口附近醒目处，设置环境保护图形标志牌。有关废气污染源监测项目及监测频次见表7-1</w:t>
            </w:r>
            <w:r>
              <w:rPr>
                <w:rFonts w:hint="eastAsia" w:cs="Times New Roman"/>
                <w:lang w:val="en-US" w:eastAsia="zh-CN"/>
              </w:rPr>
              <w:t>3</w:t>
            </w:r>
            <w:r>
              <w:rPr>
                <w:rFonts w:hint="default" w:ascii="Times New Roman" w:hAnsi="Times New Roman" w:eastAsia="宋体" w:cs="Times New Roman"/>
              </w:rPr>
              <w:t>。</w:t>
            </w:r>
          </w:p>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表7-1</w:t>
            </w:r>
            <w:r>
              <w:rPr>
                <w:rFonts w:hint="default" w:ascii="Times New Roman" w:hAnsi="Times New Roman" w:eastAsia="宋体" w:cs="Times New Roman"/>
                <w:b/>
                <w:bCs/>
                <w:sz w:val="21"/>
                <w:szCs w:val="21"/>
                <w:lang w:val="en-US" w:eastAsia="zh-CN"/>
              </w:rPr>
              <w:t>3</w:t>
            </w:r>
            <w:r>
              <w:rPr>
                <w:rFonts w:hint="default" w:ascii="Times New Roman" w:hAnsi="Times New Roman" w:eastAsia="宋体" w:cs="Times New Roman"/>
                <w:b/>
                <w:bCs/>
                <w:sz w:val="21"/>
                <w:szCs w:val="21"/>
              </w:rPr>
              <w:t>废气污染源监测项目及频次</w:t>
            </w:r>
          </w:p>
          <w:tbl>
            <w:tblPr>
              <w:tblStyle w:val="2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682"/>
              <w:gridCol w:w="1349"/>
              <w:gridCol w:w="1815"/>
              <w:gridCol w:w="457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682" w:type="dxa"/>
                  <w:tcBorders>
                    <w:top w:val="single" w:color="auto" w:sz="12" w:space="0"/>
                    <w:bottom w:val="single" w:color="auto" w:sz="12" w:space="0"/>
                  </w:tcBorders>
                  <w:noWrap w:val="0"/>
                  <w:vAlign w:val="center"/>
                </w:tcPr>
                <w:p>
                  <w:pPr>
                    <w:pStyle w:val="109"/>
                    <w:adjustRightInd/>
                    <w:spacing w:line="240" w:lineRule="auto"/>
                    <w:rPr>
                      <w:rFonts w:hint="default" w:ascii="Times New Roman" w:hAnsi="Times New Roman" w:eastAsia="宋体" w:cs="Times New Roman"/>
                      <w:b w:val="0"/>
                      <w:sz w:val="21"/>
                    </w:rPr>
                  </w:pPr>
                  <w:r>
                    <w:rPr>
                      <w:rFonts w:hint="default" w:ascii="Times New Roman" w:hAnsi="Times New Roman" w:eastAsia="宋体" w:cs="Times New Roman"/>
                      <w:b w:val="0"/>
                      <w:sz w:val="21"/>
                    </w:rPr>
                    <w:t>监测点位置</w:t>
                  </w:r>
                </w:p>
              </w:tc>
              <w:tc>
                <w:tcPr>
                  <w:tcW w:w="1349" w:type="dxa"/>
                  <w:tcBorders>
                    <w:top w:val="single" w:color="auto" w:sz="12" w:space="0"/>
                    <w:bottom w:val="single" w:color="auto" w:sz="12" w:space="0"/>
                  </w:tcBorders>
                  <w:noWrap w:val="0"/>
                  <w:vAlign w:val="center"/>
                </w:tcPr>
                <w:p>
                  <w:pPr>
                    <w:pStyle w:val="109"/>
                    <w:adjustRightInd/>
                    <w:spacing w:line="240" w:lineRule="auto"/>
                    <w:rPr>
                      <w:rFonts w:hint="default" w:ascii="Times New Roman" w:hAnsi="Times New Roman" w:eastAsia="宋体" w:cs="Times New Roman"/>
                      <w:b w:val="0"/>
                      <w:sz w:val="21"/>
                    </w:rPr>
                  </w:pPr>
                  <w:r>
                    <w:rPr>
                      <w:rFonts w:hint="default" w:ascii="Times New Roman" w:hAnsi="Times New Roman" w:eastAsia="宋体" w:cs="Times New Roman"/>
                      <w:b w:val="0"/>
                      <w:sz w:val="21"/>
                    </w:rPr>
                    <w:t>监测项目</w:t>
                  </w:r>
                </w:p>
              </w:tc>
              <w:tc>
                <w:tcPr>
                  <w:tcW w:w="1815" w:type="dxa"/>
                  <w:tcBorders>
                    <w:top w:val="single" w:color="auto" w:sz="12" w:space="0"/>
                    <w:bottom w:val="single" w:color="auto" w:sz="12" w:space="0"/>
                  </w:tcBorders>
                  <w:noWrap w:val="0"/>
                  <w:vAlign w:val="center"/>
                </w:tcPr>
                <w:p>
                  <w:pPr>
                    <w:pStyle w:val="109"/>
                    <w:adjustRightInd/>
                    <w:spacing w:line="240" w:lineRule="auto"/>
                    <w:rPr>
                      <w:rFonts w:hint="default" w:ascii="Times New Roman" w:hAnsi="Times New Roman" w:eastAsia="宋体" w:cs="Times New Roman"/>
                      <w:b w:val="0"/>
                      <w:sz w:val="21"/>
                    </w:rPr>
                  </w:pPr>
                  <w:r>
                    <w:rPr>
                      <w:rFonts w:hint="default" w:ascii="Times New Roman" w:hAnsi="Times New Roman" w:eastAsia="宋体" w:cs="Times New Roman"/>
                      <w:b w:val="0"/>
                      <w:sz w:val="21"/>
                    </w:rPr>
                    <w:t>监测频次</w:t>
                  </w:r>
                </w:p>
              </w:tc>
              <w:tc>
                <w:tcPr>
                  <w:tcW w:w="4576" w:type="dxa"/>
                  <w:tcBorders>
                    <w:top w:val="single" w:color="auto" w:sz="12" w:space="0"/>
                    <w:bottom w:val="single" w:color="auto" w:sz="12" w:space="0"/>
                  </w:tcBorders>
                  <w:noWrap w:val="0"/>
                  <w:vAlign w:val="center"/>
                </w:tcPr>
                <w:p>
                  <w:pPr>
                    <w:pStyle w:val="109"/>
                    <w:adjustRightInd/>
                    <w:spacing w:line="240" w:lineRule="auto"/>
                    <w:rPr>
                      <w:rFonts w:hint="default" w:ascii="Times New Roman" w:hAnsi="Times New Roman" w:eastAsia="宋体" w:cs="Times New Roman"/>
                      <w:b w:val="0"/>
                      <w:sz w:val="21"/>
                    </w:rPr>
                  </w:pPr>
                  <w:r>
                    <w:rPr>
                      <w:rFonts w:hint="default" w:ascii="Times New Roman" w:hAnsi="Times New Roman" w:eastAsia="宋体" w:cs="Times New Roman"/>
                      <w:b w:val="0"/>
                      <w:sz w:val="21"/>
                    </w:rPr>
                    <w:t>执行排放标准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1682" w:type="dxa"/>
                  <w:tcBorders>
                    <w:top w:val="single" w:color="auto" w:sz="12" w:space="0"/>
                  </w:tcBorders>
                  <w:noWrap w:val="0"/>
                  <w:vAlign w:val="center"/>
                </w:tcPr>
                <w:p>
                  <w:pPr>
                    <w:pStyle w:val="109"/>
                    <w:adjustRightInd/>
                    <w:spacing w:line="240" w:lineRule="auto"/>
                    <w:rPr>
                      <w:rFonts w:hint="default" w:ascii="Times New Roman" w:hAnsi="Times New Roman" w:eastAsia="宋体" w:cs="Times New Roman"/>
                      <w:b w:val="0"/>
                      <w:sz w:val="21"/>
                    </w:rPr>
                  </w:pPr>
                  <w:r>
                    <w:rPr>
                      <w:rFonts w:hint="default" w:ascii="Times New Roman" w:hAnsi="Times New Roman" w:eastAsia="宋体" w:cs="Times New Roman"/>
                      <w:b w:val="0"/>
                      <w:sz w:val="21"/>
                    </w:rPr>
                    <w:t>排气筒</w:t>
                  </w:r>
                </w:p>
              </w:tc>
              <w:tc>
                <w:tcPr>
                  <w:tcW w:w="1349" w:type="dxa"/>
                  <w:tcBorders>
                    <w:top w:val="single" w:color="auto" w:sz="12" w:space="0"/>
                  </w:tcBorders>
                  <w:noWrap w:val="0"/>
                  <w:vAlign w:val="center"/>
                </w:tcPr>
                <w:p>
                  <w:pPr>
                    <w:pStyle w:val="109"/>
                    <w:adjustRightInd/>
                    <w:spacing w:line="240" w:lineRule="auto"/>
                    <w:rPr>
                      <w:rFonts w:hint="default" w:ascii="Times New Roman" w:hAnsi="Times New Roman" w:eastAsia="宋体" w:cs="Times New Roman"/>
                      <w:b w:val="0"/>
                      <w:sz w:val="21"/>
                    </w:rPr>
                  </w:pPr>
                  <w:r>
                    <w:rPr>
                      <w:rFonts w:hint="default" w:ascii="Times New Roman" w:hAnsi="Times New Roman" w:eastAsia="宋体" w:cs="Times New Roman"/>
                      <w:b w:val="0"/>
                      <w:sz w:val="21"/>
                    </w:rPr>
                    <w:t>非甲烷总烃</w:t>
                  </w:r>
                </w:p>
              </w:tc>
              <w:tc>
                <w:tcPr>
                  <w:tcW w:w="1815" w:type="dxa"/>
                  <w:vMerge w:val="restart"/>
                  <w:tcBorders>
                    <w:top w:val="single" w:color="auto" w:sz="12" w:space="0"/>
                  </w:tcBorders>
                  <w:noWrap w:val="0"/>
                  <w:vAlign w:val="center"/>
                </w:tcPr>
                <w:p>
                  <w:pPr>
                    <w:pStyle w:val="109"/>
                    <w:adjustRightInd/>
                    <w:spacing w:line="240" w:lineRule="auto"/>
                    <w:rPr>
                      <w:rFonts w:hint="default" w:ascii="Times New Roman" w:hAnsi="Times New Roman" w:eastAsia="宋体" w:cs="Times New Roman"/>
                      <w:b w:val="0"/>
                      <w:sz w:val="21"/>
                    </w:rPr>
                  </w:pPr>
                  <w:r>
                    <w:rPr>
                      <w:rFonts w:hint="default" w:ascii="Times New Roman" w:hAnsi="Times New Roman" w:eastAsia="宋体" w:cs="Times New Roman"/>
                      <w:b w:val="0"/>
                      <w:sz w:val="21"/>
                    </w:rPr>
                    <w:t>每年监测1次</w:t>
                  </w:r>
                </w:p>
              </w:tc>
              <w:tc>
                <w:tcPr>
                  <w:tcW w:w="4576" w:type="dxa"/>
                  <w:vMerge w:val="restart"/>
                  <w:tcBorders>
                    <w:top w:val="single" w:color="auto" w:sz="12" w:space="0"/>
                  </w:tcBorders>
                  <w:noWrap w:val="0"/>
                  <w:vAlign w:val="center"/>
                </w:tcPr>
                <w:p>
                  <w:pPr>
                    <w:pStyle w:val="109"/>
                    <w:adjustRightInd/>
                    <w:spacing w:line="240" w:lineRule="auto"/>
                    <w:rPr>
                      <w:rFonts w:hint="default" w:ascii="Times New Roman" w:hAnsi="Times New Roman" w:eastAsia="宋体" w:cs="Times New Roman"/>
                      <w:b w:val="0"/>
                      <w:sz w:val="21"/>
                    </w:rPr>
                  </w:pPr>
                  <w:r>
                    <w:rPr>
                      <w:rFonts w:hint="default" w:ascii="Times New Roman" w:hAnsi="Times New Roman" w:eastAsia="宋体" w:cs="Times New Roman"/>
                      <w:b w:val="0"/>
                      <w:sz w:val="21"/>
                    </w:rPr>
                    <w:t>苏高新管〔2018〕74号文规定和《大气污染物综合排放标准》GB16297-1996）表 2二级标准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1682" w:type="dxa"/>
                  <w:noWrap w:val="0"/>
                  <w:vAlign w:val="center"/>
                </w:tcPr>
                <w:p>
                  <w:pPr>
                    <w:pStyle w:val="109"/>
                    <w:spacing w:line="240" w:lineRule="auto"/>
                    <w:rPr>
                      <w:rFonts w:hint="default" w:ascii="Times New Roman" w:hAnsi="Times New Roman" w:eastAsia="宋体" w:cs="Times New Roman"/>
                      <w:b w:val="0"/>
                      <w:sz w:val="21"/>
                    </w:rPr>
                  </w:pPr>
                  <w:r>
                    <w:rPr>
                      <w:rFonts w:hint="default" w:ascii="Times New Roman" w:hAnsi="Times New Roman" w:eastAsia="宋体" w:cs="Times New Roman"/>
                      <w:b w:val="0"/>
                      <w:sz w:val="21"/>
                    </w:rPr>
                    <w:t>厂界无组织监控</w:t>
                  </w:r>
                </w:p>
              </w:tc>
              <w:tc>
                <w:tcPr>
                  <w:tcW w:w="1349" w:type="dxa"/>
                  <w:noWrap w:val="0"/>
                  <w:vAlign w:val="center"/>
                </w:tcPr>
                <w:p>
                  <w:pPr>
                    <w:pStyle w:val="109"/>
                    <w:spacing w:line="240" w:lineRule="auto"/>
                    <w:rPr>
                      <w:rFonts w:hint="default" w:ascii="Times New Roman" w:hAnsi="Times New Roman" w:eastAsia="宋体" w:cs="Times New Roman"/>
                      <w:b w:val="0"/>
                      <w:sz w:val="21"/>
                    </w:rPr>
                  </w:pPr>
                  <w:r>
                    <w:rPr>
                      <w:rFonts w:hint="default" w:ascii="Times New Roman" w:hAnsi="Times New Roman" w:eastAsia="宋体" w:cs="Times New Roman"/>
                      <w:b w:val="0"/>
                      <w:sz w:val="21"/>
                    </w:rPr>
                    <w:t>颗粒物</w:t>
                  </w:r>
                </w:p>
              </w:tc>
              <w:tc>
                <w:tcPr>
                  <w:tcW w:w="1815" w:type="dxa"/>
                  <w:vMerge w:val="continue"/>
                  <w:noWrap w:val="0"/>
                  <w:vAlign w:val="center"/>
                </w:tcPr>
                <w:p>
                  <w:pPr>
                    <w:pStyle w:val="61"/>
                    <w:spacing w:line="240" w:lineRule="auto"/>
                    <w:rPr>
                      <w:rFonts w:hint="default" w:ascii="Times New Roman" w:hAnsi="Times New Roman" w:eastAsia="宋体" w:cs="Times New Roman"/>
                      <w:sz w:val="21"/>
                      <w:szCs w:val="21"/>
                    </w:rPr>
                  </w:pPr>
                </w:p>
              </w:tc>
              <w:tc>
                <w:tcPr>
                  <w:tcW w:w="4576" w:type="dxa"/>
                  <w:vMerge w:val="continue"/>
                  <w:noWrap w:val="0"/>
                  <w:vAlign w:val="center"/>
                </w:tcPr>
                <w:p>
                  <w:pPr>
                    <w:pStyle w:val="61"/>
                    <w:spacing w:line="240" w:lineRule="auto"/>
                    <w:rPr>
                      <w:rFonts w:hint="default" w:ascii="Times New Roman" w:hAnsi="Times New Roman" w:eastAsia="宋体" w:cs="Times New Roman"/>
                      <w:sz w:val="21"/>
                      <w:szCs w:val="21"/>
                    </w:rPr>
                  </w:pPr>
                </w:p>
              </w:tc>
            </w:tr>
          </w:tbl>
          <w:p>
            <w:pPr>
              <w:rPr>
                <w:rFonts w:hint="eastAsia"/>
                <w:lang w:val="en-US" w:eastAsia="zh-CN"/>
              </w:rPr>
            </w:pPr>
            <w:r>
              <w:rPr>
                <w:rFonts w:hint="eastAsia"/>
                <w:lang w:val="en-US" w:eastAsia="zh-CN"/>
              </w:rPr>
              <w:t>非甲烷总烃：</w:t>
            </w:r>
          </w:p>
          <w:p>
            <w:pPr>
              <w:bidi w:val="0"/>
              <w:jc w:val="center"/>
              <w:rPr>
                <w:rFonts w:hint="eastAsia"/>
                <w:lang w:val="en-US" w:eastAsia="zh-CN"/>
              </w:rPr>
            </w:pPr>
            <w:r>
              <w:rPr>
                <w:rFonts w:hint="default" w:ascii="Times New Roman" w:hAnsi="Times New Roman" w:eastAsia="宋体" w:cs="Times New Roman"/>
                <w:b/>
                <w:bCs/>
                <w:sz w:val="21"/>
                <w:szCs w:val="21"/>
              </w:rPr>
              <w:t>表7-1</w:t>
            </w:r>
            <w:r>
              <w:rPr>
                <w:rFonts w:hint="eastAsia" w:cs="Times New Roman"/>
                <w:b/>
                <w:bCs/>
                <w:sz w:val="21"/>
                <w:szCs w:val="21"/>
                <w:lang w:val="en-US" w:eastAsia="zh-CN"/>
              </w:rPr>
              <w:t>4</w:t>
            </w:r>
            <w:r>
              <w:rPr>
                <w:rFonts w:hint="default" w:ascii="Times New Roman" w:hAnsi="Times New Roman" w:eastAsia="宋体" w:cs="Times New Roman"/>
                <w:b/>
                <w:bCs/>
                <w:sz w:val="21"/>
                <w:szCs w:val="21"/>
              </w:rPr>
              <w:t xml:space="preserve"> </w:t>
            </w:r>
            <w:r>
              <w:rPr>
                <w:rFonts w:hint="eastAsia" w:cs="Times New Roman"/>
                <w:b/>
                <w:bCs/>
                <w:sz w:val="21"/>
                <w:szCs w:val="21"/>
                <w:lang w:val="en-US" w:eastAsia="zh-CN"/>
              </w:rPr>
              <w:t>非甲烷总烃无组织排放</w:t>
            </w:r>
            <w:r>
              <w:rPr>
                <w:rFonts w:hint="default" w:ascii="Times New Roman" w:hAnsi="Times New Roman" w:eastAsia="宋体" w:cs="Times New Roman"/>
                <w:b/>
                <w:bCs/>
                <w:sz w:val="21"/>
                <w:szCs w:val="21"/>
              </w:rPr>
              <w:t>监测频次</w:t>
            </w:r>
          </w:p>
          <w:tbl>
            <w:tblPr>
              <w:tblStyle w:val="2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6"/>
              <w:gridCol w:w="1245"/>
              <w:gridCol w:w="1649"/>
              <w:gridCol w:w="2738"/>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pct"/>
                  <w:vAlign w:val="center"/>
                </w:tcPr>
                <w:p>
                  <w:pPr>
                    <w:spacing w:line="240" w:lineRule="auto"/>
                    <w:jc w:val="center"/>
                    <w:rPr>
                      <w:rFonts w:ascii="Times New Roman" w:hAnsi="Times New Roman" w:eastAsia="宋体" w:cs="Times New Roman"/>
                      <w:kern w:val="2"/>
                      <w:sz w:val="21"/>
                      <w:szCs w:val="21"/>
                      <w:lang w:val="en-US" w:eastAsia="zh-CN" w:bidi="ar-SA"/>
                    </w:rPr>
                  </w:pPr>
                  <w:r>
                    <w:rPr>
                      <w:sz w:val="21"/>
                      <w:szCs w:val="21"/>
                    </w:rPr>
                    <w:t>污染物名称</w:t>
                  </w:r>
                </w:p>
              </w:tc>
              <w:tc>
                <w:tcPr>
                  <w:tcW w:w="661" w:type="pct"/>
                  <w:vAlign w:val="center"/>
                </w:tcPr>
                <w:p>
                  <w:pPr>
                    <w:snapToGrid w:val="0"/>
                    <w:spacing w:line="240" w:lineRule="auto"/>
                    <w:jc w:val="center"/>
                    <w:rPr>
                      <w:rFonts w:ascii="Times New Roman" w:hAnsi="Times New Roman" w:eastAsia="宋体" w:cs="Times New Roman"/>
                      <w:kern w:val="2"/>
                      <w:sz w:val="21"/>
                      <w:szCs w:val="21"/>
                      <w:lang w:val="en-US" w:eastAsia="zh-CN" w:bidi="ar-SA"/>
                    </w:rPr>
                  </w:pPr>
                  <w:r>
                    <w:rPr>
                      <w:rFonts w:hint="eastAsia"/>
                      <w:sz w:val="21"/>
                      <w:szCs w:val="21"/>
                      <w:lang w:val="en-US" w:eastAsia="zh-CN"/>
                    </w:rPr>
                    <w:t>排放限值</w:t>
                  </w:r>
                </w:p>
              </w:tc>
              <w:tc>
                <w:tcPr>
                  <w:tcW w:w="876" w:type="pct"/>
                  <w:vAlign w:val="center"/>
                </w:tcPr>
                <w:p>
                  <w:pPr>
                    <w:snapToGrid w:val="0"/>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特别排放限值</w:t>
                  </w:r>
                </w:p>
              </w:tc>
              <w:tc>
                <w:tcPr>
                  <w:tcW w:w="1454" w:type="pct"/>
                  <w:vAlign w:val="center"/>
                </w:tcPr>
                <w:p>
                  <w:pPr>
                    <w:snapToGrid w:val="0"/>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限值含义</w:t>
                  </w:r>
                </w:p>
              </w:tc>
              <w:tc>
                <w:tcPr>
                  <w:tcW w:w="1280" w:type="pct"/>
                  <w:vAlign w:val="center"/>
                </w:tcPr>
                <w:p>
                  <w:pPr>
                    <w:pStyle w:val="61"/>
                    <w:bidi w:val="0"/>
                    <w:spacing w:line="240" w:lineRule="auto"/>
                    <w:jc w:val="center"/>
                    <w:rPr>
                      <w:rFonts w:hint="default" w:eastAsia="宋体"/>
                      <w:sz w:val="21"/>
                      <w:szCs w:val="21"/>
                      <w:vertAlign w:val="baseline"/>
                      <w:lang w:val="en-US" w:eastAsia="zh-CN"/>
                    </w:rPr>
                  </w:pPr>
                  <w:r>
                    <w:rPr>
                      <w:rFonts w:hint="eastAsia"/>
                      <w:sz w:val="21"/>
                      <w:szCs w:val="21"/>
                      <w:lang w:val="en-US" w:eastAsia="zh-CN"/>
                    </w:rPr>
                    <w:t>无组织排放监控位置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pct"/>
                  <w:vMerge w:val="restart"/>
                  <w:vAlign w:val="center"/>
                </w:tcPr>
                <w:p>
                  <w:pPr>
                    <w:spacing w:line="240" w:lineRule="auto"/>
                    <w:jc w:val="center"/>
                    <w:rPr>
                      <w:rFonts w:ascii="Times New Roman" w:hAnsi="Times New Roman" w:eastAsia="宋体" w:cs="Times New Roman"/>
                      <w:kern w:val="2"/>
                      <w:sz w:val="21"/>
                      <w:szCs w:val="21"/>
                      <w:lang w:val="en-US" w:eastAsia="zh-CN" w:bidi="ar-SA"/>
                    </w:rPr>
                  </w:pPr>
                  <w:r>
                    <w:rPr>
                      <w:sz w:val="21"/>
                      <w:szCs w:val="21"/>
                    </w:rPr>
                    <w:t>非甲烷总烃</w:t>
                  </w:r>
                </w:p>
              </w:tc>
              <w:tc>
                <w:tcPr>
                  <w:tcW w:w="661"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10</w:t>
                  </w:r>
                </w:p>
              </w:tc>
              <w:tc>
                <w:tcPr>
                  <w:tcW w:w="876" w:type="pct"/>
                  <w:vAlign w:val="center"/>
                </w:tcPr>
                <w:p>
                  <w:pPr>
                    <w:spacing w:line="240" w:lineRule="auto"/>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6</w:t>
                  </w:r>
                </w:p>
              </w:tc>
              <w:tc>
                <w:tcPr>
                  <w:tcW w:w="1454"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监控点处1h平均浓度值</w:t>
                  </w:r>
                </w:p>
              </w:tc>
              <w:tc>
                <w:tcPr>
                  <w:tcW w:w="1280" w:type="pct"/>
                  <w:vMerge w:val="restart"/>
                  <w:vAlign w:val="center"/>
                </w:tcPr>
                <w:p>
                  <w:pPr>
                    <w:pStyle w:val="2"/>
                    <w:spacing w:line="240" w:lineRule="auto"/>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在厂房外设置监控点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pct"/>
                  <w:vMerge w:val="continue"/>
                  <w:vAlign w:val="center"/>
                </w:tcPr>
                <w:p>
                  <w:pPr>
                    <w:pStyle w:val="2"/>
                    <w:jc w:val="center"/>
                    <w:rPr>
                      <w:vertAlign w:val="baseline"/>
                    </w:rPr>
                  </w:pPr>
                </w:p>
              </w:tc>
              <w:tc>
                <w:tcPr>
                  <w:tcW w:w="661"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30</w:t>
                  </w:r>
                </w:p>
              </w:tc>
              <w:tc>
                <w:tcPr>
                  <w:tcW w:w="876"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20</w:t>
                  </w:r>
                </w:p>
              </w:tc>
              <w:tc>
                <w:tcPr>
                  <w:tcW w:w="1454" w:type="pct"/>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监控点任意一次浓度值</w:t>
                  </w:r>
                </w:p>
              </w:tc>
              <w:tc>
                <w:tcPr>
                  <w:tcW w:w="1280" w:type="pct"/>
                  <w:vMerge w:val="continue"/>
                  <w:vAlign w:val="center"/>
                </w:tcPr>
                <w:p>
                  <w:pPr>
                    <w:pStyle w:val="2"/>
                    <w:spacing w:line="240" w:lineRule="auto"/>
                    <w:ind w:left="0" w:leftChars="0" w:firstLine="0" w:firstLineChars="0"/>
                    <w:jc w:val="center"/>
                    <w:rPr>
                      <w:sz w:val="21"/>
                      <w:szCs w:val="21"/>
                      <w:vertAlign w:val="baseline"/>
                    </w:rPr>
                  </w:pPr>
                </w:p>
              </w:tc>
            </w:tr>
          </w:tbl>
          <w:p>
            <w:pPr>
              <w:pStyle w:val="2"/>
              <w:ind w:left="0" w:leftChars="0" w:firstLine="0" w:firstLineChars="0"/>
              <w:rPr>
                <w:rFonts w:hint="default"/>
                <w:lang w:val="en-US" w:eastAsia="zh-CN"/>
              </w:rPr>
            </w:pPr>
            <w:r>
              <w:rPr>
                <w:rFonts w:hint="eastAsia"/>
                <w:lang w:val="en-US" w:eastAsia="zh-CN"/>
              </w:rPr>
              <w:t>厂区内VOCs无组织排放监测要求：</w:t>
            </w:r>
          </w:p>
          <w:p>
            <w:pPr>
              <w:ind w:firstLine="480" w:firstLineChars="200"/>
              <w:rPr>
                <w:rFonts w:hint="default"/>
                <w:lang w:val="en-US" w:eastAsia="zh-CN"/>
              </w:rPr>
            </w:pPr>
            <w:r>
              <w:rPr>
                <w:rFonts w:hint="eastAsia"/>
                <w:lang w:val="en-US" w:eastAsia="zh-CN"/>
              </w:rPr>
              <w:t>对厂区内VOCs无组织排放进行监控时，在厂房门窗或通风口、其他开口（孔）等排放口外1m，距离地面1.5m以上位置处进行监测。若厂房不完整（如有顶无围墙），则在操作工位下风向1m，距离地面1.5m以上位置处进行监测。</w:t>
            </w:r>
          </w:p>
          <w:p>
            <w:pPr>
              <w:ind w:firstLine="480" w:firstLineChars="200"/>
              <w:jc w:val="left"/>
              <w:rPr>
                <w:rFonts w:hint="default" w:ascii="Times New Roman" w:hAnsi="Times New Roman" w:eastAsia="宋体" w:cs="Times New Roman"/>
              </w:rPr>
            </w:pPr>
            <w:r>
              <w:rPr>
                <w:rFonts w:hint="eastAsia"/>
                <w:bCs/>
                <w:lang w:val="en-US" w:eastAsia="zh-CN"/>
              </w:rPr>
              <w:t>厂区内NMHC任何1h平均浓度的监测采用HJ604、HJ1012规定的方法，以连续1h采样获取平均值，或在1h内以等时间间隔采集3-4个样品计平均值。厂区内NMHC任意一次浓度值的监测，按便携式监测仪器相关规定执行。</w:t>
            </w:r>
          </w:p>
          <w:p>
            <w:pPr>
              <w:ind w:firstLine="480" w:firstLineChars="200"/>
              <w:jc w:val="left"/>
              <w:rPr>
                <w:rFonts w:hint="default" w:ascii="Times New Roman" w:hAnsi="Times New Roman" w:eastAsia="宋体" w:cs="Times New Roman"/>
              </w:rPr>
            </w:pPr>
            <w:r>
              <w:rPr>
                <w:rFonts w:hint="default" w:ascii="Times New Roman" w:hAnsi="Times New Roman" w:eastAsia="宋体" w:cs="Times New Roman"/>
              </w:rPr>
              <w:t>（2）水污染源监测</w:t>
            </w:r>
          </w:p>
          <w:p>
            <w:pPr>
              <w:ind w:firstLine="480" w:firstLineChars="200"/>
              <w:jc w:val="left"/>
              <w:rPr>
                <w:rFonts w:hint="default" w:ascii="Times New Roman" w:hAnsi="Times New Roman" w:eastAsia="宋体" w:cs="Times New Roman"/>
              </w:rPr>
            </w:pPr>
            <w:r>
              <w:rPr>
                <w:rFonts w:hint="default" w:ascii="Times New Roman" w:hAnsi="Times New Roman" w:eastAsia="宋体" w:cs="Times New Roman"/>
              </w:rPr>
              <w:t>对企业外排的主要水污染物指标进行监测，在废水排放口、雨水排放口设置采样点，在排污口附近醒目处，设置环境保护图形标志牌。</w:t>
            </w:r>
          </w:p>
          <w:p>
            <w:pPr>
              <w:ind w:firstLine="480" w:firstLineChars="200"/>
              <w:jc w:val="left"/>
              <w:rPr>
                <w:rFonts w:hint="default" w:ascii="Times New Roman" w:hAnsi="Times New Roman" w:eastAsia="宋体" w:cs="Times New Roman"/>
              </w:rPr>
            </w:pPr>
            <w:r>
              <w:rPr>
                <w:rFonts w:hint="default" w:ascii="Times New Roman" w:hAnsi="Times New Roman" w:eastAsia="宋体" w:cs="Times New Roman"/>
              </w:rPr>
              <w:t>监测地点：污水排口</w:t>
            </w:r>
          </w:p>
          <w:p>
            <w:pPr>
              <w:ind w:firstLine="480" w:firstLineChars="200"/>
              <w:jc w:val="left"/>
              <w:rPr>
                <w:rFonts w:hint="default" w:ascii="Times New Roman" w:hAnsi="Times New Roman" w:eastAsia="宋体" w:cs="Times New Roman"/>
              </w:rPr>
            </w:pPr>
            <w:r>
              <w:rPr>
                <w:rFonts w:hint="default" w:ascii="Times New Roman" w:hAnsi="Times New Roman" w:eastAsia="宋体" w:cs="Times New Roman"/>
              </w:rPr>
              <w:t>监测因子：pH、COD、SS、NH</w:t>
            </w:r>
            <w:r>
              <w:rPr>
                <w:rFonts w:hint="default" w:ascii="Times New Roman" w:hAnsi="Times New Roman" w:eastAsia="宋体" w:cs="Times New Roman"/>
                <w:vertAlign w:val="subscript"/>
              </w:rPr>
              <w:t>3</w:t>
            </w:r>
            <w:r>
              <w:rPr>
                <w:rFonts w:hint="default" w:ascii="Times New Roman" w:hAnsi="Times New Roman" w:eastAsia="宋体" w:cs="Times New Roman"/>
              </w:rPr>
              <w:t>-H、TP 、TN、石油类</w:t>
            </w:r>
          </w:p>
          <w:p>
            <w:pPr>
              <w:ind w:firstLine="480" w:firstLineChars="200"/>
              <w:jc w:val="left"/>
              <w:rPr>
                <w:rFonts w:hint="default" w:ascii="Times New Roman" w:hAnsi="Times New Roman" w:eastAsia="宋体" w:cs="Times New Roman"/>
              </w:rPr>
            </w:pPr>
            <w:r>
              <w:rPr>
                <w:rFonts w:hint="default" w:ascii="Times New Roman" w:hAnsi="Times New Roman" w:eastAsia="宋体" w:cs="Times New Roman"/>
              </w:rPr>
              <w:t>监测频率：每季度监测一个生产周期（4次/周期）。</w:t>
            </w:r>
          </w:p>
          <w:p>
            <w:pPr>
              <w:ind w:firstLine="480" w:firstLineChars="200"/>
              <w:jc w:val="left"/>
              <w:rPr>
                <w:rFonts w:hint="default" w:ascii="Times New Roman" w:hAnsi="Times New Roman" w:eastAsia="宋体" w:cs="Times New Roman"/>
              </w:rPr>
            </w:pPr>
            <w:r>
              <w:rPr>
                <w:rFonts w:hint="default" w:ascii="Times New Roman" w:hAnsi="Times New Roman" w:eastAsia="宋体" w:cs="Times New Roman"/>
              </w:rPr>
              <w:t>（3）噪声监测</w:t>
            </w:r>
          </w:p>
          <w:p>
            <w:pPr>
              <w:ind w:firstLine="480" w:firstLineChars="200"/>
              <w:jc w:val="left"/>
              <w:rPr>
                <w:rFonts w:hint="default" w:ascii="Times New Roman" w:hAnsi="Times New Roman" w:eastAsia="宋体" w:cs="Times New Roman"/>
              </w:rPr>
            </w:pPr>
            <w:r>
              <w:rPr>
                <w:rFonts w:hint="default" w:ascii="Times New Roman" w:hAnsi="Times New Roman" w:eastAsia="宋体" w:cs="Times New Roman"/>
              </w:rPr>
              <w:t>定期监测厂界四周噪声，监测频率为每季度一次，并在噪声监测点附近醒目处设置环境保护图形标志牌。</w:t>
            </w:r>
          </w:p>
          <w:p>
            <w:pPr>
              <w:pStyle w:val="2"/>
              <w:ind w:firstLine="480" w:firstLineChars="200"/>
              <w:rPr>
                <w:rFonts w:hint="default" w:ascii="Times New Roman" w:hAnsi="Times New Roman" w:eastAsia="宋体" w:cs="Times New Roman"/>
              </w:rPr>
            </w:pPr>
            <w:r>
              <w:rPr>
                <w:rFonts w:hint="default" w:ascii="Times New Roman" w:hAnsi="Times New Roman" w:eastAsia="宋体" w:cs="Times New Roman"/>
              </w:rPr>
              <w:t>以上各监测项可以委托有监测能力和资质的环境监测机构进行定期监测。</w:t>
            </w:r>
          </w:p>
          <w:p>
            <w:pPr>
              <w:pStyle w:val="2"/>
              <w:numPr>
                <w:ilvl w:val="0"/>
                <w:numId w:val="0"/>
              </w:numPr>
              <w:ind w:firstLine="482" w:firstLineChars="200"/>
              <w:rPr>
                <w:rFonts w:hint="default" w:ascii="Times New Roman" w:hAnsi="Times New Roman" w:eastAsia="宋体" w:cs="Times New Roman"/>
                <w:b/>
                <w:bCs/>
              </w:rPr>
            </w:pPr>
            <w:r>
              <w:rPr>
                <w:rFonts w:hint="default" w:ascii="Times New Roman" w:hAnsi="Times New Roman" w:eastAsia="宋体" w:cs="Times New Roman"/>
                <w:b/>
                <w:bCs/>
                <w:lang w:val="en-US" w:eastAsia="zh-CN"/>
              </w:rPr>
              <w:t>7、</w:t>
            </w:r>
            <w:r>
              <w:rPr>
                <w:rFonts w:hint="default" w:ascii="Times New Roman" w:hAnsi="Times New Roman" w:eastAsia="宋体" w:cs="Times New Roman"/>
                <w:b/>
                <w:bCs/>
              </w:rPr>
              <w:t>土壤分析</w:t>
            </w:r>
          </w:p>
          <w:p>
            <w:pPr>
              <w:pStyle w:val="2"/>
              <w:ind w:firstLine="480"/>
              <w:rPr>
                <w:rFonts w:hint="default" w:ascii="Times New Roman" w:hAnsi="Times New Roman" w:eastAsia="宋体" w:cs="Times New Roman"/>
              </w:rPr>
            </w:pPr>
            <w:r>
              <w:rPr>
                <w:rFonts w:hint="default" w:ascii="Times New Roman" w:hAnsi="Times New Roman" w:eastAsia="宋体" w:cs="Times New Roman"/>
              </w:rPr>
              <w:t>本项目主要为[</w:t>
            </w:r>
            <w:r>
              <w:rPr>
                <w:rFonts w:hint="eastAsia" w:cs="Times New Roman"/>
                <w:lang w:val="en-US" w:eastAsia="zh-CN"/>
              </w:rPr>
              <w:t>C3060</w:t>
            </w:r>
            <w:r>
              <w:rPr>
                <w:rFonts w:hint="default" w:ascii="Times New Roman" w:hAnsi="Times New Roman" w:eastAsia="宋体" w:cs="Times New Roman"/>
              </w:rPr>
              <w:t>]</w:t>
            </w:r>
            <w:r>
              <w:rPr>
                <w:rFonts w:hint="eastAsia" w:cs="Times New Roman"/>
                <w:lang w:val="en-US" w:eastAsia="zh-CN"/>
              </w:rPr>
              <w:t>塑料制品</w:t>
            </w:r>
            <w:r>
              <w:rPr>
                <w:rFonts w:hint="default" w:ascii="Times New Roman" w:hAnsi="Times New Roman" w:eastAsia="宋体" w:cs="Times New Roman"/>
              </w:rPr>
              <w:t>，主要影响为污染影响型。根据《环境影响评价技术导则土壤环境（试行）》（HJ964-2018）表 A.1 土壤环境影响评价项目类别，本项目属于</w:t>
            </w:r>
            <w:r>
              <w:rPr>
                <w:rFonts w:hint="eastAsia" w:cs="Times New Roman"/>
                <w:lang w:val="en-US" w:eastAsia="zh-CN"/>
              </w:rPr>
              <w:t>十九、非金属矿物制品业中53玻璃纤维及玻璃纤维增强塑料制品</w:t>
            </w:r>
            <w:r>
              <w:rPr>
                <w:rFonts w:hint="default" w:ascii="Times New Roman" w:hAnsi="Times New Roman" w:eastAsia="宋体" w:cs="Times New Roman"/>
              </w:rPr>
              <w:t>。本项目建设项目占地面积约</w:t>
            </w:r>
            <w:r>
              <w:rPr>
                <w:rFonts w:hint="eastAsia" w:cs="Times New Roman"/>
                <w:lang w:val="en-US" w:eastAsia="zh-CN"/>
              </w:rPr>
              <w:t>1200</w:t>
            </w:r>
            <w:r>
              <w:rPr>
                <w:rFonts w:hint="default" w:ascii="Times New Roman" w:hAnsi="Times New Roman" w:eastAsia="宋体" w:cs="Times New Roman"/>
              </w:rPr>
              <w:t>m</w:t>
            </w:r>
            <w:r>
              <w:rPr>
                <w:rFonts w:hint="default" w:ascii="Times New Roman" w:hAnsi="Times New Roman" w:eastAsia="宋体" w:cs="Times New Roman"/>
                <w:vertAlign w:val="superscript"/>
              </w:rPr>
              <w:t>2</w:t>
            </w:r>
            <w:r>
              <w:rPr>
                <w:rFonts w:hint="default" w:ascii="Times New Roman" w:hAnsi="Times New Roman" w:eastAsia="宋体" w:cs="Times New Roman"/>
              </w:rPr>
              <w:t>，占地规模为小型（≤5 hm</w:t>
            </w:r>
            <w:r>
              <w:rPr>
                <w:rFonts w:hint="default" w:ascii="Times New Roman" w:hAnsi="Times New Roman" w:eastAsia="宋体" w:cs="Times New Roman"/>
                <w:vertAlign w:val="superscript"/>
              </w:rPr>
              <w:t>2</w:t>
            </w:r>
            <w:r>
              <w:rPr>
                <w:rFonts w:hint="default" w:ascii="Times New Roman" w:hAnsi="Times New Roman" w:eastAsia="宋体" w:cs="Times New Roman"/>
              </w:rPr>
              <w:t>），建设项目位于苏州高新区</w:t>
            </w:r>
            <w:r>
              <w:rPr>
                <w:rFonts w:hint="eastAsia" w:cs="Times New Roman"/>
                <w:lang w:val="en-US" w:eastAsia="zh-CN"/>
              </w:rPr>
              <w:t>浒关分区东金芝路56</w:t>
            </w:r>
            <w:r>
              <w:rPr>
                <w:rFonts w:hint="default" w:ascii="Times New Roman" w:hAnsi="Times New Roman" w:eastAsia="宋体" w:cs="Times New Roman"/>
              </w:rPr>
              <w:t>号，所在地周边不存在居住区、学校、医院等敏感目标，土壤环境敏感程度为不敏感，根据《环境影响评价技术导则土壤环境（试行）》（HJ964-2018）表 4 污染影响型评价工作等级划分表，本项目可不开展土壤环境影响评价工作。</w:t>
            </w:r>
          </w:p>
          <w:p>
            <w:pPr>
              <w:pStyle w:val="2"/>
              <w:ind w:firstLine="0" w:firstLineChars="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表7-1</w:t>
            </w:r>
            <w:r>
              <w:rPr>
                <w:rFonts w:hint="eastAsia" w:cs="Times New Roman"/>
                <w:b/>
                <w:bCs/>
                <w:sz w:val="21"/>
                <w:szCs w:val="21"/>
                <w:lang w:val="en-US" w:eastAsia="zh-CN"/>
              </w:rPr>
              <w:t>5</w:t>
            </w:r>
            <w:r>
              <w:rPr>
                <w:rFonts w:hint="default" w:ascii="Times New Roman" w:hAnsi="Times New Roman" w:eastAsia="宋体" w:cs="Times New Roman"/>
                <w:b/>
                <w:bCs/>
                <w:sz w:val="21"/>
                <w:szCs w:val="21"/>
              </w:rPr>
              <w:t>污染影响型土壤评价工作等级划分表</w:t>
            </w:r>
          </w:p>
          <w:tbl>
            <w:tblPr>
              <w:tblStyle w:val="26"/>
              <w:tblW w:w="0" w:type="auto"/>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924"/>
              <w:gridCol w:w="831"/>
              <w:gridCol w:w="831"/>
              <w:gridCol w:w="831"/>
              <w:gridCol w:w="832"/>
              <w:gridCol w:w="832"/>
              <w:gridCol w:w="832"/>
              <w:gridCol w:w="832"/>
              <w:gridCol w:w="832"/>
              <w:gridCol w:w="84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926" w:type="dxa"/>
                  <w:vMerge w:val="restart"/>
                  <w:noWrap w:val="0"/>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敏感程度</w:t>
                  </w:r>
                </w:p>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评价工作等级</w:t>
                  </w:r>
                </w:p>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占地规模</w:t>
                  </w:r>
                </w:p>
              </w:tc>
              <w:tc>
                <w:tcPr>
                  <w:tcW w:w="2496" w:type="dxa"/>
                  <w:gridSpan w:val="3"/>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Ⅰ类</w:t>
                  </w:r>
                </w:p>
              </w:tc>
              <w:tc>
                <w:tcPr>
                  <w:tcW w:w="2496" w:type="dxa"/>
                  <w:gridSpan w:val="3"/>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Ⅱ类</w:t>
                  </w:r>
                </w:p>
              </w:tc>
              <w:tc>
                <w:tcPr>
                  <w:tcW w:w="2504" w:type="dxa"/>
                  <w:gridSpan w:val="3"/>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Ⅲ类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926" w:type="dxa"/>
                  <w:vMerge w:val="continue"/>
                  <w:noWrap w:val="0"/>
                  <w:vAlign w:val="center"/>
                </w:tcPr>
                <w:p>
                  <w:pPr>
                    <w:spacing w:line="240" w:lineRule="auto"/>
                    <w:jc w:val="center"/>
                    <w:rPr>
                      <w:rFonts w:hint="default" w:ascii="Times New Roman" w:hAnsi="Times New Roman" w:eastAsia="宋体" w:cs="Times New Roman"/>
                      <w:sz w:val="21"/>
                      <w:szCs w:val="21"/>
                    </w:rPr>
                  </w:pPr>
                </w:p>
              </w:tc>
              <w:tc>
                <w:tcPr>
                  <w:tcW w:w="832" w:type="dxa"/>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大</w:t>
                  </w:r>
                </w:p>
              </w:tc>
              <w:tc>
                <w:tcPr>
                  <w:tcW w:w="832" w:type="dxa"/>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中</w:t>
                  </w:r>
                </w:p>
              </w:tc>
              <w:tc>
                <w:tcPr>
                  <w:tcW w:w="832" w:type="dxa"/>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小</w:t>
                  </w:r>
                </w:p>
              </w:tc>
              <w:tc>
                <w:tcPr>
                  <w:tcW w:w="832" w:type="dxa"/>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大</w:t>
                  </w:r>
                </w:p>
              </w:tc>
              <w:tc>
                <w:tcPr>
                  <w:tcW w:w="832" w:type="dxa"/>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中</w:t>
                  </w:r>
                </w:p>
              </w:tc>
              <w:tc>
                <w:tcPr>
                  <w:tcW w:w="832" w:type="dxa"/>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小</w:t>
                  </w:r>
                </w:p>
              </w:tc>
              <w:tc>
                <w:tcPr>
                  <w:tcW w:w="832" w:type="dxa"/>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大</w:t>
                  </w:r>
                </w:p>
              </w:tc>
              <w:tc>
                <w:tcPr>
                  <w:tcW w:w="832" w:type="dxa"/>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中</w:t>
                  </w:r>
                </w:p>
              </w:tc>
              <w:tc>
                <w:tcPr>
                  <w:tcW w:w="840" w:type="dxa"/>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26" w:type="dxa"/>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敏感</w:t>
                  </w:r>
                </w:p>
              </w:tc>
              <w:tc>
                <w:tcPr>
                  <w:tcW w:w="832" w:type="dxa"/>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一级</w:t>
                  </w:r>
                </w:p>
              </w:tc>
              <w:tc>
                <w:tcPr>
                  <w:tcW w:w="832" w:type="dxa"/>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一级</w:t>
                  </w:r>
                </w:p>
              </w:tc>
              <w:tc>
                <w:tcPr>
                  <w:tcW w:w="832" w:type="dxa"/>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一级</w:t>
                  </w:r>
                </w:p>
              </w:tc>
              <w:tc>
                <w:tcPr>
                  <w:tcW w:w="832" w:type="dxa"/>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二级</w:t>
                  </w:r>
                </w:p>
              </w:tc>
              <w:tc>
                <w:tcPr>
                  <w:tcW w:w="832" w:type="dxa"/>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二级</w:t>
                  </w:r>
                </w:p>
              </w:tc>
              <w:tc>
                <w:tcPr>
                  <w:tcW w:w="832" w:type="dxa"/>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二级</w:t>
                  </w:r>
                </w:p>
              </w:tc>
              <w:tc>
                <w:tcPr>
                  <w:tcW w:w="832" w:type="dxa"/>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三级</w:t>
                  </w:r>
                </w:p>
              </w:tc>
              <w:tc>
                <w:tcPr>
                  <w:tcW w:w="832" w:type="dxa"/>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三级</w:t>
                  </w:r>
                </w:p>
              </w:tc>
              <w:tc>
                <w:tcPr>
                  <w:tcW w:w="840" w:type="dxa"/>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三级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26" w:type="dxa"/>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较敏感</w:t>
                  </w:r>
                </w:p>
              </w:tc>
              <w:tc>
                <w:tcPr>
                  <w:tcW w:w="832" w:type="dxa"/>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一级</w:t>
                  </w:r>
                </w:p>
              </w:tc>
              <w:tc>
                <w:tcPr>
                  <w:tcW w:w="832" w:type="dxa"/>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一级</w:t>
                  </w:r>
                </w:p>
              </w:tc>
              <w:tc>
                <w:tcPr>
                  <w:tcW w:w="832" w:type="dxa"/>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二级</w:t>
                  </w:r>
                </w:p>
              </w:tc>
              <w:tc>
                <w:tcPr>
                  <w:tcW w:w="832" w:type="dxa"/>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二级</w:t>
                  </w:r>
                </w:p>
              </w:tc>
              <w:tc>
                <w:tcPr>
                  <w:tcW w:w="832" w:type="dxa"/>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二级</w:t>
                  </w:r>
                </w:p>
              </w:tc>
              <w:tc>
                <w:tcPr>
                  <w:tcW w:w="832" w:type="dxa"/>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三级</w:t>
                  </w:r>
                </w:p>
              </w:tc>
              <w:tc>
                <w:tcPr>
                  <w:tcW w:w="832" w:type="dxa"/>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三级</w:t>
                  </w:r>
                </w:p>
              </w:tc>
              <w:tc>
                <w:tcPr>
                  <w:tcW w:w="832" w:type="dxa"/>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三级</w:t>
                  </w:r>
                </w:p>
              </w:tc>
              <w:tc>
                <w:tcPr>
                  <w:tcW w:w="840" w:type="dxa"/>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26" w:type="dxa"/>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不敏感</w:t>
                  </w:r>
                </w:p>
              </w:tc>
              <w:tc>
                <w:tcPr>
                  <w:tcW w:w="832" w:type="dxa"/>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一级</w:t>
                  </w:r>
                </w:p>
              </w:tc>
              <w:tc>
                <w:tcPr>
                  <w:tcW w:w="832" w:type="dxa"/>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二级</w:t>
                  </w:r>
                </w:p>
              </w:tc>
              <w:tc>
                <w:tcPr>
                  <w:tcW w:w="832" w:type="dxa"/>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二级</w:t>
                  </w:r>
                </w:p>
              </w:tc>
              <w:tc>
                <w:tcPr>
                  <w:tcW w:w="832" w:type="dxa"/>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二级</w:t>
                  </w:r>
                </w:p>
              </w:tc>
              <w:tc>
                <w:tcPr>
                  <w:tcW w:w="832" w:type="dxa"/>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三级</w:t>
                  </w:r>
                </w:p>
              </w:tc>
              <w:tc>
                <w:tcPr>
                  <w:tcW w:w="832" w:type="dxa"/>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三级</w:t>
                  </w:r>
                </w:p>
              </w:tc>
              <w:tc>
                <w:tcPr>
                  <w:tcW w:w="832" w:type="dxa"/>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三级</w:t>
                  </w:r>
                </w:p>
              </w:tc>
              <w:tc>
                <w:tcPr>
                  <w:tcW w:w="832" w:type="dxa"/>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0" w:type="dxa"/>
                  <w:noWrap w:val="0"/>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bl>
          <w:p>
            <w:pPr>
              <w:ind w:firstLine="480" w:firstLineChars="200"/>
              <w:rPr>
                <w:rFonts w:hint="default" w:ascii="Times New Roman" w:hAnsi="Times New Roman" w:eastAsia="宋体" w:cs="Times New Roman"/>
              </w:rPr>
            </w:pPr>
            <w:r>
              <w:rPr>
                <w:rFonts w:hint="default" w:ascii="Times New Roman" w:hAnsi="Times New Roman" w:eastAsia="宋体" w:cs="Times New Roman"/>
              </w:rPr>
              <w:t>为保护厂区土壤环境，企业采取了以下防控措施：生产装置区地面采取防渗防漏措施，防止事故时污染土壤环境；危废暂存场所按照危险废物贮存污染控制标准（GB18597-2001）建设和维护使用，地面与裙角采用坚固、防渗、耐腐蚀的材料建造，防风、防雨、防晒，仓库内设有废液收集系统。</w:t>
            </w:r>
          </w:p>
          <w:p>
            <w:pPr>
              <w:pStyle w:val="2"/>
              <w:numPr>
                <w:ilvl w:val="0"/>
                <w:numId w:val="0"/>
              </w:numPr>
              <w:ind w:firstLine="482" w:firstLineChars="200"/>
              <w:rPr>
                <w:rFonts w:hint="default" w:ascii="Times New Roman" w:hAnsi="Times New Roman" w:eastAsia="宋体" w:cs="Times New Roman"/>
                <w:b/>
                <w:bCs/>
              </w:rPr>
            </w:pPr>
            <w:r>
              <w:rPr>
                <w:rFonts w:hint="default" w:ascii="Times New Roman" w:hAnsi="Times New Roman" w:eastAsia="宋体" w:cs="Times New Roman"/>
                <w:b/>
                <w:bCs/>
                <w:lang w:val="en-US" w:eastAsia="zh-CN"/>
              </w:rPr>
              <w:t>8、</w:t>
            </w:r>
            <w:r>
              <w:rPr>
                <w:rFonts w:hint="default" w:ascii="Times New Roman" w:hAnsi="Times New Roman" w:eastAsia="宋体" w:cs="Times New Roman"/>
                <w:b/>
                <w:bCs/>
              </w:rPr>
              <w:t>地下水分析</w:t>
            </w:r>
          </w:p>
          <w:p>
            <w:pPr>
              <w:pStyle w:val="2"/>
              <w:ind w:firstLine="480"/>
              <w:rPr>
                <w:rFonts w:hint="default" w:ascii="Times New Roman" w:hAnsi="Times New Roman" w:eastAsia="宋体" w:cs="Times New Roman"/>
              </w:rPr>
            </w:pPr>
            <w:r>
              <w:rPr>
                <w:rFonts w:hint="default" w:ascii="Times New Roman" w:hAnsi="Times New Roman" w:eastAsia="宋体" w:cs="Times New Roman"/>
              </w:rPr>
              <w:t>本项目为[</w:t>
            </w:r>
            <w:r>
              <w:rPr>
                <w:rFonts w:hint="eastAsia" w:cs="Times New Roman"/>
                <w:lang w:val="en-US" w:eastAsia="zh-CN"/>
              </w:rPr>
              <w:t>C3060</w:t>
            </w:r>
            <w:r>
              <w:rPr>
                <w:rFonts w:hint="default" w:ascii="Times New Roman" w:hAnsi="Times New Roman" w:eastAsia="宋体" w:cs="Times New Roman"/>
              </w:rPr>
              <w:t>]</w:t>
            </w:r>
            <w:r>
              <w:rPr>
                <w:rFonts w:hint="eastAsia" w:cs="Times New Roman"/>
                <w:lang w:val="en-US" w:eastAsia="zh-CN"/>
              </w:rPr>
              <w:t>塑料制品业</w:t>
            </w:r>
            <w:r>
              <w:rPr>
                <w:rFonts w:hint="default" w:ascii="Times New Roman" w:hAnsi="Times New Roman" w:eastAsia="宋体" w:cs="Times New Roman"/>
              </w:rPr>
              <w:t>，环评类别为报告表，根据地下水环境影响评价行业分类表，本项目地下水环境影响评价项目类别为Ⅳ类。项目位于工业用地内，地下水环境不敏感，根据《环境影响评价技术导则地下水环境》（HJ610-2016）表 2 评价工作等级划分表，Ⅳ类项目不开展地下水环境影响评价。</w:t>
            </w:r>
          </w:p>
          <w:p>
            <w:pPr>
              <w:pStyle w:val="2"/>
              <w:ind w:firstLine="0" w:firstLineChars="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表7-1</w:t>
            </w:r>
            <w:r>
              <w:rPr>
                <w:rFonts w:hint="eastAsia" w:cs="Times New Roman"/>
                <w:b/>
                <w:bCs/>
                <w:sz w:val="21"/>
                <w:szCs w:val="21"/>
                <w:lang w:val="en-US" w:eastAsia="zh-CN"/>
              </w:rPr>
              <w:t>6</w:t>
            </w:r>
            <w:r>
              <w:rPr>
                <w:rFonts w:hint="default" w:ascii="Times New Roman" w:hAnsi="Times New Roman" w:eastAsia="宋体" w:cs="Times New Roman"/>
                <w:b/>
                <w:bCs/>
                <w:sz w:val="21"/>
                <w:szCs w:val="21"/>
              </w:rPr>
              <w:t>地下水评价工作等级划分表</w:t>
            </w:r>
          </w:p>
          <w:tbl>
            <w:tblPr>
              <w:tblStyle w:val="26"/>
              <w:tblW w:w="0" w:type="auto"/>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353"/>
              <w:gridCol w:w="2354"/>
              <w:gridCol w:w="2355"/>
              <w:gridCol w:w="235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55" w:type="dxa"/>
                  <w:tcBorders>
                    <w:bottom w:val="single" w:color="auto" w:sz="12" w:space="0"/>
                  </w:tcBorders>
                  <w:noWrap w:val="0"/>
                  <w:vAlign w:val="center"/>
                </w:tcPr>
                <w:p>
                  <w:pPr>
                    <w:pStyle w:val="2"/>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环境敏感程度</w:t>
                  </w:r>
                </w:p>
                <w:p>
                  <w:pPr>
                    <w:pStyle w:val="2"/>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项目类别</w:t>
                  </w:r>
                </w:p>
              </w:tc>
              <w:tc>
                <w:tcPr>
                  <w:tcW w:w="2355" w:type="dxa"/>
                  <w:tcBorders>
                    <w:bottom w:val="single" w:color="auto" w:sz="12" w:space="0"/>
                  </w:tcBorders>
                  <w:noWrap w:val="0"/>
                  <w:vAlign w:val="center"/>
                </w:tcPr>
                <w:p>
                  <w:pPr>
                    <w:pStyle w:val="2"/>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Ⅰ类项目</w:t>
                  </w:r>
                </w:p>
              </w:tc>
              <w:tc>
                <w:tcPr>
                  <w:tcW w:w="2356" w:type="dxa"/>
                  <w:tcBorders>
                    <w:bottom w:val="single" w:color="auto" w:sz="12" w:space="0"/>
                  </w:tcBorders>
                  <w:noWrap w:val="0"/>
                  <w:vAlign w:val="center"/>
                </w:tcPr>
                <w:p>
                  <w:pPr>
                    <w:pStyle w:val="2"/>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Ⅱ类项目</w:t>
                  </w:r>
                </w:p>
              </w:tc>
              <w:tc>
                <w:tcPr>
                  <w:tcW w:w="2356" w:type="dxa"/>
                  <w:tcBorders>
                    <w:bottom w:val="single" w:color="auto" w:sz="12" w:space="0"/>
                  </w:tcBorders>
                  <w:noWrap w:val="0"/>
                  <w:vAlign w:val="center"/>
                </w:tcPr>
                <w:p>
                  <w:pPr>
                    <w:pStyle w:val="2"/>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Ⅲ类项目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355" w:type="dxa"/>
                  <w:tcBorders>
                    <w:top w:val="single" w:color="auto" w:sz="12" w:space="0"/>
                  </w:tcBorders>
                  <w:noWrap w:val="0"/>
                  <w:vAlign w:val="center"/>
                </w:tcPr>
                <w:p>
                  <w:pPr>
                    <w:pStyle w:val="2"/>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敏感</w:t>
                  </w:r>
                </w:p>
              </w:tc>
              <w:tc>
                <w:tcPr>
                  <w:tcW w:w="2355" w:type="dxa"/>
                  <w:tcBorders>
                    <w:top w:val="single" w:color="auto" w:sz="12" w:space="0"/>
                  </w:tcBorders>
                  <w:noWrap w:val="0"/>
                  <w:vAlign w:val="center"/>
                </w:tcPr>
                <w:p>
                  <w:pPr>
                    <w:pStyle w:val="2"/>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w:t>
                  </w:r>
                </w:p>
              </w:tc>
              <w:tc>
                <w:tcPr>
                  <w:tcW w:w="2356" w:type="dxa"/>
                  <w:tcBorders>
                    <w:top w:val="single" w:color="auto" w:sz="12" w:space="0"/>
                  </w:tcBorders>
                  <w:noWrap w:val="0"/>
                  <w:vAlign w:val="center"/>
                </w:tcPr>
                <w:p>
                  <w:pPr>
                    <w:pStyle w:val="2"/>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w:t>
                  </w:r>
                </w:p>
              </w:tc>
              <w:tc>
                <w:tcPr>
                  <w:tcW w:w="2356" w:type="dxa"/>
                  <w:tcBorders>
                    <w:top w:val="single" w:color="auto" w:sz="12" w:space="0"/>
                  </w:tcBorders>
                  <w:noWrap w:val="0"/>
                  <w:vAlign w:val="center"/>
                </w:tcPr>
                <w:p>
                  <w:pPr>
                    <w:pStyle w:val="2"/>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355" w:type="dxa"/>
                  <w:noWrap w:val="0"/>
                  <w:vAlign w:val="center"/>
                </w:tcPr>
                <w:p>
                  <w:pPr>
                    <w:pStyle w:val="2"/>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较敏感</w:t>
                  </w:r>
                </w:p>
              </w:tc>
              <w:tc>
                <w:tcPr>
                  <w:tcW w:w="2355" w:type="dxa"/>
                  <w:noWrap w:val="0"/>
                  <w:vAlign w:val="center"/>
                </w:tcPr>
                <w:p>
                  <w:pPr>
                    <w:pStyle w:val="2"/>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w:t>
                  </w:r>
                </w:p>
              </w:tc>
              <w:tc>
                <w:tcPr>
                  <w:tcW w:w="2356" w:type="dxa"/>
                  <w:noWrap w:val="0"/>
                  <w:vAlign w:val="center"/>
                </w:tcPr>
                <w:p>
                  <w:pPr>
                    <w:pStyle w:val="2"/>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w:t>
                  </w:r>
                </w:p>
              </w:tc>
              <w:tc>
                <w:tcPr>
                  <w:tcW w:w="2356" w:type="dxa"/>
                  <w:noWrap w:val="0"/>
                  <w:vAlign w:val="center"/>
                </w:tcPr>
                <w:p>
                  <w:pPr>
                    <w:pStyle w:val="2"/>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355" w:type="dxa"/>
                  <w:noWrap w:val="0"/>
                  <w:vAlign w:val="center"/>
                </w:tcPr>
                <w:p>
                  <w:pPr>
                    <w:pStyle w:val="2"/>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不敏感</w:t>
                  </w:r>
                </w:p>
              </w:tc>
              <w:tc>
                <w:tcPr>
                  <w:tcW w:w="2355" w:type="dxa"/>
                  <w:noWrap w:val="0"/>
                  <w:vAlign w:val="center"/>
                </w:tcPr>
                <w:p>
                  <w:pPr>
                    <w:pStyle w:val="2"/>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w:t>
                  </w:r>
                </w:p>
              </w:tc>
              <w:tc>
                <w:tcPr>
                  <w:tcW w:w="2356" w:type="dxa"/>
                  <w:noWrap w:val="0"/>
                  <w:vAlign w:val="center"/>
                </w:tcPr>
                <w:p>
                  <w:pPr>
                    <w:pStyle w:val="2"/>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三</w:t>
                  </w:r>
                </w:p>
              </w:tc>
              <w:tc>
                <w:tcPr>
                  <w:tcW w:w="2356" w:type="dxa"/>
                  <w:noWrap w:val="0"/>
                  <w:vAlign w:val="center"/>
                </w:tcPr>
                <w:p>
                  <w:pPr>
                    <w:pStyle w:val="2"/>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三</w:t>
                  </w:r>
                </w:p>
              </w:tc>
            </w:tr>
          </w:tbl>
          <w:p>
            <w:pPr>
              <w:pStyle w:val="2"/>
              <w:ind w:firstLine="480"/>
              <w:rPr>
                <w:rFonts w:hint="default" w:ascii="Times New Roman" w:hAnsi="Times New Roman" w:eastAsia="宋体" w:cs="Times New Roman"/>
              </w:rPr>
            </w:pPr>
            <w:r>
              <w:rPr>
                <w:rFonts w:hint="default" w:ascii="Times New Roman" w:hAnsi="Times New Roman" w:eastAsia="宋体" w:cs="Times New Roman"/>
              </w:rPr>
              <w:t>为保护周围地下水环境，本报告提出以下地下水污染防治措施：</w:t>
            </w:r>
          </w:p>
          <w:p>
            <w:pPr>
              <w:pStyle w:val="2"/>
              <w:ind w:firstLine="0" w:firstLineChars="0"/>
              <w:rPr>
                <w:rFonts w:hint="default" w:ascii="Times New Roman" w:hAnsi="Times New Roman" w:eastAsia="宋体" w:cs="Times New Roman"/>
              </w:rPr>
            </w:pPr>
            <w:r>
              <w:rPr>
                <w:rFonts w:hint="default" w:ascii="Times New Roman" w:hAnsi="Times New Roman" w:eastAsia="宋体" w:cs="Times New Roman"/>
              </w:rPr>
              <w:t>①化学品储存在单独的化学品贮存区域内，地面为环氧地坪，以确保任何物质不会渗漏进入土壤、地下水，从而防止环境污染。</w:t>
            </w:r>
          </w:p>
          <w:p>
            <w:pPr>
              <w:pStyle w:val="2"/>
              <w:ind w:firstLine="0" w:firstLineChars="0"/>
              <w:rPr>
                <w:rFonts w:hint="default" w:ascii="Times New Roman" w:hAnsi="Times New Roman" w:eastAsia="宋体" w:cs="Times New Roman"/>
              </w:rPr>
            </w:pPr>
            <w:r>
              <w:rPr>
                <w:rFonts w:hint="default" w:ascii="Times New Roman" w:hAnsi="Times New Roman" w:eastAsia="宋体" w:cs="Times New Roman"/>
              </w:rPr>
              <w:t>②危险废物在厂内暂存期间，将用袋密闭存储，存放场地取严格的防渗防流失措施，以免对土壤和地下水造成污染。</w:t>
            </w:r>
          </w:p>
          <w:p>
            <w:pPr>
              <w:pStyle w:val="2"/>
              <w:ind w:firstLine="0" w:firstLineChars="0"/>
              <w:rPr>
                <w:rFonts w:hint="default" w:ascii="Times New Roman" w:hAnsi="Times New Roman" w:eastAsia="宋体" w:cs="Times New Roman"/>
              </w:rPr>
            </w:pPr>
            <w:r>
              <w:rPr>
                <w:rFonts w:hint="default" w:ascii="Times New Roman" w:hAnsi="Times New Roman" w:eastAsia="宋体" w:cs="Times New Roman"/>
              </w:rPr>
              <w:t>③生产装置区、危废仓库均采取防渗措施，以防止污染土壤及地下水。本项目建设针对各类地下水污染源都做出了相应的防范措施，能够有效地减轻因项目建设对地下水产生的影响。因此，本次评价认为拟建项目在采取了有效的地下水防护措施后，不会对区域地下水产生较大影响，不会影响区域地下水的现状使用功能。</w:t>
            </w:r>
          </w:p>
        </w:tc>
      </w:tr>
    </w:tbl>
    <w:p>
      <w:r>
        <w:br w:type="page"/>
      </w:r>
    </w:p>
    <w:p>
      <w:pPr>
        <w:numPr>
          <w:ilvl w:val="0"/>
          <w:numId w:val="5"/>
        </w:numPr>
        <w:outlineLvl w:val="0"/>
        <w:rPr>
          <w:b/>
          <w:bCs/>
          <w:sz w:val="30"/>
        </w:rPr>
      </w:pPr>
      <w:bookmarkStart w:id="11" w:name="_Toc15309"/>
      <w:r>
        <w:rPr>
          <w:b/>
          <w:bCs/>
          <w:sz w:val="30"/>
        </w:rPr>
        <w:t>建设项目拟采取的防治措施和预期治理效果</w:t>
      </w:r>
      <w:bookmarkEnd w:id="11"/>
    </w:p>
    <w:tbl>
      <w:tblPr>
        <w:tblStyle w:val="26"/>
        <w:tblpPr w:leftFromText="180" w:rightFromText="180" w:vertAnchor="text" w:horzAnchor="page" w:tblpXSpec="center" w:tblpYSpec="inside"/>
        <w:tblOverlap w:val="never"/>
        <w:tblW w:w="963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1103"/>
        <w:gridCol w:w="1742"/>
        <w:gridCol w:w="1183"/>
        <w:gridCol w:w="871"/>
        <w:gridCol w:w="3411"/>
        <w:gridCol w:w="13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51" w:hRule="atLeast"/>
          <w:jc w:val="center"/>
        </w:trPr>
        <w:tc>
          <w:tcPr>
            <w:tcW w:w="1103" w:type="dxa"/>
            <w:tcBorders>
              <w:top w:val="single" w:color="auto" w:sz="12" w:space="0"/>
              <w:left w:val="single" w:color="auto" w:sz="4" w:space="0"/>
              <w:bottom w:val="single" w:color="auto" w:sz="12" w:space="0"/>
              <w:right w:val="single" w:color="auto" w:sz="4" w:space="0"/>
              <w:tl2br w:val="single" w:color="auto" w:sz="4" w:space="0"/>
            </w:tcBorders>
            <w:noWrap w:val="0"/>
            <w:vAlign w:val="center"/>
          </w:tcPr>
          <w:p>
            <w:pPr>
              <w:snapToGrid w:val="0"/>
              <w:spacing w:line="360" w:lineRule="auto"/>
              <w:jc w:val="center"/>
              <w:rPr>
                <w:b/>
                <w:sz w:val="24"/>
                <w:szCs w:val="24"/>
              </w:rPr>
            </w:pPr>
            <w:r>
              <w:rPr>
                <w:b/>
                <w:sz w:val="24"/>
                <w:szCs w:val="24"/>
              </w:rPr>
              <w:t xml:space="preserve">   内容</w:t>
            </w:r>
          </w:p>
          <w:p>
            <w:pPr>
              <w:snapToGrid w:val="0"/>
              <w:spacing w:line="360" w:lineRule="auto"/>
              <w:rPr>
                <w:b/>
                <w:sz w:val="24"/>
                <w:szCs w:val="24"/>
              </w:rPr>
            </w:pPr>
            <w:r>
              <w:rPr>
                <w:b/>
                <w:sz w:val="24"/>
                <w:szCs w:val="24"/>
              </w:rPr>
              <w:t>类型</w:t>
            </w:r>
          </w:p>
        </w:tc>
        <w:tc>
          <w:tcPr>
            <w:tcW w:w="1742" w:type="dxa"/>
            <w:tcBorders>
              <w:top w:val="single" w:color="auto" w:sz="12" w:space="0"/>
              <w:left w:val="single" w:color="auto" w:sz="4" w:space="0"/>
              <w:bottom w:val="single" w:color="auto" w:sz="12" w:space="0"/>
              <w:right w:val="single" w:color="auto" w:sz="4" w:space="0"/>
            </w:tcBorders>
            <w:noWrap w:val="0"/>
            <w:vAlign w:val="center"/>
          </w:tcPr>
          <w:p>
            <w:pPr>
              <w:snapToGrid w:val="0"/>
              <w:spacing w:line="360" w:lineRule="auto"/>
              <w:jc w:val="center"/>
              <w:rPr>
                <w:b/>
                <w:sz w:val="24"/>
                <w:szCs w:val="24"/>
              </w:rPr>
            </w:pPr>
            <w:r>
              <w:rPr>
                <w:b/>
                <w:sz w:val="24"/>
                <w:szCs w:val="24"/>
              </w:rPr>
              <w:t>排放源</w:t>
            </w:r>
          </w:p>
          <w:p>
            <w:pPr>
              <w:snapToGrid w:val="0"/>
              <w:spacing w:line="360" w:lineRule="auto"/>
              <w:jc w:val="center"/>
              <w:rPr>
                <w:b/>
                <w:sz w:val="24"/>
                <w:szCs w:val="24"/>
              </w:rPr>
            </w:pPr>
            <w:r>
              <w:rPr>
                <w:b/>
                <w:sz w:val="24"/>
                <w:szCs w:val="24"/>
              </w:rPr>
              <w:t>（编号）</w:t>
            </w:r>
          </w:p>
        </w:tc>
        <w:tc>
          <w:tcPr>
            <w:tcW w:w="2054" w:type="dxa"/>
            <w:gridSpan w:val="2"/>
            <w:tcBorders>
              <w:top w:val="single" w:color="auto" w:sz="12" w:space="0"/>
              <w:left w:val="single" w:color="auto" w:sz="4" w:space="0"/>
              <w:bottom w:val="single" w:color="auto" w:sz="12" w:space="0"/>
              <w:right w:val="single" w:color="auto" w:sz="4" w:space="0"/>
            </w:tcBorders>
            <w:noWrap w:val="0"/>
            <w:vAlign w:val="center"/>
          </w:tcPr>
          <w:p>
            <w:pPr>
              <w:snapToGrid w:val="0"/>
              <w:spacing w:line="360" w:lineRule="auto"/>
              <w:jc w:val="center"/>
              <w:rPr>
                <w:b/>
                <w:sz w:val="24"/>
                <w:szCs w:val="24"/>
              </w:rPr>
            </w:pPr>
            <w:r>
              <w:rPr>
                <w:b/>
                <w:sz w:val="24"/>
                <w:szCs w:val="24"/>
              </w:rPr>
              <w:t>污染物</w:t>
            </w:r>
          </w:p>
          <w:p>
            <w:pPr>
              <w:snapToGrid w:val="0"/>
              <w:spacing w:line="360" w:lineRule="auto"/>
              <w:jc w:val="center"/>
              <w:rPr>
                <w:b/>
                <w:sz w:val="24"/>
                <w:szCs w:val="24"/>
              </w:rPr>
            </w:pPr>
            <w:r>
              <w:rPr>
                <w:b/>
                <w:sz w:val="24"/>
                <w:szCs w:val="24"/>
              </w:rPr>
              <w:t>名称</w:t>
            </w:r>
          </w:p>
        </w:tc>
        <w:tc>
          <w:tcPr>
            <w:tcW w:w="3411" w:type="dxa"/>
            <w:tcBorders>
              <w:top w:val="single" w:color="auto" w:sz="12" w:space="0"/>
              <w:left w:val="single" w:color="auto" w:sz="4" w:space="0"/>
              <w:bottom w:val="single" w:color="auto" w:sz="12" w:space="0"/>
              <w:right w:val="single" w:color="auto" w:sz="4" w:space="0"/>
            </w:tcBorders>
            <w:noWrap w:val="0"/>
            <w:vAlign w:val="center"/>
          </w:tcPr>
          <w:p>
            <w:pPr>
              <w:snapToGrid w:val="0"/>
              <w:spacing w:line="360" w:lineRule="auto"/>
              <w:jc w:val="center"/>
              <w:rPr>
                <w:b/>
                <w:sz w:val="24"/>
                <w:szCs w:val="24"/>
              </w:rPr>
            </w:pPr>
            <w:r>
              <w:rPr>
                <w:b/>
                <w:sz w:val="24"/>
                <w:szCs w:val="24"/>
              </w:rPr>
              <w:t>防治措施</w:t>
            </w:r>
          </w:p>
        </w:tc>
        <w:tc>
          <w:tcPr>
            <w:tcW w:w="1328" w:type="dxa"/>
            <w:tcBorders>
              <w:top w:val="single" w:color="auto" w:sz="12" w:space="0"/>
              <w:left w:val="single" w:color="auto" w:sz="4" w:space="0"/>
              <w:bottom w:val="single" w:color="auto" w:sz="12" w:space="0"/>
              <w:right w:val="single" w:color="auto" w:sz="4" w:space="0"/>
            </w:tcBorders>
            <w:noWrap w:val="0"/>
            <w:vAlign w:val="center"/>
          </w:tcPr>
          <w:p>
            <w:pPr>
              <w:snapToGrid w:val="0"/>
              <w:spacing w:line="360" w:lineRule="auto"/>
              <w:jc w:val="center"/>
              <w:rPr>
                <w:b/>
                <w:sz w:val="24"/>
                <w:szCs w:val="24"/>
              </w:rPr>
            </w:pPr>
            <w:r>
              <w:rPr>
                <w:b/>
                <w:sz w:val="24"/>
                <w:szCs w:val="24"/>
              </w:rPr>
              <w:t>预期治理效果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103" w:type="dxa"/>
            <w:vMerge w:val="restart"/>
            <w:tcBorders>
              <w:top w:val="single" w:color="auto" w:sz="12" w:space="0"/>
              <w:left w:val="single" w:color="auto" w:sz="4" w:space="0"/>
              <w:right w:val="single" w:color="auto" w:sz="4" w:space="0"/>
            </w:tcBorders>
            <w:noWrap w:val="0"/>
            <w:vAlign w:val="center"/>
          </w:tcPr>
          <w:p>
            <w:pPr>
              <w:snapToGrid w:val="0"/>
              <w:spacing w:line="360" w:lineRule="auto"/>
              <w:jc w:val="center"/>
              <w:rPr>
                <w:b/>
                <w:sz w:val="24"/>
                <w:szCs w:val="24"/>
              </w:rPr>
            </w:pPr>
            <w:r>
              <w:rPr>
                <w:b/>
                <w:sz w:val="24"/>
                <w:szCs w:val="24"/>
              </w:rPr>
              <w:t>大气污染物</w:t>
            </w:r>
          </w:p>
        </w:tc>
        <w:tc>
          <w:tcPr>
            <w:tcW w:w="1742" w:type="dxa"/>
            <w:tcBorders>
              <w:top w:val="single" w:color="auto" w:sz="12" w:space="0"/>
              <w:left w:val="single" w:color="auto" w:sz="4" w:space="0"/>
              <w:right w:val="single" w:color="auto" w:sz="4" w:space="0"/>
            </w:tcBorders>
            <w:noWrap w:val="0"/>
            <w:vAlign w:val="center"/>
          </w:tcPr>
          <w:p>
            <w:pPr>
              <w:snapToGrid w:val="0"/>
              <w:spacing w:line="360" w:lineRule="auto"/>
              <w:jc w:val="center"/>
              <w:rPr>
                <w:sz w:val="24"/>
                <w:szCs w:val="24"/>
              </w:rPr>
            </w:pPr>
            <w:r>
              <w:rPr>
                <w:rFonts w:hint="eastAsia"/>
                <w:sz w:val="24"/>
                <w:szCs w:val="24"/>
                <w:lang w:val="en-US" w:eastAsia="zh-CN"/>
              </w:rPr>
              <w:t>有组织废气</w:t>
            </w:r>
            <w:r>
              <w:rPr>
                <w:sz w:val="24"/>
                <w:szCs w:val="24"/>
              </w:rPr>
              <w:t>P</w:t>
            </w:r>
            <w:r>
              <w:rPr>
                <w:sz w:val="24"/>
                <w:szCs w:val="24"/>
                <w:vertAlign w:val="subscript"/>
              </w:rPr>
              <w:t>1</w:t>
            </w:r>
          </w:p>
        </w:tc>
        <w:tc>
          <w:tcPr>
            <w:tcW w:w="2054" w:type="dxa"/>
            <w:gridSpan w:val="2"/>
            <w:tcBorders>
              <w:top w:val="single" w:color="auto" w:sz="12" w:space="0"/>
              <w:left w:val="single" w:color="auto" w:sz="4" w:space="0"/>
              <w:right w:val="single" w:color="auto" w:sz="4" w:space="0"/>
            </w:tcBorders>
            <w:noWrap w:val="0"/>
            <w:vAlign w:val="center"/>
          </w:tcPr>
          <w:p>
            <w:pPr>
              <w:snapToGrid w:val="0"/>
              <w:spacing w:line="360" w:lineRule="auto"/>
              <w:jc w:val="center"/>
              <w:rPr>
                <w:sz w:val="24"/>
                <w:szCs w:val="24"/>
              </w:rPr>
            </w:pPr>
            <w:r>
              <w:rPr>
                <w:sz w:val="24"/>
                <w:szCs w:val="24"/>
              </w:rPr>
              <w:t>非甲烷总烃</w:t>
            </w:r>
          </w:p>
        </w:tc>
        <w:tc>
          <w:tcPr>
            <w:tcW w:w="3411" w:type="dxa"/>
            <w:tcBorders>
              <w:top w:val="single" w:color="auto" w:sz="12" w:space="0"/>
              <w:left w:val="single" w:color="auto" w:sz="4" w:space="0"/>
              <w:right w:val="single" w:color="auto" w:sz="2" w:space="0"/>
            </w:tcBorders>
            <w:noWrap w:val="0"/>
            <w:vAlign w:val="center"/>
          </w:tcPr>
          <w:p>
            <w:pPr>
              <w:snapToGrid w:val="0"/>
              <w:spacing w:line="360" w:lineRule="auto"/>
              <w:jc w:val="center"/>
              <w:rPr>
                <w:rFonts w:hint="eastAsia" w:eastAsia="宋体"/>
                <w:sz w:val="24"/>
                <w:szCs w:val="24"/>
                <w:lang w:eastAsia="zh-CN"/>
              </w:rPr>
            </w:pPr>
            <w:r>
              <w:t>活性炭吸附</w:t>
            </w:r>
            <w:r>
              <w:rPr>
                <w:rFonts w:hint="eastAsia"/>
                <w:lang w:val="en-US" w:eastAsia="zh-CN"/>
              </w:rPr>
              <w:t>+低温等离子</w:t>
            </w:r>
          </w:p>
        </w:tc>
        <w:tc>
          <w:tcPr>
            <w:tcW w:w="1328" w:type="dxa"/>
            <w:vMerge w:val="restart"/>
            <w:tcBorders>
              <w:top w:val="single" w:color="auto" w:sz="12" w:space="0"/>
              <w:left w:val="single" w:color="auto" w:sz="2" w:space="0"/>
              <w:right w:val="single" w:color="auto" w:sz="4" w:space="0"/>
            </w:tcBorders>
            <w:noWrap w:val="0"/>
            <w:vAlign w:val="center"/>
          </w:tcPr>
          <w:p>
            <w:pPr>
              <w:snapToGrid w:val="0"/>
              <w:spacing w:line="360" w:lineRule="auto"/>
              <w:ind w:firstLine="63"/>
              <w:jc w:val="center"/>
              <w:rPr>
                <w:sz w:val="24"/>
                <w:szCs w:val="24"/>
              </w:rPr>
            </w:pPr>
            <w:r>
              <w:rPr>
                <w:sz w:val="24"/>
                <w:szCs w:val="24"/>
              </w:rPr>
              <w:t>达标排放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103" w:type="dxa"/>
            <w:vMerge w:val="continue"/>
            <w:tcBorders>
              <w:left w:val="single" w:color="auto" w:sz="4" w:space="0"/>
              <w:right w:val="single" w:color="auto" w:sz="4" w:space="0"/>
            </w:tcBorders>
            <w:noWrap w:val="0"/>
            <w:vAlign w:val="center"/>
          </w:tcPr>
          <w:p>
            <w:pPr>
              <w:snapToGrid w:val="0"/>
              <w:spacing w:line="360" w:lineRule="auto"/>
              <w:jc w:val="center"/>
              <w:rPr>
                <w:b/>
                <w:sz w:val="24"/>
                <w:szCs w:val="24"/>
              </w:rPr>
            </w:pPr>
          </w:p>
        </w:tc>
        <w:tc>
          <w:tcPr>
            <w:tcW w:w="1742" w:type="dxa"/>
            <w:tcBorders>
              <w:top w:val="single" w:color="auto" w:sz="4" w:space="0"/>
              <w:left w:val="single" w:color="auto" w:sz="4" w:space="0"/>
              <w:right w:val="single" w:color="auto" w:sz="4" w:space="0"/>
            </w:tcBorders>
            <w:noWrap w:val="0"/>
            <w:vAlign w:val="center"/>
          </w:tcPr>
          <w:p>
            <w:pPr>
              <w:snapToGrid w:val="0"/>
              <w:spacing w:line="360" w:lineRule="auto"/>
              <w:jc w:val="center"/>
              <w:rPr>
                <w:sz w:val="24"/>
                <w:szCs w:val="24"/>
              </w:rPr>
            </w:pPr>
            <w:r>
              <w:rPr>
                <w:sz w:val="24"/>
                <w:szCs w:val="24"/>
              </w:rPr>
              <w:t>无组织废气</w:t>
            </w:r>
          </w:p>
        </w:tc>
        <w:tc>
          <w:tcPr>
            <w:tcW w:w="205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szCs w:val="24"/>
              </w:rPr>
            </w:pPr>
            <w:r>
              <w:rPr>
                <w:sz w:val="24"/>
                <w:szCs w:val="24"/>
              </w:rPr>
              <w:t>非甲烷总烃、颗粒物</w:t>
            </w:r>
          </w:p>
        </w:tc>
        <w:tc>
          <w:tcPr>
            <w:tcW w:w="3411" w:type="dxa"/>
            <w:tcBorders>
              <w:top w:val="single" w:color="auto" w:sz="4" w:space="0"/>
              <w:left w:val="single" w:color="auto" w:sz="4" w:space="0"/>
              <w:right w:val="single" w:color="auto" w:sz="2" w:space="0"/>
            </w:tcBorders>
            <w:noWrap w:val="0"/>
            <w:vAlign w:val="center"/>
          </w:tcPr>
          <w:p>
            <w:pPr>
              <w:snapToGrid w:val="0"/>
              <w:spacing w:line="360" w:lineRule="auto"/>
              <w:jc w:val="center"/>
              <w:rPr>
                <w:sz w:val="24"/>
                <w:szCs w:val="24"/>
              </w:rPr>
            </w:pPr>
            <w:r>
              <w:rPr>
                <w:sz w:val="24"/>
                <w:szCs w:val="24"/>
              </w:rPr>
              <w:t>加强车间通排风</w:t>
            </w:r>
          </w:p>
        </w:tc>
        <w:tc>
          <w:tcPr>
            <w:tcW w:w="1328" w:type="dxa"/>
            <w:vMerge w:val="continue"/>
            <w:tcBorders>
              <w:left w:val="single" w:color="auto" w:sz="2" w:space="0"/>
              <w:right w:val="single" w:color="auto" w:sz="4" w:space="0"/>
            </w:tcBorders>
            <w:noWrap w:val="0"/>
            <w:vAlign w:val="center"/>
          </w:tcPr>
          <w:p>
            <w:pPr>
              <w:snapToGrid w:val="0"/>
              <w:spacing w:line="360" w:lineRule="auto"/>
              <w:ind w:firstLine="63"/>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03" w:hRule="atLeast"/>
          <w:jc w:val="center"/>
        </w:trPr>
        <w:tc>
          <w:tcPr>
            <w:tcW w:w="1103" w:type="dxa"/>
            <w:tcBorders>
              <w:top w:val="single" w:color="auto" w:sz="4" w:space="0"/>
              <w:left w:val="single" w:color="auto" w:sz="4" w:space="0"/>
              <w:right w:val="single" w:color="auto" w:sz="4" w:space="0"/>
            </w:tcBorders>
            <w:noWrap w:val="0"/>
            <w:vAlign w:val="center"/>
          </w:tcPr>
          <w:p>
            <w:pPr>
              <w:snapToGrid w:val="0"/>
              <w:spacing w:line="360" w:lineRule="auto"/>
              <w:jc w:val="center"/>
              <w:rPr>
                <w:b/>
                <w:sz w:val="24"/>
                <w:szCs w:val="24"/>
              </w:rPr>
            </w:pPr>
            <w:r>
              <w:rPr>
                <w:b/>
                <w:sz w:val="24"/>
                <w:szCs w:val="24"/>
              </w:rPr>
              <w:t>水污染物</w:t>
            </w:r>
          </w:p>
        </w:tc>
        <w:tc>
          <w:tcPr>
            <w:tcW w:w="1742" w:type="dxa"/>
            <w:tcBorders>
              <w:top w:val="single" w:color="auto" w:sz="4" w:space="0"/>
              <w:left w:val="single" w:color="auto" w:sz="4" w:space="0"/>
              <w:bottom w:val="single" w:color="auto" w:sz="4" w:space="0"/>
              <w:right w:val="single" w:color="auto" w:sz="2" w:space="0"/>
            </w:tcBorders>
            <w:noWrap w:val="0"/>
            <w:vAlign w:val="center"/>
          </w:tcPr>
          <w:p>
            <w:pPr>
              <w:snapToGrid w:val="0"/>
              <w:spacing w:line="360" w:lineRule="auto"/>
              <w:jc w:val="center"/>
              <w:rPr>
                <w:sz w:val="24"/>
                <w:szCs w:val="24"/>
              </w:rPr>
            </w:pPr>
            <w:r>
              <w:rPr>
                <w:sz w:val="24"/>
                <w:szCs w:val="24"/>
              </w:rPr>
              <w:t>生活污水</w:t>
            </w:r>
          </w:p>
        </w:tc>
        <w:tc>
          <w:tcPr>
            <w:tcW w:w="2054" w:type="dxa"/>
            <w:gridSpan w:val="2"/>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sz w:val="24"/>
                <w:szCs w:val="24"/>
              </w:rPr>
            </w:pPr>
            <w:r>
              <w:rPr>
                <w:sz w:val="24"/>
                <w:szCs w:val="24"/>
              </w:rPr>
              <w:t>COD、SS、</w:t>
            </w:r>
          </w:p>
          <w:p>
            <w:pPr>
              <w:snapToGrid w:val="0"/>
              <w:spacing w:line="360" w:lineRule="auto"/>
              <w:jc w:val="center"/>
              <w:rPr>
                <w:sz w:val="24"/>
                <w:szCs w:val="24"/>
              </w:rPr>
            </w:pPr>
            <w:r>
              <w:rPr>
                <w:sz w:val="24"/>
                <w:szCs w:val="24"/>
              </w:rPr>
              <w:t>NH</w:t>
            </w:r>
            <w:r>
              <w:rPr>
                <w:sz w:val="24"/>
                <w:szCs w:val="24"/>
                <w:vertAlign w:val="subscript"/>
              </w:rPr>
              <w:t>3</w:t>
            </w:r>
            <w:r>
              <w:rPr>
                <w:sz w:val="24"/>
                <w:szCs w:val="24"/>
              </w:rPr>
              <w:t>-N、TP、TN</w:t>
            </w:r>
          </w:p>
        </w:tc>
        <w:tc>
          <w:tcPr>
            <w:tcW w:w="3411" w:type="dxa"/>
            <w:tcBorders>
              <w:top w:val="single" w:color="auto" w:sz="4" w:space="0"/>
              <w:left w:val="single" w:color="auto" w:sz="4" w:space="0"/>
              <w:bottom w:val="single" w:color="auto" w:sz="4" w:space="0"/>
              <w:right w:val="single" w:color="auto" w:sz="2" w:space="0"/>
            </w:tcBorders>
            <w:noWrap w:val="0"/>
            <w:vAlign w:val="center"/>
          </w:tcPr>
          <w:p>
            <w:pPr>
              <w:snapToGrid w:val="0"/>
              <w:spacing w:line="360" w:lineRule="auto"/>
              <w:jc w:val="center"/>
              <w:rPr>
                <w:sz w:val="24"/>
                <w:szCs w:val="24"/>
              </w:rPr>
            </w:pPr>
            <w:r>
              <w:rPr>
                <w:sz w:val="24"/>
                <w:szCs w:val="24"/>
              </w:rPr>
              <w:t>生活污水接入</w:t>
            </w:r>
            <w:r>
              <w:rPr>
                <w:rFonts w:hint="eastAsia"/>
                <w:sz w:val="24"/>
                <w:szCs w:val="24"/>
                <w:lang w:val="en-US" w:eastAsia="zh-CN"/>
              </w:rPr>
              <w:t>白荡水质净化厂</w:t>
            </w:r>
            <w:r>
              <w:rPr>
                <w:sz w:val="24"/>
                <w:szCs w:val="24"/>
              </w:rPr>
              <w:t>处理</w:t>
            </w:r>
          </w:p>
        </w:tc>
        <w:tc>
          <w:tcPr>
            <w:tcW w:w="1328"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ind w:firstLine="63"/>
              <w:jc w:val="center"/>
              <w:rPr>
                <w:sz w:val="24"/>
                <w:szCs w:val="24"/>
              </w:rPr>
            </w:pPr>
            <w:r>
              <w:rPr>
                <w:sz w:val="24"/>
                <w:szCs w:val="24"/>
              </w:rPr>
              <w:t>达</w:t>
            </w:r>
            <w:r>
              <w:rPr>
                <w:rFonts w:hint="eastAsia"/>
                <w:sz w:val="24"/>
                <w:szCs w:val="24"/>
                <w:lang w:val="en-US" w:eastAsia="zh-CN"/>
              </w:rPr>
              <w:t>净水厂</w:t>
            </w:r>
            <w:r>
              <w:rPr>
                <w:sz w:val="24"/>
                <w:szCs w:val="24"/>
              </w:rPr>
              <w:t>接管标准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b/>
                <w:sz w:val="24"/>
                <w:szCs w:val="24"/>
              </w:rPr>
            </w:pPr>
            <w:r>
              <w:rPr>
                <w:b/>
                <w:sz w:val="24"/>
                <w:szCs w:val="24"/>
              </w:rPr>
              <w:t>电离辐射和电磁辐射</w:t>
            </w:r>
          </w:p>
        </w:tc>
        <w:tc>
          <w:tcPr>
            <w:tcW w:w="8535"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ind w:left="120" w:leftChars="50" w:right="120" w:rightChars="50" w:firstLine="480" w:firstLineChars="200"/>
              <w:jc w:val="center"/>
              <w:rPr>
                <w:sz w:val="24"/>
                <w:szCs w:val="24"/>
              </w:rPr>
            </w:pPr>
            <w:r>
              <w:rPr>
                <w:sz w:val="24"/>
                <w:szCs w:val="24"/>
              </w:rPr>
              <w:t>本项目不涉及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70" w:hRule="atLeast"/>
          <w:jc w:val="center"/>
        </w:trPr>
        <w:tc>
          <w:tcPr>
            <w:tcW w:w="1103" w:type="dxa"/>
            <w:vMerge w:val="restart"/>
            <w:tcBorders>
              <w:left w:val="single" w:color="auto" w:sz="4" w:space="0"/>
              <w:right w:val="single" w:color="auto" w:sz="4" w:space="0"/>
            </w:tcBorders>
            <w:noWrap w:val="0"/>
            <w:vAlign w:val="center"/>
          </w:tcPr>
          <w:p>
            <w:pPr>
              <w:snapToGrid w:val="0"/>
              <w:spacing w:line="360" w:lineRule="auto"/>
              <w:jc w:val="center"/>
              <w:rPr>
                <w:b/>
                <w:sz w:val="24"/>
                <w:szCs w:val="24"/>
              </w:rPr>
            </w:pPr>
          </w:p>
          <w:p>
            <w:pPr>
              <w:snapToGrid w:val="0"/>
              <w:spacing w:line="360" w:lineRule="auto"/>
              <w:jc w:val="center"/>
              <w:rPr>
                <w:b/>
                <w:sz w:val="24"/>
                <w:szCs w:val="24"/>
              </w:rPr>
            </w:pPr>
            <w:r>
              <w:rPr>
                <w:b/>
                <w:sz w:val="24"/>
                <w:szCs w:val="24"/>
              </w:rPr>
              <w:t>固体废物</w:t>
            </w:r>
          </w:p>
        </w:tc>
        <w:tc>
          <w:tcPr>
            <w:tcW w:w="292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default" w:ascii="Times New Roman" w:hAnsi="Times New Roman" w:eastAsia="宋体" w:cs="Times New Roman"/>
                <w:kern w:val="2"/>
                <w:sz w:val="24"/>
                <w:szCs w:val="24"/>
                <w:lang w:val="en-US" w:eastAsia="zh-CN" w:bidi="ar-SA"/>
              </w:rPr>
            </w:pPr>
            <w:r>
              <w:rPr>
                <w:rFonts w:hint="eastAsia"/>
                <w:sz w:val="24"/>
                <w:szCs w:val="24"/>
                <w:lang w:val="en-US" w:eastAsia="zh-CN"/>
              </w:rPr>
              <w:t>不合格品</w:t>
            </w:r>
          </w:p>
        </w:tc>
        <w:tc>
          <w:tcPr>
            <w:tcW w:w="4282" w:type="dxa"/>
            <w:gridSpan w:val="2"/>
            <w:tcBorders>
              <w:top w:val="single" w:color="auto" w:sz="4" w:space="0"/>
              <w:left w:val="single" w:color="auto" w:sz="4" w:space="0"/>
              <w:bottom w:val="single" w:color="auto" w:sz="4" w:space="0"/>
              <w:right w:val="single" w:color="auto" w:sz="4" w:space="0"/>
            </w:tcBorders>
            <w:noWrap w:val="0"/>
            <w:vAlign w:val="center"/>
          </w:tcPr>
          <w:p>
            <w:pPr>
              <w:pStyle w:val="11"/>
              <w:snapToGrid w:val="0"/>
              <w:spacing w:line="360" w:lineRule="auto"/>
              <w:jc w:val="center"/>
              <w:rPr>
                <w:rFonts w:hint="default" w:ascii="Times New Roman" w:hAnsi="Times New Roman" w:eastAsia="宋体" w:cs="Times New Roman"/>
                <w:kern w:val="28"/>
                <w:sz w:val="24"/>
                <w:szCs w:val="24"/>
                <w:lang w:val="en-GB" w:eastAsia="zh-CN" w:bidi="ar-SA"/>
              </w:rPr>
            </w:pPr>
            <w:r>
              <w:rPr>
                <w:rFonts w:hint="default" w:ascii="Times New Roman" w:hAnsi="Times New Roman" w:eastAsia="宋体" w:cs="Times New Roman"/>
                <w:sz w:val="24"/>
                <w:szCs w:val="24"/>
                <w:lang w:val="en-GB"/>
              </w:rPr>
              <w:t>外售利用</w:t>
            </w:r>
          </w:p>
        </w:tc>
        <w:tc>
          <w:tcPr>
            <w:tcW w:w="1328" w:type="dxa"/>
            <w:vMerge w:val="restart"/>
            <w:tcBorders>
              <w:left w:val="single" w:color="auto" w:sz="4" w:space="0"/>
              <w:right w:val="single" w:color="auto" w:sz="4" w:space="0"/>
            </w:tcBorders>
            <w:noWrap w:val="0"/>
            <w:vAlign w:val="center"/>
          </w:tcPr>
          <w:p>
            <w:pPr>
              <w:snapToGrid w:val="0"/>
              <w:spacing w:line="360" w:lineRule="auto"/>
              <w:jc w:val="center"/>
              <w:rPr>
                <w:sz w:val="24"/>
                <w:szCs w:val="24"/>
              </w:rPr>
            </w:pPr>
            <w:r>
              <w:rPr>
                <w:sz w:val="24"/>
                <w:szCs w:val="24"/>
              </w:rPr>
              <w:t>零排放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50" w:hRule="atLeast"/>
          <w:jc w:val="center"/>
        </w:trPr>
        <w:tc>
          <w:tcPr>
            <w:tcW w:w="1103" w:type="dxa"/>
            <w:vMerge w:val="continue"/>
            <w:tcBorders>
              <w:left w:val="single" w:color="auto" w:sz="4" w:space="0"/>
              <w:right w:val="single" w:color="auto" w:sz="4" w:space="0"/>
            </w:tcBorders>
            <w:noWrap w:val="0"/>
            <w:vAlign w:val="center"/>
          </w:tcPr>
          <w:p>
            <w:pPr>
              <w:snapToGrid w:val="0"/>
              <w:spacing w:line="360" w:lineRule="auto"/>
              <w:jc w:val="center"/>
              <w:rPr>
                <w:b/>
                <w:sz w:val="24"/>
                <w:szCs w:val="24"/>
              </w:rPr>
            </w:pPr>
          </w:p>
        </w:tc>
        <w:tc>
          <w:tcPr>
            <w:tcW w:w="292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default" w:ascii="Times New Roman" w:hAnsi="Times New Roman" w:eastAsia="宋体" w:cs="Times New Roman"/>
                <w:kern w:val="2"/>
                <w:sz w:val="24"/>
                <w:szCs w:val="24"/>
                <w:lang w:val="en-US" w:eastAsia="zh-CN" w:bidi="ar-SA"/>
              </w:rPr>
            </w:pPr>
            <w:r>
              <w:rPr>
                <w:rFonts w:hint="eastAsia"/>
                <w:sz w:val="24"/>
                <w:szCs w:val="24"/>
                <w:lang w:val="en-US" w:eastAsia="zh-CN"/>
              </w:rPr>
              <w:t>废包装</w:t>
            </w:r>
          </w:p>
        </w:tc>
        <w:tc>
          <w:tcPr>
            <w:tcW w:w="4282" w:type="dxa"/>
            <w:gridSpan w:val="2"/>
            <w:tcBorders>
              <w:top w:val="single" w:color="auto" w:sz="4" w:space="0"/>
              <w:left w:val="single" w:color="auto" w:sz="4" w:space="0"/>
              <w:bottom w:val="single" w:color="auto" w:sz="4" w:space="0"/>
              <w:right w:val="single" w:color="auto" w:sz="4" w:space="0"/>
            </w:tcBorders>
            <w:noWrap w:val="0"/>
            <w:vAlign w:val="center"/>
          </w:tcPr>
          <w:p>
            <w:pPr>
              <w:pStyle w:val="11"/>
              <w:snapToGrid w:val="0"/>
              <w:spacing w:line="360" w:lineRule="auto"/>
              <w:jc w:val="center"/>
              <w:rPr>
                <w:rFonts w:hint="default" w:ascii="Times New Roman" w:hAnsi="Times New Roman" w:eastAsia="宋体" w:cs="Times New Roman"/>
                <w:kern w:val="28"/>
                <w:sz w:val="24"/>
                <w:szCs w:val="24"/>
                <w:lang w:val="en-US" w:eastAsia="zh-CN" w:bidi="ar-SA"/>
              </w:rPr>
            </w:pPr>
            <w:r>
              <w:rPr>
                <w:rFonts w:hint="eastAsia" w:ascii="Times New Roman" w:hAnsi="Times New Roman" w:cs="Times New Roman"/>
                <w:sz w:val="24"/>
                <w:szCs w:val="24"/>
                <w:lang w:val="en-US" w:eastAsia="zh-CN"/>
              </w:rPr>
              <w:t>外售利用</w:t>
            </w:r>
          </w:p>
        </w:tc>
        <w:tc>
          <w:tcPr>
            <w:tcW w:w="1328" w:type="dxa"/>
            <w:vMerge w:val="continue"/>
            <w:tcBorders>
              <w:left w:val="single" w:color="auto" w:sz="4" w:space="0"/>
              <w:right w:val="single" w:color="auto" w:sz="4" w:space="0"/>
            </w:tcBorders>
            <w:noWrap w:val="0"/>
            <w:vAlign w:val="center"/>
          </w:tcPr>
          <w:p>
            <w:pPr>
              <w:snapToGrid w:val="0"/>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50" w:hRule="atLeast"/>
          <w:jc w:val="center"/>
        </w:trPr>
        <w:tc>
          <w:tcPr>
            <w:tcW w:w="1103" w:type="dxa"/>
            <w:vMerge w:val="continue"/>
            <w:tcBorders>
              <w:left w:val="single" w:color="auto" w:sz="4" w:space="0"/>
              <w:right w:val="single" w:color="auto" w:sz="4" w:space="0"/>
            </w:tcBorders>
            <w:noWrap w:val="0"/>
            <w:vAlign w:val="center"/>
          </w:tcPr>
          <w:p>
            <w:pPr>
              <w:snapToGrid w:val="0"/>
              <w:spacing w:line="360" w:lineRule="auto"/>
              <w:jc w:val="center"/>
              <w:rPr>
                <w:b/>
                <w:sz w:val="24"/>
                <w:szCs w:val="24"/>
              </w:rPr>
            </w:pPr>
          </w:p>
        </w:tc>
        <w:tc>
          <w:tcPr>
            <w:tcW w:w="292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default" w:ascii="Times New Roman" w:hAnsi="Times New Roman" w:eastAsia="宋体" w:cs="Times New Roman"/>
                <w:kern w:val="2"/>
                <w:sz w:val="24"/>
                <w:szCs w:val="24"/>
                <w:lang w:val="en-US" w:eastAsia="zh-CN" w:bidi="ar-SA"/>
              </w:rPr>
            </w:pPr>
            <w:r>
              <w:rPr>
                <w:rFonts w:hint="eastAsia"/>
                <w:sz w:val="24"/>
                <w:szCs w:val="24"/>
                <w:lang w:val="en-US" w:eastAsia="zh-CN"/>
              </w:rPr>
              <w:t>布袋收尘</w:t>
            </w:r>
          </w:p>
        </w:tc>
        <w:tc>
          <w:tcPr>
            <w:tcW w:w="4282" w:type="dxa"/>
            <w:gridSpan w:val="2"/>
            <w:tcBorders>
              <w:top w:val="single" w:color="auto" w:sz="4" w:space="0"/>
              <w:left w:val="single" w:color="auto" w:sz="4" w:space="0"/>
              <w:bottom w:val="single" w:color="auto" w:sz="4" w:space="0"/>
              <w:right w:val="single" w:color="auto" w:sz="4" w:space="0"/>
            </w:tcBorders>
            <w:noWrap w:val="0"/>
            <w:vAlign w:val="center"/>
          </w:tcPr>
          <w:p>
            <w:pPr>
              <w:pStyle w:val="11"/>
              <w:snapToGrid w:val="0"/>
              <w:spacing w:line="360" w:lineRule="auto"/>
              <w:jc w:val="center"/>
              <w:rPr>
                <w:rFonts w:hint="default" w:ascii="Times New Roman" w:hAnsi="Times New Roman" w:eastAsia="宋体" w:cs="Times New Roman"/>
                <w:kern w:val="28"/>
                <w:sz w:val="24"/>
                <w:szCs w:val="24"/>
                <w:lang w:val="en-US" w:eastAsia="zh-CN" w:bidi="ar-SA"/>
              </w:rPr>
            </w:pPr>
            <w:r>
              <w:rPr>
                <w:rFonts w:hint="eastAsia" w:ascii="Times New Roman" w:hAnsi="Times New Roman" w:cs="Times New Roman"/>
                <w:sz w:val="24"/>
                <w:szCs w:val="24"/>
                <w:lang w:val="en-US" w:eastAsia="zh-CN"/>
              </w:rPr>
              <w:t>本厂回用</w:t>
            </w:r>
          </w:p>
        </w:tc>
        <w:tc>
          <w:tcPr>
            <w:tcW w:w="1328" w:type="dxa"/>
            <w:vMerge w:val="continue"/>
            <w:tcBorders>
              <w:left w:val="single" w:color="auto" w:sz="4" w:space="0"/>
              <w:right w:val="single" w:color="auto" w:sz="4" w:space="0"/>
            </w:tcBorders>
            <w:noWrap w:val="0"/>
            <w:vAlign w:val="center"/>
          </w:tcPr>
          <w:p>
            <w:pPr>
              <w:snapToGrid w:val="0"/>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1" w:hRule="atLeast"/>
          <w:jc w:val="center"/>
        </w:trPr>
        <w:tc>
          <w:tcPr>
            <w:tcW w:w="1103" w:type="dxa"/>
            <w:vMerge w:val="continue"/>
            <w:tcBorders>
              <w:left w:val="single" w:color="auto" w:sz="4" w:space="0"/>
              <w:right w:val="single" w:color="auto" w:sz="4" w:space="0"/>
            </w:tcBorders>
            <w:noWrap w:val="0"/>
            <w:vAlign w:val="center"/>
          </w:tcPr>
          <w:p>
            <w:pPr>
              <w:snapToGrid w:val="0"/>
              <w:spacing w:line="360" w:lineRule="auto"/>
              <w:jc w:val="center"/>
              <w:rPr>
                <w:b/>
                <w:sz w:val="24"/>
                <w:szCs w:val="24"/>
              </w:rPr>
            </w:pPr>
          </w:p>
        </w:tc>
        <w:tc>
          <w:tcPr>
            <w:tcW w:w="2925" w:type="dxa"/>
            <w:gridSpan w:val="2"/>
            <w:tcBorders>
              <w:top w:val="single" w:color="auto" w:sz="4" w:space="0"/>
              <w:left w:val="single" w:color="auto" w:sz="4" w:space="0"/>
              <w:right w:val="single" w:color="auto" w:sz="4" w:space="0"/>
            </w:tcBorders>
            <w:noWrap w:val="0"/>
            <w:vAlign w:val="center"/>
          </w:tcPr>
          <w:p>
            <w:pPr>
              <w:snapToGrid w:val="0"/>
              <w:spacing w:line="360" w:lineRule="auto"/>
              <w:jc w:val="center"/>
              <w:rPr>
                <w:rFonts w:hint="eastAsia" w:eastAsia="宋体"/>
                <w:sz w:val="24"/>
                <w:szCs w:val="24"/>
                <w:lang w:eastAsia="zh-CN"/>
              </w:rPr>
            </w:pPr>
            <w:r>
              <w:rPr>
                <w:rFonts w:hint="eastAsia"/>
                <w:sz w:val="24"/>
                <w:szCs w:val="24"/>
                <w:lang w:val="en-US" w:eastAsia="zh-CN"/>
              </w:rPr>
              <w:t>废活性炭</w:t>
            </w:r>
          </w:p>
        </w:tc>
        <w:tc>
          <w:tcPr>
            <w:tcW w:w="4282" w:type="dxa"/>
            <w:gridSpan w:val="2"/>
            <w:tcBorders>
              <w:top w:val="single" w:color="auto" w:sz="4" w:space="0"/>
              <w:left w:val="single" w:color="auto" w:sz="4" w:space="0"/>
              <w:right w:val="single" w:color="auto" w:sz="4" w:space="0"/>
            </w:tcBorders>
            <w:noWrap w:val="0"/>
            <w:vAlign w:val="center"/>
          </w:tcPr>
          <w:p>
            <w:pPr>
              <w:snapToGrid w:val="0"/>
              <w:spacing w:line="360" w:lineRule="auto"/>
              <w:jc w:val="center"/>
              <w:rPr>
                <w:sz w:val="24"/>
                <w:szCs w:val="24"/>
              </w:rPr>
            </w:pPr>
            <w:r>
              <w:rPr>
                <w:sz w:val="24"/>
                <w:szCs w:val="24"/>
              </w:rPr>
              <w:t>危废暂贮间</w:t>
            </w:r>
            <w:r>
              <w:rPr>
                <w:rFonts w:hint="eastAsia"/>
                <w:sz w:val="24"/>
                <w:szCs w:val="24"/>
                <w:lang w:val="en-US" w:eastAsia="zh-CN"/>
              </w:rPr>
              <w:t>2</w:t>
            </w:r>
            <w:r>
              <w:rPr>
                <w:sz w:val="24"/>
                <w:szCs w:val="24"/>
              </w:rPr>
              <w:t>m</w:t>
            </w:r>
            <w:r>
              <w:rPr>
                <w:sz w:val="24"/>
                <w:szCs w:val="24"/>
                <w:vertAlign w:val="superscript"/>
              </w:rPr>
              <w:t>2</w:t>
            </w:r>
            <w:r>
              <w:rPr>
                <w:sz w:val="24"/>
                <w:szCs w:val="24"/>
              </w:rPr>
              <w:t>，定期转移有资质单位处理</w:t>
            </w:r>
          </w:p>
        </w:tc>
        <w:tc>
          <w:tcPr>
            <w:tcW w:w="1328" w:type="dxa"/>
            <w:vMerge w:val="continue"/>
            <w:tcBorders>
              <w:left w:val="single" w:color="auto" w:sz="4" w:space="0"/>
              <w:right w:val="single" w:color="auto" w:sz="4" w:space="0"/>
            </w:tcBorders>
            <w:noWrap w:val="0"/>
            <w:vAlign w:val="center"/>
          </w:tcPr>
          <w:p>
            <w:pPr>
              <w:snapToGrid w:val="0"/>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40" w:hRule="atLeast"/>
          <w:jc w:val="center"/>
        </w:trPr>
        <w:tc>
          <w:tcPr>
            <w:tcW w:w="1103" w:type="dxa"/>
            <w:vMerge w:val="continue"/>
            <w:tcBorders>
              <w:left w:val="single" w:color="auto" w:sz="4" w:space="0"/>
              <w:right w:val="single" w:color="auto" w:sz="4" w:space="0"/>
            </w:tcBorders>
            <w:noWrap w:val="0"/>
            <w:vAlign w:val="center"/>
          </w:tcPr>
          <w:p>
            <w:pPr>
              <w:snapToGrid w:val="0"/>
              <w:spacing w:line="360" w:lineRule="auto"/>
              <w:jc w:val="center"/>
              <w:rPr>
                <w:b/>
                <w:sz w:val="24"/>
                <w:szCs w:val="24"/>
              </w:rPr>
            </w:pPr>
          </w:p>
        </w:tc>
        <w:tc>
          <w:tcPr>
            <w:tcW w:w="292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szCs w:val="24"/>
              </w:rPr>
            </w:pPr>
            <w:r>
              <w:rPr>
                <w:sz w:val="24"/>
                <w:szCs w:val="24"/>
              </w:rPr>
              <w:t>生活垃圾</w:t>
            </w:r>
          </w:p>
        </w:tc>
        <w:tc>
          <w:tcPr>
            <w:tcW w:w="4282" w:type="dxa"/>
            <w:gridSpan w:val="2"/>
            <w:tcBorders>
              <w:top w:val="single" w:color="auto" w:sz="4" w:space="0"/>
              <w:left w:val="single" w:color="auto" w:sz="4" w:space="0"/>
              <w:right w:val="single" w:color="auto" w:sz="4" w:space="0"/>
            </w:tcBorders>
            <w:noWrap w:val="0"/>
            <w:vAlign w:val="center"/>
          </w:tcPr>
          <w:p>
            <w:pPr>
              <w:snapToGrid w:val="0"/>
              <w:spacing w:line="360" w:lineRule="auto"/>
              <w:jc w:val="center"/>
              <w:rPr>
                <w:sz w:val="24"/>
                <w:szCs w:val="24"/>
              </w:rPr>
            </w:pPr>
            <w:r>
              <w:rPr>
                <w:sz w:val="24"/>
                <w:szCs w:val="24"/>
              </w:rPr>
              <w:t>环卫部门处置</w:t>
            </w:r>
          </w:p>
        </w:tc>
        <w:tc>
          <w:tcPr>
            <w:tcW w:w="1328" w:type="dxa"/>
            <w:vMerge w:val="continue"/>
            <w:tcBorders>
              <w:left w:val="single" w:color="auto" w:sz="4" w:space="0"/>
              <w:right w:val="single" w:color="auto" w:sz="4" w:space="0"/>
            </w:tcBorders>
            <w:noWrap w:val="0"/>
            <w:vAlign w:val="center"/>
          </w:tcPr>
          <w:p>
            <w:pPr>
              <w:snapToGrid w:val="0"/>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204"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b/>
                <w:sz w:val="24"/>
                <w:szCs w:val="24"/>
              </w:rPr>
            </w:pPr>
            <w:r>
              <w:rPr>
                <w:b/>
                <w:sz w:val="24"/>
                <w:szCs w:val="24"/>
              </w:rPr>
              <w:t>噪声</w:t>
            </w:r>
          </w:p>
        </w:tc>
        <w:tc>
          <w:tcPr>
            <w:tcW w:w="292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szCs w:val="24"/>
              </w:rPr>
            </w:pPr>
            <w:r>
              <w:rPr>
                <w:sz w:val="24"/>
                <w:szCs w:val="24"/>
              </w:rPr>
              <w:t>空压机、</w:t>
            </w:r>
            <w:r>
              <w:rPr>
                <w:rFonts w:hint="eastAsia"/>
                <w:sz w:val="24"/>
                <w:szCs w:val="24"/>
                <w:lang w:val="en-US" w:eastAsia="zh-CN"/>
              </w:rPr>
              <w:t>捏合机</w:t>
            </w:r>
            <w:r>
              <w:rPr>
                <w:sz w:val="24"/>
                <w:szCs w:val="24"/>
              </w:rPr>
              <w:t>设备噪声</w:t>
            </w:r>
          </w:p>
        </w:tc>
        <w:tc>
          <w:tcPr>
            <w:tcW w:w="428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szCs w:val="24"/>
              </w:rPr>
            </w:pPr>
            <w:r>
              <w:rPr>
                <w:sz w:val="24"/>
                <w:szCs w:val="24"/>
              </w:rPr>
              <w:t>合理布局、减振、隔声等</w:t>
            </w:r>
          </w:p>
        </w:tc>
        <w:tc>
          <w:tcPr>
            <w:tcW w:w="132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szCs w:val="24"/>
              </w:rPr>
            </w:pPr>
            <w:r>
              <w:rPr>
                <w:sz w:val="24"/>
                <w:szCs w:val="24"/>
              </w:rPr>
              <w:t>达标排放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b/>
                <w:sz w:val="24"/>
                <w:szCs w:val="24"/>
              </w:rPr>
            </w:pPr>
            <w:r>
              <w:rPr>
                <w:b/>
                <w:sz w:val="24"/>
                <w:szCs w:val="24"/>
              </w:rPr>
              <w:t>其他</w:t>
            </w:r>
          </w:p>
        </w:tc>
        <w:tc>
          <w:tcPr>
            <w:tcW w:w="8535"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szCs w:val="24"/>
                <w:u w:val="single"/>
              </w:rPr>
            </w:pPr>
            <w:r>
              <w:rPr>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199" w:hRule="atLeast"/>
          <w:jc w:val="center"/>
        </w:trPr>
        <w:tc>
          <w:tcPr>
            <w:tcW w:w="9638" w:type="dxa"/>
            <w:gridSpan w:val="6"/>
            <w:tcBorders>
              <w:top w:val="single" w:color="auto" w:sz="4" w:space="0"/>
              <w:left w:val="single" w:color="auto" w:sz="4" w:space="0"/>
              <w:bottom w:val="single" w:color="auto" w:sz="12" w:space="0"/>
              <w:right w:val="single" w:color="auto" w:sz="4" w:space="0"/>
            </w:tcBorders>
            <w:noWrap w:val="0"/>
            <w:vAlign w:val="center"/>
          </w:tcPr>
          <w:p>
            <w:pPr>
              <w:pStyle w:val="2"/>
              <w:spacing w:line="360" w:lineRule="auto"/>
              <w:ind w:firstLine="241" w:firstLineChars="100"/>
              <w:jc w:val="left"/>
              <w:rPr>
                <w:b/>
                <w:sz w:val="24"/>
                <w:szCs w:val="24"/>
              </w:rPr>
            </w:pPr>
            <w:r>
              <w:rPr>
                <w:b/>
                <w:sz w:val="24"/>
                <w:szCs w:val="24"/>
              </w:rPr>
              <w:t>主要生态影响（不够时可附另页）：</w:t>
            </w:r>
          </w:p>
          <w:p>
            <w:pPr>
              <w:pStyle w:val="2"/>
              <w:spacing w:line="360" w:lineRule="auto"/>
              <w:ind w:firstLine="480"/>
              <w:jc w:val="left"/>
              <w:rPr>
                <w:sz w:val="24"/>
                <w:szCs w:val="24"/>
              </w:rPr>
            </w:pPr>
            <w:r>
              <w:rPr>
                <w:sz w:val="24"/>
                <w:szCs w:val="24"/>
              </w:rPr>
              <w:t>本项目使用现有已购厂房建设，并且各类污染物的排放量很小，对区域生态环境基本不产生影响。</w:t>
            </w:r>
          </w:p>
          <w:p>
            <w:pPr>
              <w:pStyle w:val="2"/>
              <w:spacing w:line="360" w:lineRule="auto"/>
              <w:ind w:firstLine="480"/>
              <w:rPr>
                <w:sz w:val="24"/>
                <w:szCs w:val="24"/>
              </w:rPr>
            </w:pPr>
          </w:p>
          <w:p>
            <w:pPr>
              <w:pStyle w:val="2"/>
              <w:spacing w:line="360" w:lineRule="auto"/>
              <w:ind w:firstLine="480"/>
              <w:rPr>
                <w:rFonts w:hint="eastAsia"/>
                <w:sz w:val="24"/>
                <w:szCs w:val="24"/>
              </w:rPr>
            </w:pPr>
          </w:p>
          <w:p>
            <w:pPr>
              <w:pStyle w:val="2"/>
              <w:spacing w:line="360" w:lineRule="auto"/>
              <w:ind w:firstLine="480"/>
              <w:rPr>
                <w:sz w:val="24"/>
                <w:szCs w:val="24"/>
              </w:rPr>
            </w:pPr>
          </w:p>
          <w:p>
            <w:pPr>
              <w:pStyle w:val="2"/>
              <w:spacing w:line="360" w:lineRule="auto"/>
              <w:ind w:left="0" w:leftChars="0" w:firstLine="0" w:firstLineChars="0"/>
              <w:rPr>
                <w:sz w:val="24"/>
                <w:szCs w:val="24"/>
              </w:rPr>
            </w:pPr>
          </w:p>
        </w:tc>
      </w:tr>
    </w:tbl>
    <w:p>
      <w:pPr>
        <w:rPr>
          <w:rFonts w:hint="eastAsia"/>
          <w:lang w:eastAsia="zh-CN"/>
        </w:rPr>
      </w:pPr>
      <w:r>
        <w:rPr>
          <w:rFonts w:hint="eastAsia"/>
          <w:lang w:eastAsia="zh-CN"/>
        </w:rPr>
        <w:br w:type="page"/>
      </w:r>
    </w:p>
    <w:p>
      <w:pPr>
        <w:pStyle w:val="3"/>
        <w:rPr>
          <w:rFonts w:hint="default"/>
        </w:rPr>
      </w:pPr>
      <w:bookmarkStart w:id="12" w:name="_Toc26955"/>
      <w:r>
        <w:rPr>
          <w:rFonts w:hint="default"/>
        </w:rPr>
        <w:t>九、结论与建议</w:t>
      </w:r>
      <w:bookmarkEnd w:id="12"/>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38" w:type="dxa"/>
            <w:noWrap w:val="0"/>
            <w:vAlign w:val="top"/>
          </w:tcPr>
          <w:p>
            <w:pPr>
              <w:widowControl/>
              <w:ind w:firstLine="480" w:firstLineChars="200"/>
              <w:jc w:val="left"/>
            </w:pPr>
            <w:r>
              <w:t>（一）结  论</w:t>
            </w:r>
          </w:p>
          <w:p>
            <w:pPr>
              <w:widowControl/>
              <w:ind w:firstLine="480" w:firstLineChars="200"/>
              <w:jc w:val="left"/>
            </w:pPr>
            <w:r>
              <w:t>1、项目概况</w:t>
            </w:r>
          </w:p>
          <w:p>
            <w:pPr>
              <w:pStyle w:val="2"/>
              <w:ind w:firstLine="480"/>
            </w:pPr>
            <w:r>
              <w:rPr>
                <w:rFonts w:hint="eastAsia"/>
              </w:rPr>
              <w:t>苏州源顺祥新材料有限公司年产塑料制品 1500 吨新建项目地址位于苏州高新区浒关分区东金芝路 56 号，租用苏州市赛克塑胶有限公司现有的部分厂房，建筑面积为 1000 平方米，一层，包含办公和生产。</w:t>
            </w:r>
          </w:p>
          <w:p>
            <w:pPr>
              <w:widowControl/>
              <w:ind w:firstLine="480" w:firstLineChars="200"/>
              <w:jc w:val="left"/>
            </w:pPr>
            <w:r>
              <w:t>2、项目选址合理性</w:t>
            </w:r>
          </w:p>
          <w:p>
            <w:pPr>
              <w:ind w:right="120" w:rightChars="50" w:firstLine="480" w:firstLineChars="200"/>
              <w:jc w:val="left"/>
            </w:pPr>
            <w:r>
              <w:rPr>
                <w:rFonts w:hint="eastAsia"/>
              </w:rPr>
              <w:t>苏州源顺祥新材料有限公司</w:t>
            </w:r>
            <w:r>
              <w:t>位于</w:t>
            </w:r>
            <w:r>
              <w:rPr>
                <w:rFonts w:hint="eastAsia"/>
              </w:rPr>
              <w:t>苏州高新区浒关分区东金芝路 56 号</w:t>
            </w:r>
            <w:r>
              <w:t>，土地证明确属于工业用地，该区域用地规划为工业用地；本项目不在生态红线范围内，符合《江苏省国家级生态保护红线规划》（环生态函〔2018〕24号）和《江苏省生态红线区域保护规划》（苏政发[2013]113号），因此本项目选址合理。</w:t>
            </w:r>
          </w:p>
          <w:p>
            <w:pPr>
              <w:widowControl/>
              <w:ind w:firstLine="480" w:firstLineChars="200"/>
              <w:jc w:val="left"/>
            </w:pPr>
            <w:r>
              <w:t>3、项目环保政策相容性</w:t>
            </w:r>
          </w:p>
          <w:p>
            <w:pPr>
              <w:ind w:firstLine="480" w:firstLineChars="200"/>
              <w:jc w:val="left"/>
            </w:pPr>
            <w:r>
              <w:t>根据《江苏省太湖水污染防治条例》（2018 年）第四十三条和《省政府办公厅关于公布江苏省太湖流域三级保护区范围的通知》（苏政办 发[2012]221 号）中的规定，本项目所在地属于太湖流域三级保护区范围。本项目不属于太湖流域三级保护区禁止建设的项目，符合《江苏省太湖水污染防治条例》的要求。</w:t>
            </w:r>
          </w:p>
          <w:p>
            <w:pPr>
              <w:widowControl/>
              <w:ind w:firstLine="480" w:firstLineChars="200"/>
              <w:jc w:val="left"/>
            </w:pPr>
            <w:r>
              <w:t>本项目</w:t>
            </w:r>
            <w:r>
              <w:rPr>
                <w:rFonts w:hint="eastAsia"/>
                <w:lang w:val="en-US" w:eastAsia="zh-CN"/>
              </w:rPr>
              <w:t>工艺为挤塑工艺</w:t>
            </w:r>
            <w:r>
              <w:t>，产生的有机废气经收集处理后达标排放，符合</w:t>
            </w:r>
            <w:r>
              <w:rPr>
                <w:rFonts w:hint="eastAsia"/>
                <w:lang w:eastAsia="zh-CN"/>
              </w:rPr>
              <w:t>“</w:t>
            </w:r>
            <w:r>
              <w:t>两减六治三提升</w:t>
            </w:r>
            <w:r>
              <w:rPr>
                <w:rFonts w:hint="eastAsia"/>
                <w:lang w:eastAsia="zh-CN"/>
              </w:rPr>
              <w:t>”</w:t>
            </w:r>
            <w:r>
              <w:t>的要求。</w:t>
            </w:r>
          </w:p>
          <w:p>
            <w:pPr>
              <w:ind w:firstLine="480" w:firstLineChars="200"/>
              <w:jc w:val="left"/>
            </w:pPr>
            <w:r>
              <w:t>本项目有机废气治理和排放符合《江苏省挥发性有机物污染防治管理办法》、《江苏省重点行业挥发性有机物污染控制指南》（苏环办（2014）128号）和《苏州高新区工业挥发性有机废气整治提升三年行动方案》（苏高新管〔2018〕74 号）规定。</w:t>
            </w:r>
          </w:p>
          <w:p>
            <w:pPr>
              <w:ind w:left="120" w:leftChars="50" w:right="120" w:rightChars="50" w:firstLine="480" w:firstLineChars="200"/>
              <w:jc w:val="left"/>
            </w:pPr>
            <w:r>
              <w:t>本项目符合《苏州国家高新技术产业开发区开发建设规划（2015-2030）年环境影响报告书》以及环保部审查意见要求。</w:t>
            </w:r>
          </w:p>
          <w:p>
            <w:pPr>
              <w:ind w:left="120" w:leftChars="50" w:right="120" w:rightChars="50" w:firstLine="480" w:firstLineChars="200"/>
              <w:jc w:val="left"/>
            </w:pPr>
            <w:r>
              <w:t>本项目为</w:t>
            </w:r>
            <w:r>
              <w:rPr>
                <w:rFonts w:hint="eastAsia"/>
                <w:lang w:val="en-US" w:eastAsia="zh-CN"/>
              </w:rPr>
              <w:t>塑料制品</w:t>
            </w:r>
            <w:r>
              <w:t>项目，不属于《产业结构调整指导目录（2011 年本）（2013年修正版）》中限制类和淘汰类；不属于《江苏省工业和信息产业结构调整限制、淘汰目录和能耗限额》（苏政办发〔2015〕118号）中淘汰类和限制类，不属于《江苏省工业和信息产业结构调整指导目录》（2012年本）中淘汰类和限制类，不属于《苏州市产业发展导向目录》（苏府[2007]129 号文）中限制类、禁止类和淘汰类，亦不属于其它相关法律法规要求淘汰和限制产业，为允许类，符合国家和地方产业政策。</w:t>
            </w:r>
          </w:p>
          <w:p>
            <w:pPr>
              <w:ind w:left="120" w:leftChars="50" w:right="120" w:rightChars="50" w:firstLine="480" w:firstLineChars="200"/>
              <w:jc w:val="left"/>
            </w:pPr>
            <w:r>
              <w:t>本项目选址不在生态红线范围内；本项目建成后对区域环境空气质量影响较小，本项目的建设不会突破当地环境质量底线；本项目租赁现有工业厂房建设，为工业用地，用水、用电和排水量不大，项目建设不会突破资源利用上线。</w:t>
            </w:r>
          </w:p>
          <w:p>
            <w:pPr>
              <w:ind w:firstLine="480" w:firstLineChars="200"/>
              <w:jc w:val="left"/>
            </w:pPr>
            <w:r>
              <w:t>4、项目地环境质量现状</w:t>
            </w:r>
          </w:p>
          <w:p>
            <w:pPr>
              <w:ind w:firstLine="480" w:firstLineChars="200"/>
              <w:jc w:val="left"/>
            </w:pPr>
            <w:r>
              <w:t>（1）大气环境质量现状：根据《2018年苏州市环境状况公报》，苏州市区环境空气中二氧化硫、可吸入颗粒物年均浓度和一氧化碳日平均第95百分位数浓度达到《环境空气质量标准》(GB3095—2012)二级标准。二氧化氮、细颗粒物年均浓度和臭氧日最大8小时平均第90百分位数浓度超过《环境空气质量标准》(GB3095—2012)二级标准。</w:t>
            </w:r>
          </w:p>
          <w:p>
            <w:pPr>
              <w:ind w:firstLine="480" w:firstLineChars="200"/>
              <w:jc w:val="left"/>
            </w:pPr>
            <w:r>
              <w:t>为此苏州市政府在《苏州市</w:t>
            </w:r>
            <w:r>
              <w:rPr>
                <w:rFonts w:hint="eastAsia"/>
                <w:lang w:eastAsia="zh-CN"/>
              </w:rPr>
              <w:t>“</w:t>
            </w:r>
            <w:r>
              <w:t>十三五</w:t>
            </w:r>
            <w:r>
              <w:rPr>
                <w:rFonts w:hint="eastAsia"/>
                <w:lang w:eastAsia="zh-CN"/>
              </w:rPr>
              <w:t>”</w:t>
            </w:r>
            <w:r>
              <w:t>生态环境保护规划》中提出了综合治理大气污染的7项措施，到2020年二氧化硫、氮氧化物、挥发性有机物排放量下降比例达到20%以上，全市空气质量达到优良天数的比例达到73.9%；PM2.5年均浓度下降到44微克/立方米。 </w:t>
            </w:r>
          </w:p>
          <w:p>
            <w:pPr>
              <w:ind w:right="120" w:rightChars="50" w:firstLine="480" w:firstLineChars="200"/>
              <w:jc w:val="left"/>
            </w:pPr>
            <w:r>
              <w:t>（2）水环境质量现状：京杭运河水质监测结果，pH、COD、NH3-N和TP浓度均符合《地表水环境质量标准》（GB3838-2002）中的Ⅳ类水质标准。</w:t>
            </w:r>
          </w:p>
          <w:p>
            <w:pPr>
              <w:ind w:firstLine="480" w:firstLineChars="200"/>
              <w:jc w:val="left"/>
            </w:pPr>
            <w:r>
              <w:t>（3）声环境质量现状：经现场监测，项目所在地东、南、西厂界声环境现状能满足《声环境质量标准》（GB3096-2008）中3类标准要求。</w:t>
            </w:r>
          </w:p>
          <w:p>
            <w:pPr>
              <w:ind w:firstLine="480" w:firstLineChars="200"/>
              <w:jc w:val="left"/>
            </w:pPr>
            <w:r>
              <w:t>5、项目污染物排放情况</w:t>
            </w:r>
          </w:p>
          <w:p>
            <w:pPr>
              <w:pStyle w:val="2"/>
              <w:ind w:firstLine="480"/>
            </w:pPr>
            <w:r>
              <w:t>（1）废气：本项目</w:t>
            </w:r>
            <w:r>
              <w:rPr>
                <w:rFonts w:hint="eastAsia"/>
                <w:lang w:val="en-US" w:eastAsia="zh-CN"/>
              </w:rPr>
              <w:t>挤塑</w:t>
            </w:r>
            <w:r>
              <w:t>过程中产生的废气经过</w:t>
            </w:r>
            <w:r>
              <w:rPr>
                <w:rFonts w:hint="eastAsia"/>
                <w:lang w:val="en-US" w:eastAsia="zh-CN"/>
              </w:rPr>
              <w:t>集气罩</w:t>
            </w:r>
            <w:r>
              <w:t>收集，活性炭吸附</w:t>
            </w:r>
            <w:r>
              <w:rPr>
                <w:rFonts w:hint="eastAsia"/>
                <w:lang w:val="en-US" w:eastAsia="zh-CN"/>
              </w:rPr>
              <w:t>+低温等离子</w:t>
            </w:r>
            <w:r>
              <w:t>设备处理后由现有项目15m高的排气筒达标排放。</w:t>
            </w:r>
            <w:r>
              <w:rPr>
                <w:rFonts w:hint="eastAsia"/>
                <w:lang w:val="en-US" w:eastAsia="zh-CN"/>
              </w:rPr>
              <w:t>本项目捏合过程中产生的颗粒物经除尘设施处理后无组织达标排放。</w:t>
            </w:r>
            <w:r>
              <w:t>本项目排放的无组织大气污染物在周围无超标点，无需设置大气环境防护距离，在</w:t>
            </w:r>
            <w:r>
              <w:rPr>
                <w:rFonts w:hint="eastAsia"/>
                <w:lang w:val="en-US" w:eastAsia="zh-CN"/>
              </w:rPr>
              <w:t>厂房</w:t>
            </w:r>
            <w:r>
              <w:t>为边界设置100m卫生防护距离，该距离内无环境敏感目标。</w:t>
            </w:r>
          </w:p>
          <w:p>
            <w:pPr>
              <w:ind w:firstLine="480" w:firstLineChars="200"/>
              <w:jc w:val="left"/>
            </w:pPr>
            <w:r>
              <w:t>（2）废水：本项目产生员工生活污水，主要污染物为COD、SS、氨氮、总磷等</w:t>
            </w:r>
            <w:r>
              <w:rPr>
                <w:rFonts w:hint="eastAsia"/>
                <w:lang w:eastAsia="zh-CN"/>
              </w:rPr>
              <w:t>，</w:t>
            </w:r>
            <w:r>
              <w:t>生活污水经市政污水管网排入苏州高新区污水处理厂处理，可达标排放。</w:t>
            </w:r>
          </w:p>
          <w:p>
            <w:pPr>
              <w:ind w:firstLine="480" w:firstLineChars="200"/>
              <w:jc w:val="left"/>
            </w:pPr>
            <w:r>
              <w:t>（3）噪声：本项目噪声通过设备减振和厂房隔声等措施，东、南、西厂界噪声可以达到《工业企业厂界环境噪声排放标准》（GB12348-2008）3类标准。</w:t>
            </w:r>
          </w:p>
          <w:p>
            <w:pPr>
              <w:ind w:firstLine="480" w:firstLineChars="200"/>
              <w:jc w:val="left"/>
            </w:pPr>
            <w:r>
              <w:t>（4）固废：项目产生的固体废弃物均妥善处理和利用，固体废物零排放。</w:t>
            </w:r>
          </w:p>
          <w:p>
            <w:pPr>
              <w:widowControl/>
              <w:ind w:firstLine="480" w:firstLineChars="200"/>
              <w:jc w:val="left"/>
            </w:pPr>
            <w:r>
              <w:t>6、项目建成后对周围的环境影响</w:t>
            </w:r>
          </w:p>
          <w:p>
            <w:pPr>
              <w:adjustRightInd w:val="0"/>
              <w:snapToGrid w:val="0"/>
              <w:ind w:firstLine="480" w:firstLineChars="200"/>
            </w:pPr>
            <w:r>
              <w:t>（1）环境空气：经估算，项目排放的大气污染物非甲烷总烃在周围环境空气中最大落地浓度低于环境质量标准，项目建成后对周围环境影响不大。</w:t>
            </w:r>
          </w:p>
          <w:p>
            <w:pPr>
              <w:ind w:firstLine="480" w:firstLineChars="200"/>
              <w:jc w:val="left"/>
            </w:pPr>
            <w:r>
              <w:t>（2）水环境：项目排放</w:t>
            </w:r>
            <w:r>
              <w:rPr>
                <w:rFonts w:hint="eastAsia"/>
                <w:lang w:eastAsia="zh-CN"/>
              </w:rPr>
              <w:t>只排放生活废水</w:t>
            </w:r>
            <w:r>
              <w:t>，通过市政污水管网排入苏州高新区污水处理厂处理达标后排放，其对水环境污染物贡献值极小。</w:t>
            </w:r>
          </w:p>
          <w:p>
            <w:pPr>
              <w:ind w:firstLine="480" w:firstLineChars="200"/>
            </w:pPr>
            <w:r>
              <w:t>（3）声环境：本项目主要噪声源采取减振和隔声等措施，项目所在地东、南、西厂界声环境能满足《工业企业厂界环境噪声排放标准》（GB12348-2008）中3类标准。</w:t>
            </w:r>
          </w:p>
          <w:p>
            <w:pPr>
              <w:pStyle w:val="2"/>
              <w:ind w:firstLine="480"/>
            </w:pPr>
            <w:r>
              <w:t>（4）固废：</w:t>
            </w:r>
            <w:r>
              <w:rPr>
                <w:rFonts w:hint="eastAsia"/>
                <w:lang w:val="en-US" w:eastAsia="zh-CN"/>
              </w:rPr>
              <w:t>一般固废不合格品、废包装</w:t>
            </w:r>
            <w:r>
              <w:t>外售利用，</w:t>
            </w:r>
            <w:r>
              <w:rPr>
                <w:rFonts w:hint="eastAsia"/>
                <w:lang w:val="en-US" w:eastAsia="zh-CN"/>
              </w:rPr>
              <w:t>布袋收尘本厂回用，</w:t>
            </w:r>
            <w:r>
              <w:t>危险废物委托有资质单位进行处置。生活垃圾由环卫部门集中处理。各种固废做到100%利用、处置，不会对周围环境带来二次污染及其他影响。</w:t>
            </w:r>
          </w:p>
          <w:p>
            <w:pPr>
              <w:widowControl/>
              <w:ind w:firstLine="480" w:firstLineChars="200"/>
              <w:jc w:val="left"/>
            </w:pPr>
            <w:r>
              <w:t>7、污染物总量控制方案</w:t>
            </w:r>
          </w:p>
          <w:p>
            <w:pPr>
              <w:ind w:firstLine="480" w:firstLineChars="200"/>
              <w:jc w:val="left"/>
            </w:pPr>
            <w:r>
              <w:t>本项目水质污染物排放总量控制因子为COD、氨氮、总磷、总氮，考核因子为SS、石油类；大气污染物总量控制因子为非甲烷总烃，考核因子颗粒物。</w:t>
            </w:r>
          </w:p>
          <w:p>
            <w:pPr>
              <w:ind w:firstLine="480" w:firstLineChars="200"/>
              <w:jc w:val="left"/>
            </w:pPr>
            <w:r>
              <w:t>水污染物总量在苏州高新区污水处理厂内平衡；大气污染物总量在区域内平衡。</w:t>
            </w:r>
          </w:p>
          <w:p>
            <w:pPr>
              <w:jc w:val="center"/>
            </w:pPr>
            <w:r>
              <w:rPr>
                <w:b/>
                <w:bCs/>
                <w:sz w:val="21"/>
                <w:szCs w:val="21"/>
              </w:rPr>
              <w:t>表9-1  本项目污染物排放总量指标</w:t>
            </w:r>
            <w:r>
              <w:rPr>
                <w:rFonts w:hint="eastAsia"/>
                <w:b/>
                <w:bCs/>
                <w:sz w:val="21"/>
                <w:szCs w:val="21"/>
                <w:lang w:eastAsia="zh-CN"/>
              </w:rPr>
              <w:t>“</w:t>
            </w:r>
            <w:r>
              <w:rPr>
                <w:b/>
                <w:bCs/>
                <w:sz w:val="21"/>
                <w:szCs w:val="21"/>
              </w:rPr>
              <w:t>三本帐</w:t>
            </w:r>
            <w:r>
              <w:rPr>
                <w:rFonts w:hint="eastAsia"/>
                <w:b/>
                <w:bCs/>
                <w:sz w:val="21"/>
                <w:szCs w:val="21"/>
                <w:lang w:eastAsia="zh-CN"/>
              </w:rPr>
              <w:t>”</w:t>
            </w:r>
            <w:r>
              <w:rPr>
                <w:b/>
                <w:bCs/>
                <w:sz w:val="21"/>
                <w:szCs w:val="21"/>
              </w:rPr>
              <w:t>（单位：t/a）</w:t>
            </w:r>
          </w:p>
          <w:tbl>
            <w:tblPr>
              <w:tblStyle w:val="26"/>
              <w:tblW w:w="904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378"/>
              <w:gridCol w:w="722"/>
              <w:gridCol w:w="1086"/>
              <w:gridCol w:w="883"/>
              <w:gridCol w:w="837"/>
              <w:gridCol w:w="837"/>
              <w:gridCol w:w="839"/>
              <w:gridCol w:w="923"/>
              <w:gridCol w:w="1292"/>
              <w:gridCol w:w="124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20" w:hRule="atLeast"/>
              </w:trPr>
              <w:tc>
                <w:tcPr>
                  <w:tcW w:w="1100" w:type="dxa"/>
                  <w:gridSpan w:val="2"/>
                  <w:vMerge w:val="restart"/>
                  <w:noWrap w:val="0"/>
                  <w:vAlign w:val="center"/>
                </w:tcPr>
                <w:p>
                  <w:pPr>
                    <w:spacing w:line="240" w:lineRule="auto"/>
                    <w:jc w:val="center"/>
                    <w:rPr>
                      <w:rFonts w:hint="default"/>
                      <w:sz w:val="21"/>
                      <w:szCs w:val="21"/>
                    </w:rPr>
                  </w:pPr>
                  <w:r>
                    <w:rPr>
                      <w:rFonts w:hint="default"/>
                      <w:sz w:val="21"/>
                      <w:szCs w:val="21"/>
                    </w:rPr>
                    <w:t>种类</w:t>
                  </w:r>
                </w:p>
              </w:tc>
              <w:tc>
                <w:tcPr>
                  <w:tcW w:w="1086" w:type="dxa"/>
                  <w:vMerge w:val="restart"/>
                  <w:noWrap w:val="0"/>
                  <w:vAlign w:val="center"/>
                </w:tcPr>
                <w:p>
                  <w:pPr>
                    <w:spacing w:line="240" w:lineRule="auto"/>
                    <w:jc w:val="center"/>
                    <w:rPr>
                      <w:rFonts w:hint="default"/>
                      <w:sz w:val="21"/>
                      <w:szCs w:val="21"/>
                    </w:rPr>
                  </w:pPr>
                  <w:r>
                    <w:rPr>
                      <w:rFonts w:hint="default"/>
                      <w:sz w:val="21"/>
                      <w:szCs w:val="21"/>
                    </w:rPr>
                    <w:t>污染物名称</w:t>
                  </w:r>
                </w:p>
              </w:tc>
              <w:tc>
                <w:tcPr>
                  <w:tcW w:w="883" w:type="dxa"/>
                  <w:vMerge w:val="restart"/>
                  <w:noWrap w:val="0"/>
                  <w:vAlign w:val="center"/>
                </w:tcPr>
                <w:p>
                  <w:pPr>
                    <w:spacing w:line="240" w:lineRule="auto"/>
                    <w:jc w:val="center"/>
                    <w:rPr>
                      <w:rFonts w:hint="default" w:eastAsia="宋体"/>
                      <w:sz w:val="21"/>
                      <w:szCs w:val="21"/>
                      <w:lang w:val="en-US" w:eastAsia="zh-CN"/>
                    </w:rPr>
                  </w:pPr>
                  <w:r>
                    <w:rPr>
                      <w:rFonts w:hint="eastAsia"/>
                      <w:sz w:val="21"/>
                      <w:szCs w:val="21"/>
                      <w:lang w:val="en-US" w:eastAsia="zh-CN"/>
                    </w:rPr>
                    <w:t>扩建前排放量</w:t>
                  </w:r>
                </w:p>
              </w:tc>
              <w:tc>
                <w:tcPr>
                  <w:tcW w:w="2513" w:type="dxa"/>
                  <w:gridSpan w:val="3"/>
                  <w:noWrap w:val="0"/>
                  <w:vAlign w:val="center"/>
                </w:tcPr>
                <w:p>
                  <w:pPr>
                    <w:spacing w:line="240" w:lineRule="auto"/>
                    <w:jc w:val="center"/>
                    <w:rPr>
                      <w:rFonts w:hint="default" w:eastAsia="宋体"/>
                      <w:sz w:val="21"/>
                      <w:szCs w:val="21"/>
                      <w:lang w:val="en-US" w:eastAsia="zh-CN"/>
                    </w:rPr>
                  </w:pPr>
                  <w:r>
                    <w:rPr>
                      <w:rFonts w:hint="eastAsia"/>
                      <w:sz w:val="21"/>
                      <w:szCs w:val="21"/>
                      <w:lang w:val="en-US" w:eastAsia="zh-CN"/>
                    </w:rPr>
                    <w:t>本工程（改扩建）</w:t>
                  </w:r>
                </w:p>
              </w:tc>
              <w:tc>
                <w:tcPr>
                  <w:tcW w:w="923" w:type="dxa"/>
                  <w:vMerge w:val="restart"/>
                  <w:noWrap w:val="0"/>
                  <w:vAlign w:val="center"/>
                </w:tcPr>
                <w:p>
                  <w:pPr>
                    <w:spacing w:line="240" w:lineRule="auto"/>
                    <w:jc w:val="center"/>
                    <w:rPr>
                      <w:rFonts w:hint="default"/>
                      <w:sz w:val="21"/>
                      <w:szCs w:val="21"/>
                    </w:rPr>
                  </w:pPr>
                  <w:r>
                    <w:rPr>
                      <w:rFonts w:hint="eastAsia"/>
                      <w:sz w:val="21"/>
                      <w:szCs w:val="21"/>
                      <w:lang w:val="en-US" w:eastAsia="zh-CN"/>
                    </w:rPr>
                    <w:t>以老带新</w:t>
                  </w:r>
                  <w:r>
                    <w:rPr>
                      <w:rFonts w:hint="default"/>
                      <w:sz w:val="21"/>
                      <w:szCs w:val="21"/>
                    </w:rPr>
                    <w:t>削减量</w:t>
                  </w:r>
                </w:p>
              </w:tc>
              <w:tc>
                <w:tcPr>
                  <w:tcW w:w="1292" w:type="dxa"/>
                  <w:vMerge w:val="restart"/>
                  <w:noWrap w:val="0"/>
                  <w:vAlign w:val="center"/>
                </w:tcPr>
                <w:p>
                  <w:pPr>
                    <w:spacing w:line="240" w:lineRule="auto"/>
                    <w:jc w:val="center"/>
                    <w:rPr>
                      <w:rFonts w:hint="default" w:eastAsia="宋体"/>
                      <w:sz w:val="21"/>
                      <w:szCs w:val="21"/>
                      <w:lang w:val="en-US" w:eastAsia="zh-CN"/>
                    </w:rPr>
                  </w:pPr>
                  <w:r>
                    <w:rPr>
                      <w:rFonts w:hint="eastAsia"/>
                      <w:sz w:val="21"/>
                      <w:szCs w:val="21"/>
                      <w:lang w:val="en-US" w:eastAsia="zh-CN"/>
                    </w:rPr>
                    <w:t>排放增减量</w:t>
                  </w:r>
                </w:p>
              </w:tc>
              <w:tc>
                <w:tcPr>
                  <w:tcW w:w="1243" w:type="dxa"/>
                  <w:vMerge w:val="restart"/>
                  <w:noWrap w:val="0"/>
                  <w:vAlign w:val="center"/>
                </w:tcPr>
                <w:p>
                  <w:pPr>
                    <w:spacing w:line="240" w:lineRule="auto"/>
                    <w:jc w:val="center"/>
                    <w:rPr>
                      <w:rFonts w:hint="default"/>
                      <w:sz w:val="21"/>
                      <w:szCs w:val="21"/>
                    </w:rPr>
                  </w:pPr>
                  <w:r>
                    <w:rPr>
                      <w:rFonts w:hint="eastAsia"/>
                      <w:sz w:val="21"/>
                      <w:szCs w:val="21"/>
                      <w:lang w:val="en-US" w:eastAsia="zh-CN"/>
                    </w:rPr>
                    <w:t>最终排放量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90" w:hRule="atLeast"/>
              </w:trPr>
              <w:tc>
                <w:tcPr>
                  <w:tcW w:w="1100" w:type="dxa"/>
                  <w:gridSpan w:val="2"/>
                  <w:vMerge w:val="continue"/>
                  <w:noWrap w:val="0"/>
                  <w:vAlign w:val="center"/>
                </w:tcPr>
                <w:p>
                  <w:pPr>
                    <w:spacing w:line="240" w:lineRule="auto"/>
                    <w:jc w:val="center"/>
                    <w:rPr>
                      <w:rFonts w:hint="default"/>
                      <w:sz w:val="21"/>
                      <w:szCs w:val="21"/>
                    </w:rPr>
                  </w:pPr>
                </w:p>
              </w:tc>
              <w:tc>
                <w:tcPr>
                  <w:tcW w:w="1086" w:type="dxa"/>
                  <w:vMerge w:val="continue"/>
                  <w:noWrap w:val="0"/>
                  <w:vAlign w:val="center"/>
                </w:tcPr>
                <w:p>
                  <w:pPr>
                    <w:spacing w:line="240" w:lineRule="auto"/>
                    <w:jc w:val="center"/>
                    <w:rPr>
                      <w:rFonts w:hint="default"/>
                      <w:sz w:val="21"/>
                      <w:szCs w:val="21"/>
                    </w:rPr>
                  </w:pPr>
                </w:p>
              </w:tc>
              <w:tc>
                <w:tcPr>
                  <w:tcW w:w="883" w:type="dxa"/>
                  <w:vMerge w:val="continue"/>
                  <w:noWrap w:val="0"/>
                  <w:vAlign w:val="center"/>
                </w:tcPr>
                <w:p>
                  <w:pPr>
                    <w:spacing w:line="240" w:lineRule="auto"/>
                    <w:jc w:val="center"/>
                    <w:rPr>
                      <w:rFonts w:hint="default"/>
                      <w:sz w:val="21"/>
                      <w:szCs w:val="21"/>
                    </w:rPr>
                  </w:pPr>
                </w:p>
              </w:tc>
              <w:tc>
                <w:tcPr>
                  <w:tcW w:w="837" w:type="dxa"/>
                  <w:noWrap w:val="0"/>
                  <w:vAlign w:val="center"/>
                </w:tcPr>
                <w:p>
                  <w:pPr>
                    <w:spacing w:line="240" w:lineRule="auto"/>
                    <w:jc w:val="center"/>
                    <w:rPr>
                      <w:rFonts w:hint="default" w:eastAsia="宋体"/>
                      <w:sz w:val="21"/>
                      <w:szCs w:val="21"/>
                      <w:lang w:val="en-US" w:eastAsia="zh-CN"/>
                    </w:rPr>
                  </w:pPr>
                  <w:r>
                    <w:rPr>
                      <w:rFonts w:hint="eastAsia"/>
                      <w:sz w:val="21"/>
                      <w:szCs w:val="21"/>
                      <w:lang w:val="en-US" w:eastAsia="zh-CN"/>
                    </w:rPr>
                    <w:t>产生量</w:t>
                  </w:r>
                </w:p>
              </w:tc>
              <w:tc>
                <w:tcPr>
                  <w:tcW w:w="837" w:type="dxa"/>
                  <w:noWrap w:val="0"/>
                  <w:vAlign w:val="center"/>
                </w:tcPr>
                <w:p>
                  <w:pPr>
                    <w:spacing w:line="240" w:lineRule="auto"/>
                    <w:jc w:val="center"/>
                    <w:rPr>
                      <w:rFonts w:hint="default" w:eastAsia="宋体"/>
                      <w:sz w:val="21"/>
                      <w:szCs w:val="21"/>
                      <w:lang w:val="en-US" w:eastAsia="zh-CN"/>
                    </w:rPr>
                  </w:pPr>
                  <w:r>
                    <w:rPr>
                      <w:rFonts w:hint="eastAsia"/>
                      <w:sz w:val="21"/>
                      <w:szCs w:val="21"/>
                      <w:lang w:val="en-US" w:eastAsia="zh-CN"/>
                    </w:rPr>
                    <w:t>消减量</w:t>
                  </w:r>
                </w:p>
              </w:tc>
              <w:tc>
                <w:tcPr>
                  <w:tcW w:w="839" w:type="dxa"/>
                  <w:noWrap w:val="0"/>
                  <w:vAlign w:val="center"/>
                </w:tcPr>
                <w:p>
                  <w:pPr>
                    <w:spacing w:line="240" w:lineRule="auto"/>
                    <w:jc w:val="center"/>
                    <w:rPr>
                      <w:rFonts w:hint="eastAsia" w:eastAsia="宋体"/>
                      <w:sz w:val="21"/>
                      <w:szCs w:val="21"/>
                      <w:lang w:val="en-US" w:eastAsia="zh-CN"/>
                    </w:rPr>
                  </w:pPr>
                  <w:r>
                    <w:rPr>
                      <w:rFonts w:hint="eastAsia"/>
                      <w:sz w:val="21"/>
                      <w:szCs w:val="21"/>
                      <w:lang w:val="en-US" w:eastAsia="zh-CN"/>
                    </w:rPr>
                    <w:t>排放量</w:t>
                  </w:r>
                </w:p>
              </w:tc>
              <w:tc>
                <w:tcPr>
                  <w:tcW w:w="923" w:type="dxa"/>
                  <w:vMerge w:val="continue"/>
                  <w:noWrap w:val="0"/>
                  <w:vAlign w:val="center"/>
                </w:tcPr>
                <w:p>
                  <w:pPr>
                    <w:spacing w:line="240" w:lineRule="auto"/>
                    <w:jc w:val="center"/>
                    <w:rPr>
                      <w:rFonts w:hint="default"/>
                      <w:sz w:val="21"/>
                      <w:szCs w:val="21"/>
                    </w:rPr>
                  </w:pPr>
                </w:p>
              </w:tc>
              <w:tc>
                <w:tcPr>
                  <w:tcW w:w="1292" w:type="dxa"/>
                  <w:vMerge w:val="continue"/>
                  <w:noWrap w:val="0"/>
                  <w:vAlign w:val="center"/>
                </w:tcPr>
                <w:p>
                  <w:pPr>
                    <w:spacing w:line="240" w:lineRule="auto"/>
                    <w:jc w:val="center"/>
                    <w:rPr>
                      <w:rFonts w:hint="default"/>
                      <w:sz w:val="21"/>
                      <w:szCs w:val="21"/>
                    </w:rPr>
                  </w:pPr>
                </w:p>
              </w:tc>
              <w:tc>
                <w:tcPr>
                  <w:tcW w:w="1243" w:type="dxa"/>
                  <w:vMerge w:val="continue"/>
                  <w:noWrap w:val="0"/>
                  <w:vAlign w:val="center"/>
                </w:tcPr>
                <w:p>
                  <w:pPr>
                    <w:spacing w:line="240" w:lineRule="auto"/>
                    <w:jc w:val="center"/>
                    <w:rPr>
                      <w:rFonts w:hint="default"/>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20" w:hRule="atLeast"/>
              </w:trPr>
              <w:tc>
                <w:tcPr>
                  <w:tcW w:w="1100" w:type="dxa"/>
                  <w:gridSpan w:val="2"/>
                  <w:vMerge w:val="restart"/>
                  <w:noWrap w:val="0"/>
                  <w:vAlign w:val="center"/>
                </w:tcPr>
                <w:p>
                  <w:pPr>
                    <w:spacing w:line="240" w:lineRule="auto"/>
                    <w:jc w:val="center"/>
                    <w:rPr>
                      <w:rFonts w:hint="default"/>
                      <w:sz w:val="21"/>
                      <w:szCs w:val="21"/>
                    </w:rPr>
                  </w:pPr>
                  <w:r>
                    <w:rPr>
                      <w:rFonts w:hint="default"/>
                      <w:sz w:val="21"/>
                      <w:szCs w:val="21"/>
                    </w:rPr>
                    <w:t>生活污水</w:t>
                  </w:r>
                </w:p>
              </w:tc>
              <w:tc>
                <w:tcPr>
                  <w:tcW w:w="1086" w:type="dxa"/>
                  <w:noWrap w:val="0"/>
                  <w:vAlign w:val="center"/>
                </w:tcPr>
                <w:p>
                  <w:pPr>
                    <w:spacing w:line="240" w:lineRule="auto"/>
                    <w:jc w:val="center"/>
                    <w:rPr>
                      <w:rFonts w:hint="default"/>
                      <w:sz w:val="21"/>
                      <w:szCs w:val="21"/>
                    </w:rPr>
                  </w:pPr>
                  <w:r>
                    <w:rPr>
                      <w:rFonts w:hint="default"/>
                      <w:sz w:val="21"/>
                      <w:szCs w:val="21"/>
                    </w:rPr>
                    <w:t>排水量</w:t>
                  </w:r>
                </w:p>
              </w:tc>
              <w:tc>
                <w:tcPr>
                  <w:tcW w:w="883" w:type="dxa"/>
                  <w:noWrap w:val="0"/>
                  <w:vAlign w:val="center"/>
                </w:tcPr>
                <w:p>
                  <w:pPr>
                    <w:spacing w:line="240" w:lineRule="auto"/>
                    <w:jc w:val="center"/>
                    <w:rPr>
                      <w:rFonts w:hint="default"/>
                      <w:sz w:val="21"/>
                      <w:szCs w:val="21"/>
                      <w:lang w:val="en-US" w:eastAsia="zh-CN"/>
                    </w:rPr>
                  </w:pPr>
                  <w:r>
                    <w:rPr>
                      <w:rFonts w:hint="eastAsia"/>
                      <w:sz w:val="21"/>
                      <w:szCs w:val="21"/>
                      <w:lang w:val="en-US" w:eastAsia="zh-CN"/>
                    </w:rPr>
                    <w:t>260</w:t>
                  </w:r>
                </w:p>
              </w:tc>
              <w:tc>
                <w:tcPr>
                  <w:tcW w:w="837" w:type="dxa"/>
                  <w:noWrap w:val="0"/>
                  <w:vAlign w:val="center"/>
                </w:tcPr>
                <w:p>
                  <w:pPr>
                    <w:spacing w:line="240" w:lineRule="auto"/>
                    <w:jc w:val="center"/>
                    <w:rPr>
                      <w:rFonts w:hint="default" w:eastAsia="宋体"/>
                      <w:sz w:val="21"/>
                      <w:szCs w:val="21"/>
                      <w:lang w:val="en-US" w:eastAsia="zh-CN"/>
                    </w:rPr>
                  </w:pPr>
                  <w:r>
                    <w:rPr>
                      <w:rFonts w:hint="eastAsia"/>
                      <w:sz w:val="21"/>
                      <w:szCs w:val="21"/>
                      <w:lang w:val="en-US" w:eastAsia="zh-CN"/>
                    </w:rPr>
                    <w:t>456</w:t>
                  </w:r>
                </w:p>
              </w:tc>
              <w:tc>
                <w:tcPr>
                  <w:tcW w:w="837" w:type="dxa"/>
                  <w:noWrap w:val="0"/>
                  <w:vAlign w:val="center"/>
                </w:tcPr>
                <w:p>
                  <w:pPr>
                    <w:spacing w:line="240" w:lineRule="auto"/>
                    <w:jc w:val="center"/>
                    <w:rPr>
                      <w:rFonts w:hint="eastAsia" w:eastAsia="宋体"/>
                      <w:sz w:val="21"/>
                      <w:szCs w:val="21"/>
                      <w:lang w:val="en-US" w:eastAsia="zh-CN"/>
                    </w:rPr>
                  </w:pPr>
                  <w:r>
                    <w:rPr>
                      <w:rFonts w:hint="eastAsia"/>
                      <w:sz w:val="21"/>
                      <w:szCs w:val="21"/>
                      <w:lang w:val="en-US" w:eastAsia="zh-CN"/>
                    </w:rPr>
                    <w:t>0</w:t>
                  </w:r>
                </w:p>
              </w:tc>
              <w:tc>
                <w:tcPr>
                  <w:tcW w:w="839"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456</w:t>
                  </w:r>
                </w:p>
              </w:tc>
              <w:tc>
                <w:tcPr>
                  <w:tcW w:w="923"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1292"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+456</w:t>
                  </w:r>
                </w:p>
              </w:tc>
              <w:tc>
                <w:tcPr>
                  <w:tcW w:w="1243" w:type="dxa"/>
                  <w:noWrap w:val="0"/>
                  <w:vAlign w:val="center"/>
                </w:tcPr>
                <w:p>
                  <w:pPr>
                    <w:spacing w:line="24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716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20" w:hRule="atLeast"/>
              </w:trPr>
              <w:tc>
                <w:tcPr>
                  <w:tcW w:w="1100" w:type="dxa"/>
                  <w:gridSpan w:val="2"/>
                  <w:vMerge w:val="continue"/>
                  <w:noWrap w:val="0"/>
                  <w:vAlign w:val="center"/>
                </w:tcPr>
                <w:p>
                  <w:pPr>
                    <w:spacing w:line="240" w:lineRule="auto"/>
                    <w:jc w:val="center"/>
                    <w:rPr>
                      <w:rFonts w:hint="default"/>
                      <w:sz w:val="21"/>
                      <w:szCs w:val="21"/>
                    </w:rPr>
                  </w:pPr>
                </w:p>
              </w:tc>
              <w:tc>
                <w:tcPr>
                  <w:tcW w:w="1086" w:type="dxa"/>
                  <w:noWrap w:val="0"/>
                  <w:vAlign w:val="center"/>
                </w:tcPr>
                <w:p>
                  <w:pPr>
                    <w:spacing w:line="240" w:lineRule="auto"/>
                    <w:jc w:val="center"/>
                    <w:rPr>
                      <w:rFonts w:hint="default"/>
                      <w:sz w:val="21"/>
                      <w:szCs w:val="21"/>
                    </w:rPr>
                  </w:pPr>
                  <w:r>
                    <w:rPr>
                      <w:rFonts w:hint="default"/>
                      <w:sz w:val="21"/>
                      <w:szCs w:val="21"/>
                    </w:rPr>
                    <w:t>COD</w:t>
                  </w:r>
                </w:p>
              </w:tc>
              <w:tc>
                <w:tcPr>
                  <w:tcW w:w="883" w:type="dxa"/>
                  <w:noWrap w:val="0"/>
                  <w:vAlign w:val="center"/>
                </w:tcPr>
                <w:p>
                  <w:pPr>
                    <w:pStyle w:val="2"/>
                    <w:spacing w:line="240" w:lineRule="auto"/>
                    <w:ind w:firstLine="0" w:firstLineChars="0"/>
                    <w:jc w:val="center"/>
                    <w:rPr>
                      <w:rFonts w:hint="default"/>
                      <w:sz w:val="21"/>
                      <w:szCs w:val="21"/>
                      <w:lang w:val="en-US" w:eastAsia="zh-CN"/>
                    </w:rPr>
                  </w:pPr>
                  <w:r>
                    <w:rPr>
                      <w:rFonts w:hint="eastAsia"/>
                      <w:sz w:val="21"/>
                      <w:szCs w:val="21"/>
                      <w:lang w:val="en-US" w:eastAsia="zh-CN"/>
                    </w:rPr>
                    <w:t>0.098</w:t>
                  </w:r>
                </w:p>
              </w:tc>
              <w:tc>
                <w:tcPr>
                  <w:tcW w:w="837"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0.2052</w:t>
                  </w:r>
                </w:p>
              </w:tc>
              <w:tc>
                <w:tcPr>
                  <w:tcW w:w="837" w:type="dxa"/>
                  <w:noWrap w:val="0"/>
                  <w:vAlign w:val="center"/>
                </w:tcPr>
                <w:p>
                  <w:pPr>
                    <w:spacing w:line="240" w:lineRule="auto"/>
                    <w:jc w:val="center"/>
                    <w:rPr>
                      <w:rFonts w:hint="eastAsia" w:eastAsia="宋体"/>
                      <w:sz w:val="21"/>
                      <w:szCs w:val="21"/>
                      <w:lang w:val="en-US" w:eastAsia="zh-CN"/>
                    </w:rPr>
                  </w:pPr>
                  <w:r>
                    <w:rPr>
                      <w:rFonts w:hint="eastAsia"/>
                      <w:sz w:val="21"/>
                      <w:szCs w:val="21"/>
                      <w:lang w:val="en-US" w:eastAsia="zh-CN"/>
                    </w:rPr>
                    <w:t>0</w:t>
                  </w:r>
                </w:p>
              </w:tc>
              <w:tc>
                <w:tcPr>
                  <w:tcW w:w="839"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0.2052</w:t>
                  </w:r>
                </w:p>
              </w:tc>
              <w:tc>
                <w:tcPr>
                  <w:tcW w:w="923"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1292"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+0.2052</w:t>
                  </w:r>
                </w:p>
              </w:tc>
              <w:tc>
                <w:tcPr>
                  <w:tcW w:w="1243"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0.3032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20" w:hRule="atLeast"/>
              </w:trPr>
              <w:tc>
                <w:tcPr>
                  <w:tcW w:w="1100" w:type="dxa"/>
                  <w:gridSpan w:val="2"/>
                  <w:vMerge w:val="continue"/>
                  <w:noWrap w:val="0"/>
                  <w:vAlign w:val="center"/>
                </w:tcPr>
                <w:p>
                  <w:pPr>
                    <w:spacing w:line="240" w:lineRule="auto"/>
                    <w:jc w:val="center"/>
                    <w:rPr>
                      <w:rFonts w:hint="default"/>
                      <w:sz w:val="21"/>
                      <w:szCs w:val="21"/>
                    </w:rPr>
                  </w:pPr>
                </w:p>
              </w:tc>
              <w:tc>
                <w:tcPr>
                  <w:tcW w:w="1086" w:type="dxa"/>
                  <w:noWrap w:val="0"/>
                  <w:vAlign w:val="center"/>
                </w:tcPr>
                <w:p>
                  <w:pPr>
                    <w:spacing w:line="240" w:lineRule="auto"/>
                    <w:jc w:val="center"/>
                    <w:rPr>
                      <w:rFonts w:hint="default"/>
                      <w:sz w:val="21"/>
                      <w:szCs w:val="21"/>
                    </w:rPr>
                  </w:pPr>
                  <w:r>
                    <w:rPr>
                      <w:rFonts w:hint="default"/>
                      <w:sz w:val="21"/>
                      <w:szCs w:val="21"/>
                    </w:rPr>
                    <w:t>SS</w:t>
                  </w:r>
                </w:p>
              </w:tc>
              <w:tc>
                <w:tcPr>
                  <w:tcW w:w="883" w:type="dxa"/>
                  <w:noWrap w:val="0"/>
                  <w:vAlign w:val="center"/>
                </w:tcPr>
                <w:p>
                  <w:pPr>
                    <w:pStyle w:val="2"/>
                    <w:spacing w:line="240" w:lineRule="auto"/>
                    <w:ind w:firstLine="0" w:firstLineChars="0"/>
                    <w:jc w:val="center"/>
                    <w:rPr>
                      <w:rFonts w:hint="default"/>
                      <w:sz w:val="21"/>
                      <w:szCs w:val="21"/>
                      <w:lang w:val="en-US" w:eastAsia="zh-CN"/>
                    </w:rPr>
                  </w:pPr>
                  <w:r>
                    <w:rPr>
                      <w:rFonts w:hint="eastAsia"/>
                      <w:sz w:val="21"/>
                      <w:szCs w:val="21"/>
                      <w:lang w:val="en-US" w:eastAsia="zh-CN"/>
                    </w:rPr>
                    <w:t>0.05</w:t>
                  </w:r>
                </w:p>
              </w:tc>
              <w:tc>
                <w:tcPr>
                  <w:tcW w:w="837"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0.1368</w:t>
                  </w:r>
                </w:p>
              </w:tc>
              <w:tc>
                <w:tcPr>
                  <w:tcW w:w="837" w:type="dxa"/>
                  <w:noWrap w:val="0"/>
                  <w:vAlign w:val="center"/>
                </w:tcPr>
                <w:p>
                  <w:pPr>
                    <w:spacing w:line="240" w:lineRule="auto"/>
                    <w:jc w:val="center"/>
                    <w:rPr>
                      <w:rFonts w:hint="default"/>
                      <w:sz w:val="21"/>
                      <w:szCs w:val="21"/>
                      <w:lang w:val="en-US" w:eastAsia="zh-CN"/>
                    </w:rPr>
                  </w:pPr>
                  <w:r>
                    <w:rPr>
                      <w:rFonts w:hint="eastAsia"/>
                      <w:sz w:val="21"/>
                      <w:szCs w:val="21"/>
                      <w:lang w:val="en-US" w:eastAsia="zh-CN"/>
                    </w:rPr>
                    <w:t>0</w:t>
                  </w:r>
                </w:p>
              </w:tc>
              <w:tc>
                <w:tcPr>
                  <w:tcW w:w="839"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0.1368</w:t>
                  </w:r>
                </w:p>
              </w:tc>
              <w:tc>
                <w:tcPr>
                  <w:tcW w:w="923"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1292"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+0.1368</w:t>
                  </w:r>
                </w:p>
              </w:tc>
              <w:tc>
                <w:tcPr>
                  <w:tcW w:w="1243"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0.1868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20" w:hRule="atLeast"/>
              </w:trPr>
              <w:tc>
                <w:tcPr>
                  <w:tcW w:w="1100" w:type="dxa"/>
                  <w:gridSpan w:val="2"/>
                  <w:vMerge w:val="continue"/>
                  <w:noWrap w:val="0"/>
                  <w:vAlign w:val="center"/>
                </w:tcPr>
                <w:p>
                  <w:pPr>
                    <w:spacing w:line="240" w:lineRule="auto"/>
                    <w:jc w:val="center"/>
                    <w:rPr>
                      <w:rFonts w:hint="default"/>
                      <w:sz w:val="21"/>
                      <w:szCs w:val="21"/>
                    </w:rPr>
                  </w:pPr>
                </w:p>
              </w:tc>
              <w:tc>
                <w:tcPr>
                  <w:tcW w:w="1086" w:type="dxa"/>
                  <w:noWrap w:val="0"/>
                  <w:vAlign w:val="center"/>
                </w:tcPr>
                <w:p>
                  <w:pPr>
                    <w:spacing w:line="240" w:lineRule="auto"/>
                    <w:jc w:val="center"/>
                    <w:rPr>
                      <w:rFonts w:hint="default"/>
                      <w:sz w:val="21"/>
                      <w:szCs w:val="21"/>
                    </w:rPr>
                  </w:pPr>
                  <w:r>
                    <w:rPr>
                      <w:rFonts w:hint="default"/>
                      <w:sz w:val="21"/>
                      <w:szCs w:val="21"/>
                    </w:rPr>
                    <w:t>氨氮</w:t>
                  </w:r>
                </w:p>
              </w:tc>
              <w:tc>
                <w:tcPr>
                  <w:tcW w:w="883" w:type="dxa"/>
                  <w:noWrap w:val="0"/>
                  <w:vAlign w:val="center"/>
                </w:tcPr>
                <w:p>
                  <w:pPr>
                    <w:pStyle w:val="2"/>
                    <w:spacing w:line="240" w:lineRule="auto"/>
                    <w:ind w:firstLine="0" w:firstLineChars="0"/>
                    <w:jc w:val="center"/>
                    <w:rPr>
                      <w:rFonts w:hint="default"/>
                      <w:sz w:val="21"/>
                      <w:szCs w:val="21"/>
                      <w:lang w:val="en-US" w:eastAsia="zh-CN"/>
                    </w:rPr>
                  </w:pPr>
                  <w:r>
                    <w:rPr>
                      <w:rFonts w:hint="eastAsia"/>
                      <w:sz w:val="21"/>
                      <w:szCs w:val="21"/>
                      <w:lang w:val="en-US" w:eastAsia="zh-CN"/>
                    </w:rPr>
                    <w:t>0.0072</w:t>
                  </w:r>
                </w:p>
              </w:tc>
              <w:tc>
                <w:tcPr>
                  <w:tcW w:w="837"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0.01596</w:t>
                  </w:r>
                </w:p>
              </w:tc>
              <w:tc>
                <w:tcPr>
                  <w:tcW w:w="837" w:type="dxa"/>
                  <w:noWrap w:val="0"/>
                  <w:vAlign w:val="center"/>
                </w:tcPr>
                <w:p>
                  <w:pPr>
                    <w:spacing w:line="240" w:lineRule="auto"/>
                    <w:jc w:val="center"/>
                    <w:rPr>
                      <w:rFonts w:hint="eastAsia" w:eastAsia="宋体"/>
                      <w:sz w:val="21"/>
                      <w:szCs w:val="21"/>
                      <w:lang w:val="en-US" w:eastAsia="zh-CN"/>
                    </w:rPr>
                  </w:pPr>
                  <w:r>
                    <w:rPr>
                      <w:rFonts w:hint="eastAsia"/>
                      <w:sz w:val="21"/>
                      <w:szCs w:val="21"/>
                      <w:lang w:val="en-US" w:eastAsia="zh-CN"/>
                    </w:rPr>
                    <w:t>0</w:t>
                  </w:r>
                </w:p>
              </w:tc>
              <w:tc>
                <w:tcPr>
                  <w:tcW w:w="839"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0.01596</w:t>
                  </w:r>
                </w:p>
              </w:tc>
              <w:tc>
                <w:tcPr>
                  <w:tcW w:w="923"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1292"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+0.01596</w:t>
                  </w:r>
                </w:p>
              </w:tc>
              <w:tc>
                <w:tcPr>
                  <w:tcW w:w="1243"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0.02316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20" w:hRule="atLeast"/>
              </w:trPr>
              <w:tc>
                <w:tcPr>
                  <w:tcW w:w="1100" w:type="dxa"/>
                  <w:gridSpan w:val="2"/>
                  <w:vMerge w:val="continue"/>
                  <w:noWrap w:val="0"/>
                  <w:vAlign w:val="center"/>
                </w:tcPr>
                <w:p>
                  <w:pPr>
                    <w:spacing w:line="240" w:lineRule="auto"/>
                    <w:jc w:val="center"/>
                    <w:rPr>
                      <w:rFonts w:hint="default"/>
                      <w:sz w:val="21"/>
                      <w:szCs w:val="21"/>
                    </w:rPr>
                  </w:pPr>
                </w:p>
              </w:tc>
              <w:tc>
                <w:tcPr>
                  <w:tcW w:w="1086" w:type="dxa"/>
                  <w:noWrap w:val="0"/>
                  <w:vAlign w:val="center"/>
                </w:tcPr>
                <w:p>
                  <w:pPr>
                    <w:spacing w:line="240" w:lineRule="auto"/>
                    <w:jc w:val="center"/>
                    <w:rPr>
                      <w:rFonts w:hint="default"/>
                      <w:sz w:val="21"/>
                      <w:szCs w:val="21"/>
                    </w:rPr>
                  </w:pPr>
                  <w:r>
                    <w:rPr>
                      <w:rFonts w:hint="default"/>
                      <w:sz w:val="21"/>
                      <w:szCs w:val="21"/>
                    </w:rPr>
                    <w:t>总磷</w:t>
                  </w:r>
                </w:p>
              </w:tc>
              <w:tc>
                <w:tcPr>
                  <w:tcW w:w="883" w:type="dxa"/>
                  <w:noWrap w:val="0"/>
                  <w:vAlign w:val="center"/>
                </w:tcPr>
                <w:p>
                  <w:pPr>
                    <w:pStyle w:val="2"/>
                    <w:spacing w:line="240" w:lineRule="auto"/>
                    <w:ind w:firstLine="0" w:firstLineChars="0"/>
                    <w:jc w:val="center"/>
                    <w:rPr>
                      <w:rFonts w:hint="default"/>
                      <w:sz w:val="21"/>
                      <w:szCs w:val="21"/>
                      <w:lang w:val="en-US" w:eastAsia="zh-CN"/>
                    </w:rPr>
                  </w:pPr>
                  <w:r>
                    <w:rPr>
                      <w:rFonts w:hint="eastAsia"/>
                      <w:sz w:val="21"/>
                      <w:szCs w:val="21"/>
                      <w:lang w:val="en-US" w:eastAsia="zh-CN"/>
                    </w:rPr>
                    <w:t>0.00096</w:t>
                  </w:r>
                </w:p>
              </w:tc>
              <w:tc>
                <w:tcPr>
                  <w:tcW w:w="837"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sz w:val="21"/>
                      <w:szCs w:val="21"/>
                      <w:lang w:val="en-US" w:eastAsia="zh-CN"/>
                    </w:rPr>
                    <w:t>0.003648</w:t>
                  </w:r>
                </w:p>
              </w:tc>
              <w:tc>
                <w:tcPr>
                  <w:tcW w:w="837" w:type="dxa"/>
                  <w:noWrap w:val="0"/>
                  <w:vAlign w:val="center"/>
                </w:tcPr>
                <w:p>
                  <w:pPr>
                    <w:spacing w:line="240" w:lineRule="auto"/>
                    <w:jc w:val="center"/>
                    <w:rPr>
                      <w:rFonts w:hint="eastAsia" w:eastAsia="宋体"/>
                      <w:sz w:val="21"/>
                      <w:szCs w:val="21"/>
                      <w:lang w:val="en-US" w:eastAsia="zh-CN"/>
                    </w:rPr>
                  </w:pPr>
                  <w:r>
                    <w:rPr>
                      <w:rFonts w:hint="eastAsia"/>
                      <w:sz w:val="21"/>
                      <w:szCs w:val="21"/>
                      <w:lang w:val="en-US" w:eastAsia="zh-CN"/>
                    </w:rPr>
                    <w:t>0</w:t>
                  </w:r>
                </w:p>
              </w:tc>
              <w:tc>
                <w:tcPr>
                  <w:tcW w:w="839"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sz w:val="21"/>
                      <w:szCs w:val="21"/>
                      <w:lang w:val="en-US" w:eastAsia="zh-CN"/>
                    </w:rPr>
                    <w:t>0.003648</w:t>
                  </w:r>
                </w:p>
              </w:tc>
              <w:tc>
                <w:tcPr>
                  <w:tcW w:w="923"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1292"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w:t>
                  </w:r>
                  <w:r>
                    <w:rPr>
                      <w:rFonts w:hint="default"/>
                      <w:sz w:val="21"/>
                      <w:szCs w:val="21"/>
                      <w:lang w:val="en-US" w:eastAsia="zh-CN"/>
                    </w:rPr>
                    <w:t>0.003648</w:t>
                  </w:r>
                </w:p>
              </w:tc>
              <w:tc>
                <w:tcPr>
                  <w:tcW w:w="1243" w:type="dxa"/>
                  <w:noWrap w:val="0"/>
                  <w:vAlign w:val="center"/>
                </w:tcPr>
                <w:p>
                  <w:pPr>
                    <w:pStyle w:val="2"/>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0.004608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20" w:hRule="atLeast"/>
              </w:trPr>
              <w:tc>
                <w:tcPr>
                  <w:tcW w:w="378" w:type="dxa"/>
                  <w:vMerge w:val="restart"/>
                  <w:noWrap w:val="0"/>
                  <w:vAlign w:val="center"/>
                </w:tcPr>
                <w:p>
                  <w:pPr>
                    <w:spacing w:line="240" w:lineRule="auto"/>
                    <w:jc w:val="center"/>
                    <w:rPr>
                      <w:rFonts w:hint="default"/>
                      <w:sz w:val="21"/>
                      <w:szCs w:val="21"/>
                    </w:rPr>
                  </w:pPr>
                  <w:r>
                    <w:rPr>
                      <w:rFonts w:hint="default"/>
                      <w:sz w:val="21"/>
                      <w:szCs w:val="21"/>
                    </w:rPr>
                    <w:t>废气</w:t>
                  </w:r>
                </w:p>
              </w:tc>
              <w:tc>
                <w:tcPr>
                  <w:tcW w:w="722" w:type="dxa"/>
                  <w:vMerge w:val="restart"/>
                  <w:noWrap w:val="0"/>
                  <w:vAlign w:val="center"/>
                </w:tcPr>
                <w:p>
                  <w:pPr>
                    <w:spacing w:line="240" w:lineRule="auto"/>
                    <w:jc w:val="center"/>
                    <w:rPr>
                      <w:rFonts w:hint="default"/>
                      <w:sz w:val="21"/>
                      <w:szCs w:val="21"/>
                    </w:rPr>
                  </w:pPr>
                  <w:r>
                    <w:rPr>
                      <w:rFonts w:hint="default"/>
                      <w:sz w:val="21"/>
                      <w:szCs w:val="21"/>
                    </w:rPr>
                    <w:t>有组织</w:t>
                  </w:r>
                </w:p>
              </w:tc>
              <w:tc>
                <w:tcPr>
                  <w:tcW w:w="1086" w:type="dxa"/>
                  <w:noWrap w:val="0"/>
                  <w:vAlign w:val="center"/>
                </w:tcPr>
                <w:p>
                  <w:pPr>
                    <w:spacing w:line="240" w:lineRule="auto"/>
                    <w:jc w:val="center"/>
                    <w:rPr>
                      <w:rFonts w:hint="default" w:eastAsia="宋体"/>
                      <w:sz w:val="21"/>
                      <w:szCs w:val="21"/>
                      <w:lang w:val="en-US" w:eastAsia="zh-CN"/>
                    </w:rPr>
                  </w:pPr>
                  <w:r>
                    <w:rPr>
                      <w:rFonts w:hint="eastAsia"/>
                      <w:sz w:val="21"/>
                      <w:szCs w:val="21"/>
                      <w:lang w:val="en-US" w:eastAsia="zh-CN"/>
                    </w:rPr>
                    <w:t>废气量m</w:t>
                  </w:r>
                  <w:r>
                    <w:rPr>
                      <w:rFonts w:hint="eastAsia"/>
                      <w:sz w:val="21"/>
                      <w:szCs w:val="21"/>
                      <w:vertAlign w:val="superscript"/>
                      <w:lang w:val="en-US" w:eastAsia="zh-CN"/>
                    </w:rPr>
                    <w:t>3</w:t>
                  </w:r>
                  <w:r>
                    <w:rPr>
                      <w:rFonts w:hint="eastAsia"/>
                      <w:sz w:val="21"/>
                      <w:szCs w:val="21"/>
                      <w:lang w:val="en-US" w:eastAsia="zh-CN"/>
                    </w:rPr>
                    <w:t>/a</w:t>
                  </w:r>
                </w:p>
              </w:tc>
              <w:tc>
                <w:tcPr>
                  <w:tcW w:w="883"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960万</w:t>
                  </w:r>
                </w:p>
              </w:tc>
              <w:tc>
                <w:tcPr>
                  <w:tcW w:w="837" w:type="dxa"/>
                  <w:noWrap w:val="0"/>
                  <w:vAlign w:val="center"/>
                </w:tcPr>
                <w:p>
                  <w:pPr>
                    <w:spacing w:line="240" w:lineRule="auto"/>
                    <w:jc w:val="center"/>
                    <w:rPr>
                      <w:rFonts w:hint="default"/>
                      <w:sz w:val="21"/>
                      <w:szCs w:val="21"/>
                      <w:lang w:val="en-US" w:eastAsia="zh-CN"/>
                    </w:rPr>
                  </w:pPr>
                  <w:r>
                    <w:rPr>
                      <w:rFonts w:hint="eastAsia" w:cs="Times New Roman"/>
                      <w:kern w:val="2"/>
                      <w:sz w:val="21"/>
                      <w:szCs w:val="21"/>
                      <w:lang w:val="en-US" w:eastAsia="zh-CN" w:bidi="ar-SA"/>
                    </w:rPr>
                    <w:t>960万</w:t>
                  </w:r>
                </w:p>
              </w:tc>
              <w:tc>
                <w:tcPr>
                  <w:tcW w:w="837"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839" w:type="dxa"/>
                  <w:noWrap w:val="0"/>
                  <w:vAlign w:val="center"/>
                </w:tcPr>
                <w:p>
                  <w:pPr>
                    <w:spacing w:line="240" w:lineRule="auto"/>
                    <w:jc w:val="center"/>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960万</w:t>
                  </w:r>
                </w:p>
              </w:tc>
              <w:tc>
                <w:tcPr>
                  <w:tcW w:w="923" w:type="dxa"/>
                  <w:noWrap w:val="0"/>
                  <w:vAlign w:val="center"/>
                </w:tcPr>
                <w:p>
                  <w:pPr>
                    <w:spacing w:line="240" w:lineRule="auto"/>
                    <w:jc w:val="center"/>
                    <w:rPr>
                      <w:rFonts w:hint="default"/>
                      <w:sz w:val="21"/>
                      <w:szCs w:val="21"/>
                      <w:lang w:val="en-US" w:eastAsia="zh-CN"/>
                    </w:rPr>
                  </w:pPr>
                  <w:r>
                    <w:rPr>
                      <w:rFonts w:hint="eastAsia"/>
                      <w:sz w:val="21"/>
                      <w:szCs w:val="21"/>
                      <w:lang w:val="en-US" w:eastAsia="zh-CN"/>
                    </w:rPr>
                    <w:t>0</w:t>
                  </w:r>
                </w:p>
              </w:tc>
              <w:tc>
                <w:tcPr>
                  <w:tcW w:w="1292" w:type="dxa"/>
                  <w:noWrap w:val="0"/>
                  <w:vAlign w:val="center"/>
                </w:tcPr>
                <w:p>
                  <w:pPr>
                    <w:spacing w:line="240" w:lineRule="auto"/>
                    <w:jc w:val="center"/>
                    <w:rPr>
                      <w:rFonts w:hint="default"/>
                      <w:sz w:val="21"/>
                      <w:szCs w:val="21"/>
                      <w:lang w:val="en-US" w:eastAsia="zh-CN"/>
                    </w:rPr>
                  </w:pPr>
                  <w:r>
                    <w:rPr>
                      <w:rFonts w:hint="eastAsia"/>
                      <w:sz w:val="21"/>
                      <w:szCs w:val="21"/>
                      <w:lang w:val="en-US" w:eastAsia="zh-CN"/>
                    </w:rPr>
                    <w:t>+960万</w:t>
                  </w:r>
                </w:p>
              </w:tc>
              <w:tc>
                <w:tcPr>
                  <w:tcW w:w="1243" w:type="dxa"/>
                  <w:noWrap w:val="0"/>
                  <w:vAlign w:val="center"/>
                </w:tcPr>
                <w:p>
                  <w:pPr>
                    <w:spacing w:line="240" w:lineRule="auto"/>
                    <w:jc w:val="center"/>
                    <w:rPr>
                      <w:rFonts w:hint="default"/>
                      <w:sz w:val="21"/>
                      <w:szCs w:val="21"/>
                      <w:lang w:val="en-US" w:eastAsia="zh-CN"/>
                    </w:rPr>
                  </w:pPr>
                  <w:r>
                    <w:rPr>
                      <w:rFonts w:hint="eastAsia"/>
                      <w:sz w:val="21"/>
                      <w:szCs w:val="21"/>
                      <w:lang w:val="en-US" w:eastAsia="zh-CN"/>
                    </w:rPr>
                    <w:t>1920万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20" w:hRule="atLeast"/>
              </w:trPr>
              <w:tc>
                <w:tcPr>
                  <w:tcW w:w="378" w:type="dxa"/>
                  <w:vMerge w:val="continue"/>
                  <w:noWrap w:val="0"/>
                  <w:vAlign w:val="center"/>
                </w:tcPr>
                <w:p>
                  <w:pPr>
                    <w:spacing w:line="240" w:lineRule="auto"/>
                    <w:jc w:val="center"/>
                    <w:rPr>
                      <w:rFonts w:hint="default"/>
                      <w:sz w:val="21"/>
                      <w:szCs w:val="21"/>
                    </w:rPr>
                  </w:pPr>
                </w:p>
              </w:tc>
              <w:tc>
                <w:tcPr>
                  <w:tcW w:w="722" w:type="dxa"/>
                  <w:vMerge w:val="continue"/>
                  <w:noWrap w:val="0"/>
                  <w:vAlign w:val="center"/>
                </w:tcPr>
                <w:p>
                  <w:pPr>
                    <w:spacing w:line="240" w:lineRule="auto"/>
                    <w:jc w:val="center"/>
                    <w:rPr>
                      <w:rFonts w:hint="default"/>
                      <w:sz w:val="21"/>
                      <w:szCs w:val="21"/>
                    </w:rPr>
                  </w:pPr>
                </w:p>
              </w:tc>
              <w:tc>
                <w:tcPr>
                  <w:tcW w:w="1086"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default"/>
                      <w:sz w:val="21"/>
                      <w:szCs w:val="21"/>
                    </w:rPr>
                    <w:t>非甲烷总烃</w:t>
                  </w:r>
                </w:p>
              </w:tc>
              <w:tc>
                <w:tcPr>
                  <w:tcW w:w="883" w:type="dxa"/>
                  <w:noWrap w:val="0"/>
                  <w:vAlign w:val="center"/>
                </w:tcPr>
                <w:p>
                  <w:pPr>
                    <w:spacing w:line="240" w:lineRule="auto"/>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0.41</w:t>
                  </w:r>
                </w:p>
              </w:tc>
              <w:tc>
                <w:tcPr>
                  <w:tcW w:w="837"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1.5</w:t>
                  </w:r>
                </w:p>
              </w:tc>
              <w:tc>
                <w:tcPr>
                  <w:tcW w:w="837"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1.365</w:t>
                  </w:r>
                </w:p>
              </w:tc>
              <w:tc>
                <w:tcPr>
                  <w:tcW w:w="839"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0.135</w:t>
                  </w:r>
                </w:p>
              </w:tc>
              <w:tc>
                <w:tcPr>
                  <w:tcW w:w="923"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0.14</w:t>
                  </w:r>
                </w:p>
              </w:tc>
              <w:tc>
                <w:tcPr>
                  <w:tcW w:w="1292"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-0.14</w:t>
                  </w:r>
                </w:p>
              </w:tc>
              <w:tc>
                <w:tcPr>
                  <w:tcW w:w="1243"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0.27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20" w:hRule="atLeast"/>
              </w:trPr>
              <w:tc>
                <w:tcPr>
                  <w:tcW w:w="378" w:type="dxa"/>
                  <w:vMerge w:val="continue"/>
                  <w:noWrap w:val="0"/>
                  <w:vAlign w:val="center"/>
                </w:tcPr>
                <w:p>
                  <w:pPr>
                    <w:spacing w:line="240" w:lineRule="auto"/>
                    <w:jc w:val="center"/>
                    <w:rPr>
                      <w:rFonts w:hint="default"/>
                      <w:sz w:val="21"/>
                      <w:szCs w:val="21"/>
                    </w:rPr>
                  </w:pPr>
                </w:p>
              </w:tc>
              <w:tc>
                <w:tcPr>
                  <w:tcW w:w="722" w:type="dxa"/>
                  <w:vMerge w:val="restart"/>
                  <w:noWrap w:val="0"/>
                  <w:vAlign w:val="center"/>
                </w:tcPr>
                <w:p>
                  <w:pPr>
                    <w:spacing w:line="240" w:lineRule="auto"/>
                    <w:jc w:val="center"/>
                    <w:rPr>
                      <w:rFonts w:hint="default"/>
                      <w:sz w:val="21"/>
                      <w:szCs w:val="21"/>
                    </w:rPr>
                  </w:pPr>
                  <w:r>
                    <w:rPr>
                      <w:rFonts w:hint="default"/>
                      <w:sz w:val="21"/>
                      <w:szCs w:val="21"/>
                    </w:rPr>
                    <w:t>无组织</w:t>
                  </w:r>
                </w:p>
              </w:tc>
              <w:tc>
                <w:tcPr>
                  <w:tcW w:w="1086" w:type="dxa"/>
                  <w:noWrap w:val="0"/>
                  <w:vAlign w:val="center"/>
                </w:tcPr>
                <w:p>
                  <w:pPr>
                    <w:spacing w:line="240" w:lineRule="auto"/>
                    <w:jc w:val="center"/>
                    <w:rPr>
                      <w:rFonts w:hint="default"/>
                      <w:sz w:val="21"/>
                      <w:szCs w:val="21"/>
                    </w:rPr>
                  </w:pPr>
                  <w:r>
                    <w:rPr>
                      <w:rFonts w:hint="default"/>
                      <w:sz w:val="21"/>
                      <w:szCs w:val="21"/>
                    </w:rPr>
                    <w:t>非甲烷总烃</w:t>
                  </w:r>
                </w:p>
              </w:tc>
              <w:tc>
                <w:tcPr>
                  <w:tcW w:w="883"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0.15</w:t>
                  </w:r>
                </w:p>
              </w:tc>
              <w:tc>
                <w:tcPr>
                  <w:tcW w:w="837" w:type="dxa"/>
                  <w:noWrap w:val="0"/>
                  <w:vAlign w:val="center"/>
                </w:tcPr>
                <w:p>
                  <w:pPr>
                    <w:spacing w:line="240" w:lineRule="auto"/>
                    <w:jc w:val="center"/>
                    <w:rPr>
                      <w:rFonts w:hint="default"/>
                      <w:sz w:val="21"/>
                      <w:szCs w:val="21"/>
                      <w:lang w:val="en-US" w:eastAsia="zh-CN"/>
                    </w:rPr>
                  </w:pPr>
                  <w:r>
                    <w:rPr>
                      <w:rFonts w:hint="eastAsia"/>
                      <w:sz w:val="21"/>
                      <w:szCs w:val="21"/>
                      <w:lang w:val="en-US" w:eastAsia="zh-CN"/>
                    </w:rPr>
                    <w:t>0.15</w:t>
                  </w:r>
                </w:p>
              </w:tc>
              <w:tc>
                <w:tcPr>
                  <w:tcW w:w="837"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0</w:t>
                  </w:r>
                </w:p>
              </w:tc>
              <w:tc>
                <w:tcPr>
                  <w:tcW w:w="839"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0.15</w:t>
                  </w:r>
                </w:p>
              </w:tc>
              <w:tc>
                <w:tcPr>
                  <w:tcW w:w="923" w:type="dxa"/>
                  <w:noWrap w:val="0"/>
                  <w:vAlign w:val="center"/>
                </w:tcPr>
                <w:p>
                  <w:pPr>
                    <w:spacing w:line="240" w:lineRule="auto"/>
                    <w:jc w:val="center"/>
                    <w:rPr>
                      <w:rFonts w:hint="default"/>
                      <w:sz w:val="21"/>
                      <w:szCs w:val="21"/>
                      <w:lang w:val="en-US" w:eastAsia="zh-CN"/>
                    </w:rPr>
                  </w:pPr>
                  <w:r>
                    <w:rPr>
                      <w:rFonts w:hint="eastAsia"/>
                      <w:sz w:val="21"/>
                      <w:szCs w:val="21"/>
                      <w:lang w:val="en-US" w:eastAsia="zh-CN"/>
                    </w:rPr>
                    <w:t>0</w:t>
                  </w:r>
                </w:p>
              </w:tc>
              <w:tc>
                <w:tcPr>
                  <w:tcW w:w="1292" w:type="dxa"/>
                  <w:noWrap w:val="0"/>
                  <w:vAlign w:val="center"/>
                </w:tcPr>
                <w:p>
                  <w:pPr>
                    <w:spacing w:line="240" w:lineRule="auto"/>
                    <w:jc w:val="center"/>
                    <w:rPr>
                      <w:rFonts w:hint="default"/>
                      <w:sz w:val="21"/>
                      <w:szCs w:val="21"/>
                      <w:lang w:val="en-US" w:eastAsia="zh-CN"/>
                    </w:rPr>
                  </w:pPr>
                  <w:r>
                    <w:rPr>
                      <w:rFonts w:hint="eastAsia"/>
                      <w:sz w:val="21"/>
                      <w:szCs w:val="21"/>
                      <w:lang w:val="en-US" w:eastAsia="zh-CN"/>
                    </w:rPr>
                    <w:t>+0.15</w:t>
                  </w:r>
                </w:p>
              </w:tc>
              <w:tc>
                <w:tcPr>
                  <w:tcW w:w="1243" w:type="dxa"/>
                  <w:noWrap w:val="0"/>
                  <w:vAlign w:val="center"/>
                </w:tcPr>
                <w:p>
                  <w:pPr>
                    <w:spacing w:line="240" w:lineRule="auto"/>
                    <w:jc w:val="center"/>
                    <w:rPr>
                      <w:rFonts w:hint="default"/>
                      <w:sz w:val="21"/>
                      <w:szCs w:val="21"/>
                      <w:lang w:val="en-US" w:eastAsia="zh-CN"/>
                    </w:rPr>
                  </w:pPr>
                  <w:r>
                    <w:rPr>
                      <w:rFonts w:hint="eastAsia"/>
                      <w:sz w:val="21"/>
                      <w:szCs w:val="21"/>
                      <w:lang w:val="en-US" w:eastAsia="zh-CN"/>
                    </w:rPr>
                    <w:t>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378" w:type="dxa"/>
                  <w:vMerge w:val="continue"/>
                  <w:noWrap w:val="0"/>
                  <w:vAlign w:val="center"/>
                </w:tcPr>
                <w:p>
                  <w:pPr>
                    <w:spacing w:line="240" w:lineRule="auto"/>
                    <w:jc w:val="center"/>
                    <w:rPr>
                      <w:rFonts w:hint="default"/>
                      <w:sz w:val="21"/>
                      <w:szCs w:val="21"/>
                    </w:rPr>
                  </w:pPr>
                </w:p>
              </w:tc>
              <w:tc>
                <w:tcPr>
                  <w:tcW w:w="722" w:type="dxa"/>
                  <w:vMerge w:val="continue"/>
                  <w:noWrap w:val="0"/>
                  <w:vAlign w:val="center"/>
                </w:tcPr>
                <w:p>
                  <w:pPr>
                    <w:spacing w:line="240" w:lineRule="auto"/>
                    <w:jc w:val="center"/>
                    <w:rPr>
                      <w:rFonts w:hint="default"/>
                      <w:sz w:val="21"/>
                      <w:szCs w:val="21"/>
                    </w:rPr>
                  </w:pPr>
                </w:p>
              </w:tc>
              <w:tc>
                <w:tcPr>
                  <w:tcW w:w="1086" w:type="dxa"/>
                  <w:noWrap w:val="0"/>
                  <w:vAlign w:val="center"/>
                </w:tcPr>
                <w:p>
                  <w:pPr>
                    <w:spacing w:line="240" w:lineRule="auto"/>
                    <w:jc w:val="center"/>
                    <w:rPr>
                      <w:rFonts w:hint="default"/>
                      <w:sz w:val="21"/>
                      <w:szCs w:val="21"/>
                    </w:rPr>
                  </w:pPr>
                  <w:r>
                    <w:rPr>
                      <w:rFonts w:hint="default"/>
                      <w:sz w:val="21"/>
                      <w:szCs w:val="21"/>
                    </w:rPr>
                    <w:t>颗粒物</w:t>
                  </w:r>
                </w:p>
              </w:tc>
              <w:tc>
                <w:tcPr>
                  <w:tcW w:w="883" w:type="dxa"/>
                  <w:noWrap w:val="0"/>
                  <w:vAlign w:val="center"/>
                </w:tcPr>
                <w:p>
                  <w:pPr>
                    <w:spacing w:line="240" w:lineRule="auto"/>
                    <w:jc w:val="center"/>
                    <w:rPr>
                      <w:rFonts w:hint="default"/>
                      <w:sz w:val="21"/>
                      <w:szCs w:val="21"/>
                      <w:lang w:val="en-US" w:eastAsia="zh-CN"/>
                    </w:rPr>
                  </w:pPr>
                  <w:r>
                    <w:rPr>
                      <w:rFonts w:hint="eastAsia"/>
                      <w:sz w:val="21"/>
                      <w:szCs w:val="21"/>
                      <w:lang w:val="en-US" w:eastAsia="zh-CN"/>
                    </w:rPr>
                    <w:t>/</w:t>
                  </w:r>
                </w:p>
              </w:tc>
              <w:tc>
                <w:tcPr>
                  <w:tcW w:w="837" w:type="dxa"/>
                  <w:noWrap w:val="0"/>
                  <w:vAlign w:val="center"/>
                </w:tcPr>
                <w:p>
                  <w:pPr>
                    <w:spacing w:line="240" w:lineRule="auto"/>
                    <w:jc w:val="center"/>
                    <w:rPr>
                      <w:rFonts w:hint="default"/>
                      <w:sz w:val="21"/>
                      <w:szCs w:val="21"/>
                      <w:lang w:val="en-US" w:eastAsia="zh-CN"/>
                    </w:rPr>
                  </w:pPr>
                  <w:r>
                    <w:rPr>
                      <w:rFonts w:hint="eastAsia"/>
                      <w:sz w:val="21"/>
                      <w:szCs w:val="21"/>
                      <w:lang w:val="en-US" w:eastAsia="zh-CN"/>
                    </w:rPr>
                    <w:t>0.3</w:t>
                  </w:r>
                </w:p>
              </w:tc>
              <w:tc>
                <w:tcPr>
                  <w:tcW w:w="837"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0.2673</w:t>
                  </w:r>
                </w:p>
              </w:tc>
              <w:tc>
                <w:tcPr>
                  <w:tcW w:w="839" w:type="dxa"/>
                  <w:noWrap w:val="0"/>
                  <w:vAlign w:val="center"/>
                </w:tcPr>
                <w:p>
                  <w:pPr>
                    <w:spacing w:line="240" w:lineRule="auto"/>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0.0327</w:t>
                  </w:r>
                </w:p>
              </w:tc>
              <w:tc>
                <w:tcPr>
                  <w:tcW w:w="923" w:type="dxa"/>
                  <w:noWrap w:val="0"/>
                  <w:vAlign w:val="center"/>
                </w:tcPr>
                <w:p>
                  <w:pPr>
                    <w:spacing w:line="240" w:lineRule="auto"/>
                    <w:jc w:val="center"/>
                    <w:rPr>
                      <w:rFonts w:hint="default"/>
                      <w:sz w:val="21"/>
                      <w:szCs w:val="21"/>
                      <w:lang w:val="en-US" w:eastAsia="zh-CN"/>
                    </w:rPr>
                  </w:pPr>
                  <w:r>
                    <w:rPr>
                      <w:rFonts w:hint="eastAsia"/>
                      <w:sz w:val="21"/>
                      <w:szCs w:val="21"/>
                      <w:lang w:val="en-US" w:eastAsia="zh-CN"/>
                    </w:rPr>
                    <w:t>0</w:t>
                  </w:r>
                </w:p>
              </w:tc>
              <w:tc>
                <w:tcPr>
                  <w:tcW w:w="1292" w:type="dxa"/>
                  <w:noWrap w:val="0"/>
                  <w:vAlign w:val="center"/>
                </w:tcPr>
                <w:p>
                  <w:pPr>
                    <w:spacing w:line="240" w:lineRule="auto"/>
                    <w:jc w:val="center"/>
                    <w:rPr>
                      <w:rFonts w:hint="default"/>
                      <w:sz w:val="21"/>
                      <w:szCs w:val="21"/>
                      <w:lang w:val="en-US" w:eastAsia="zh-CN"/>
                    </w:rPr>
                  </w:pPr>
                  <w:r>
                    <w:rPr>
                      <w:rFonts w:hint="eastAsia"/>
                      <w:sz w:val="21"/>
                      <w:szCs w:val="21"/>
                      <w:lang w:val="en-US" w:eastAsia="zh-CN"/>
                    </w:rPr>
                    <w:t>+0.0327</w:t>
                  </w:r>
                </w:p>
              </w:tc>
              <w:tc>
                <w:tcPr>
                  <w:tcW w:w="1243" w:type="dxa"/>
                  <w:noWrap w:val="0"/>
                  <w:vAlign w:val="center"/>
                </w:tcPr>
                <w:p>
                  <w:pPr>
                    <w:spacing w:line="240" w:lineRule="auto"/>
                    <w:jc w:val="center"/>
                    <w:rPr>
                      <w:rFonts w:hint="default"/>
                      <w:sz w:val="21"/>
                      <w:szCs w:val="21"/>
                      <w:lang w:val="en-US" w:eastAsia="zh-CN"/>
                    </w:rPr>
                  </w:pPr>
                  <w:r>
                    <w:rPr>
                      <w:rFonts w:hint="eastAsia"/>
                      <w:sz w:val="21"/>
                      <w:szCs w:val="21"/>
                      <w:lang w:val="en-US" w:eastAsia="zh-CN"/>
                    </w:rPr>
                    <w:t>0.0327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378" w:type="dxa"/>
                  <w:vMerge w:val="restart"/>
                  <w:noWrap w:val="0"/>
                  <w:vAlign w:val="center"/>
                </w:tcPr>
                <w:p>
                  <w:pPr>
                    <w:snapToGrid w:val="0"/>
                    <w:spacing w:line="240" w:lineRule="auto"/>
                    <w:ind w:left="-120" w:leftChars="-50" w:right="-120" w:rightChars="-50"/>
                    <w:jc w:val="center"/>
                    <w:rPr>
                      <w:sz w:val="21"/>
                      <w:szCs w:val="21"/>
                    </w:rPr>
                  </w:pPr>
                  <w:r>
                    <w:rPr>
                      <w:sz w:val="21"/>
                      <w:szCs w:val="21"/>
                    </w:rPr>
                    <w:t>固</w:t>
                  </w:r>
                </w:p>
                <w:p>
                  <w:pPr>
                    <w:snapToGrid w:val="0"/>
                    <w:spacing w:line="240" w:lineRule="auto"/>
                    <w:ind w:left="-120" w:leftChars="-50" w:right="-120" w:rightChars="-50"/>
                    <w:jc w:val="center"/>
                    <w:rPr>
                      <w:sz w:val="21"/>
                      <w:szCs w:val="21"/>
                    </w:rPr>
                  </w:pPr>
                  <w:r>
                    <w:rPr>
                      <w:sz w:val="21"/>
                      <w:szCs w:val="21"/>
                    </w:rPr>
                    <w:t>体</w:t>
                  </w:r>
                </w:p>
                <w:p>
                  <w:pPr>
                    <w:snapToGrid w:val="0"/>
                    <w:spacing w:line="240" w:lineRule="auto"/>
                    <w:ind w:left="-120" w:leftChars="-50" w:right="-120" w:rightChars="-50"/>
                    <w:jc w:val="center"/>
                    <w:rPr>
                      <w:sz w:val="21"/>
                      <w:szCs w:val="21"/>
                    </w:rPr>
                  </w:pPr>
                  <w:r>
                    <w:rPr>
                      <w:sz w:val="21"/>
                      <w:szCs w:val="21"/>
                    </w:rPr>
                    <w:t>废</w:t>
                  </w:r>
                </w:p>
                <w:p>
                  <w:pPr>
                    <w:snapToGrid w:val="0"/>
                    <w:spacing w:line="240" w:lineRule="auto"/>
                    <w:ind w:left="-120" w:leftChars="-50" w:right="-120" w:rightChars="-50"/>
                    <w:jc w:val="center"/>
                    <w:rPr>
                      <w:rFonts w:hint="default" w:ascii="Times New Roman" w:hAnsi="Times New Roman" w:eastAsia="宋体" w:cs="Times New Roman"/>
                      <w:kern w:val="2"/>
                      <w:sz w:val="21"/>
                      <w:szCs w:val="21"/>
                      <w:lang w:val="en-US" w:eastAsia="zh-CN" w:bidi="ar-SA"/>
                    </w:rPr>
                  </w:pPr>
                  <w:r>
                    <w:rPr>
                      <w:sz w:val="21"/>
                      <w:szCs w:val="21"/>
                    </w:rPr>
                    <w:t>物</w:t>
                  </w:r>
                </w:p>
              </w:tc>
              <w:tc>
                <w:tcPr>
                  <w:tcW w:w="722" w:type="dxa"/>
                  <w:vMerge w:val="restart"/>
                  <w:noWrap w:val="0"/>
                  <w:vAlign w:val="center"/>
                </w:tcPr>
                <w:p>
                  <w:pPr>
                    <w:snapToGrid w:val="0"/>
                    <w:spacing w:line="240" w:lineRule="auto"/>
                    <w:ind w:left="-120" w:leftChars="-50" w:right="-120" w:rightChars="-50"/>
                    <w:jc w:val="center"/>
                    <w:rPr>
                      <w:rFonts w:hint="eastAsia"/>
                      <w:sz w:val="21"/>
                      <w:szCs w:val="21"/>
                      <w:lang w:val="en-US" w:eastAsia="zh-CN"/>
                    </w:rPr>
                  </w:pPr>
                  <w:r>
                    <w:rPr>
                      <w:rFonts w:hint="eastAsia"/>
                      <w:sz w:val="21"/>
                      <w:szCs w:val="21"/>
                      <w:lang w:val="en-US" w:eastAsia="zh-CN"/>
                    </w:rPr>
                    <w:t>一般</w:t>
                  </w:r>
                </w:p>
                <w:p>
                  <w:pPr>
                    <w:snapToGrid w:val="0"/>
                    <w:spacing w:line="240" w:lineRule="auto"/>
                    <w:ind w:left="-120" w:leftChars="-50" w:right="-120" w:rightChars="-50"/>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固废</w:t>
                  </w:r>
                </w:p>
              </w:tc>
              <w:tc>
                <w:tcPr>
                  <w:tcW w:w="1086" w:type="dxa"/>
                  <w:noWrap w:val="0"/>
                  <w:vAlign w:val="center"/>
                </w:tcPr>
                <w:p>
                  <w:pPr>
                    <w:snapToGrid w:val="0"/>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废包装</w:t>
                  </w:r>
                </w:p>
              </w:tc>
              <w:tc>
                <w:tcPr>
                  <w:tcW w:w="883" w:type="dxa"/>
                  <w:noWrap w:val="0"/>
                  <w:vAlign w:val="center"/>
                </w:tcPr>
                <w:p>
                  <w:pPr>
                    <w:spacing w:line="240" w:lineRule="auto"/>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0</w:t>
                  </w:r>
                </w:p>
              </w:tc>
              <w:tc>
                <w:tcPr>
                  <w:tcW w:w="837" w:type="dxa"/>
                  <w:noWrap w:val="0"/>
                  <w:vAlign w:val="center"/>
                </w:tcPr>
                <w:p>
                  <w:pPr>
                    <w:widowControl/>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0.3</w:t>
                  </w:r>
                </w:p>
              </w:tc>
              <w:tc>
                <w:tcPr>
                  <w:tcW w:w="837" w:type="dxa"/>
                  <w:noWrap w:val="0"/>
                  <w:vAlign w:val="center"/>
                </w:tcPr>
                <w:p>
                  <w:pPr>
                    <w:widowControl/>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3</w:t>
                  </w:r>
                </w:p>
              </w:tc>
              <w:tc>
                <w:tcPr>
                  <w:tcW w:w="839"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923"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1292"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1243" w:type="dxa"/>
                  <w:noWrap w:val="0"/>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378" w:type="dxa"/>
                  <w:vMerge w:val="continue"/>
                </w:tcPr>
                <w:p>
                  <w:pPr>
                    <w:spacing w:line="240" w:lineRule="auto"/>
                    <w:jc w:val="center"/>
                    <w:rPr>
                      <w:rFonts w:hint="default"/>
                      <w:sz w:val="21"/>
                      <w:szCs w:val="21"/>
                    </w:rPr>
                  </w:pPr>
                </w:p>
              </w:tc>
              <w:tc>
                <w:tcPr>
                  <w:tcW w:w="722" w:type="dxa"/>
                  <w:vMerge w:val="continue"/>
                </w:tcPr>
                <w:p>
                  <w:pPr>
                    <w:spacing w:line="240" w:lineRule="auto"/>
                    <w:jc w:val="center"/>
                    <w:rPr>
                      <w:rFonts w:hint="default"/>
                      <w:sz w:val="21"/>
                      <w:szCs w:val="21"/>
                    </w:rPr>
                  </w:pPr>
                </w:p>
              </w:tc>
              <w:tc>
                <w:tcPr>
                  <w:tcW w:w="0" w:type="auto"/>
                  <w:vAlign w:val="center"/>
                </w:tcPr>
                <w:p>
                  <w:pPr>
                    <w:snapToGrid w:val="0"/>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不合格品</w:t>
                  </w:r>
                </w:p>
              </w:tc>
              <w:tc>
                <w:tcPr>
                  <w:tcW w:w="0" w:type="auto"/>
                  <w:vAlign w:val="center"/>
                </w:tcPr>
                <w:p>
                  <w:pPr>
                    <w:spacing w:line="240" w:lineRule="auto"/>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0</w:t>
                  </w:r>
                </w:p>
              </w:tc>
              <w:tc>
                <w:tcPr>
                  <w:tcW w:w="0" w:type="auto"/>
                  <w:vAlign w:val="center"/>
                </w:tcPr>
                <w:p>
                  <w:pPr>
                    <w:widowControl/>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0.3</w:t>
                  </w:r>
                </w:p>
              </w:tc>
              <w:tc>
                <w:tcPr>
                  <w:tcW w:w="0" w:type="auto"/>
                  <w:vAlign w:val="center"/>
                </w:tcPr>
                <w:p>
                  <w:pPr>
                    <w:widowControl/>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3</w:t>
                  </w:r>
                </w:p>
              </w:tc>
              <w:tc>
                <w:tcPr>
                  <w:tcW w:w="0" w:type="auto"/>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0" w:type="auto"/>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0" w:type="auto"/>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0" w:type="auto"/>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90" w:hRule="atLeast"/>
              </w:trPr>
              <w:tc>
                <w:tcPr>
                  <w:tcW w:w="378" w:type="dxa"/>
                  <w:vMerge w:val="continue"/>
                </w:tcPr>
                <w:p>
                  <w:pPr>
                    <w:spacing w:line="240" w:lineRule="auto"/>
                    <w:jc w:val="center"/>
                    <w:rPr>
                      <w:rFonts w:hint="default"/>
                      <w:sz w:val="21"/>
                      <w:szCs w:val="21"/>
                    </w:rPr>
                  </w:pPr>
                </w:p>
              </w:tc>
              <w:tc>
                <w:tcPr>
                  <w:tcW w:w="722" w:type="dxa"/>
                  <w:vMerge w:val="continue"/>
                </w:tcPr>
                <w:p>
                  <w:pPr>
                    <w:spacing w:line="240" w:lineRule="auto"/>
                    <w:jc w:val="center"/>
                    <w:rPr>
                      <w:rFonts w:hint="default"/>
                      <w:sz w:val="21"/>
                      <w:szCs w:val="21"/>
                    </w:rPr>
                  </w:pPr>
                </w:p>
              </w:tc>
              <w:tc>
                <w:tcPr>
                  <w:tcW w:w="0" w:type="auto"/>
                  <w:vAlign w:val="center"/>
                </w:tcPr>
                <w:p>
                  <w:pPr>
                    <w:snapToGrid w:val="0"/>
                    <w:spacing w:line="240" w:lineRule="auto"/>
                    <w:jc w:val="center"/>
                    <w:rPr>
                      <w:rFonts w:hint="eastAsia"/>
                      <w:sz w:val="21"/>
                      <w:szCs w:val="21"/>
                      <w:lang w:val="en-US" w:eastAsia="zh-CN"/>
                    </w:rPr>
                  </w:pPr>
                  <w:r>
                    <w:rPr>
                      <w:rFonts w:hint="eastAsia"/>
                      <w:sz w:val="21"/>
                      <w:szCs w:val="21"/>
                      <w:lang w:val="en-US" w:eastAsia="zh-CN"/>
                    </w:rPr>
                    <w:t>布袋收尘</w:t>
                  </w:r>
                </w:p>
              </w:tc>
              <w:tc>
                <w:tcPr>
                  <w:tcW w:w="0" w:type="auto"/>
                  <w:vAlign w:val="center"/>
                </w:tcPr>
                <w:p>
                  <w:pPr>
                    <w:spacing w:line="240" w:lineRule="auto"/>
                    <w:jc w:val="center"/>
                    <w:rPr>
                      <w:rFonts w:hint="default"/>
                      <w:sz w:val="21"/>
                      <w:szCs w:val="21"/>
                      <w:lang w:val="en-US" w:eastAsia="zh-CN"/>
                    </w:rPr>
                  </w:pPr>
                  <w:r>
                    <w:rPr>
                      <w:rFonts w:hint="eastAsia"/>
                      <w:sz w:val="21"/>
                      <w:szCs w:val="21"/>
                      <w:lang w:val="en-US" w:eastAsia="zh-CN"/>
                    </w:rPr>
                    <w:t>/</w:t>
                  </w:r>
                </w:p>
              </w:tc>
              <w:tc>
                <w:tcPr>
                  <w:tcW w:w="0" w:type="auto"/>
                  <w:vAlign w:val="center"/>
                </w:tcPr>
                <w:p>
                  <w:pPr>
                    <w:widowControl/>
                    <w:spacing w:line="240" w:lineRule="auto"/>
                    <w:jc w:val="center"/>
                    <w:textAlignment w:val="center"/>
                    <w:rPr>
                      <w:rFonts w:hint="default" w:cs="Times New Roman"/>
                      <w:kern w:val="2"/>
                      <w:sz w:val="21"/>
                      <w:szCs w:val="21"/>
                      <w:lang w:val="en-US" w:eastAsia="zh-CN" w:bidi="ar-SA"/>
                    </w:rPr>
                  </w:pPr>
                  <w:r>
                    <w:rPr>
                      <w:rFonts w:hint="eastAsia" w:cs="Times New Roman"/>
                      <w:kern w:val="2"/>
                      <w:sz w:val="21"/>
                      <w:szCs w:val="21"/>
                      <w:lang w:val="en-US" w:eastAsia="zh-CN" w:bidi="ar-SA"/>
                    </w:rPr>
                    <w:t>0.2673</w:t>
                  </w:r>
                </w:p>
              </w:tc>
              <w:tc>
                <w:tcPr>
                  <w:tcW w:w="0" w:type="auto"/>
                  <w:vAlign w:val="center"/>
                </w:tcPr>
                <w:p>
                  <w:pPr>
                    <w:widowControl/>
                    <w:spacing w:line="240" w:lineRule="auto"/>
                    <w:jc w:val="center"/>
                    <w:textAlignment w:val="center"/>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0.2673</w:t>
                  </w:r>
                </w:p>
              </w:tc>
              <w:tc>
                <w:tcPr>
                  <w:tcW w:w="0" w:type="auto"/>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0" w:type="auto"/>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0" w:type="auto"/>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0" w:type="auto"/>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378" w:type="dxa"/>
                  <w:vMerge w:val="continue"/>
                </w:tcPr>
                <w:p>
                  <w:pPr>
                    <w:spacing w:line="240" w:lineRule="auto"/>
                    <w:jc w:val="center"/>
                    <w:rPr>
                      <w:rFonts w:hint="default"/>
                      <w:sz w:val="21"/>
                      <w:szCs w:val="21"/>
                    </w:rPr>
                  </w:pPr>
                </w:p>
              </w:tc>
              <w:tc>
                <w:tcPr>
                  <w:tcW w:w="0" w:type="auto"/>
                  <w:vAlign w:val="center"/>
                </w:tcPr>
                <w:p>
                  <w:pPr>
                    <w:snapToGrid w:val="0"/>
                    <w:spacing w:line="240" w:lineRule="auto"/>
                    <w:ind w:left="-120" w:leftChars="-50" w:right="-120" w:rightChars="-50"/>
                    <w:jc w:val="center"/>
                    <w:rPr>
                      <w:rFonts w:hint="eastAsia"/>
                      <w:sz w:val="21"/>
                      <w:szCs w:val="21"/>
                      <w:lang w:val="en-US" w:eastAsia="zh-CN"/>
                    </w:rPr>
                  </w:pPr>
                  <w:r>
                    <w:rPr>
                      <w:rFonts w:hint="eastAsia"/>
                      <w:sz w:val="21"/>
                      <w:szCs w:val="21"/>
                      <w:lang w:val="en-US" w:eastAsia="zh-CN"/>
                    </w:rPr>
                    <w:t>危险</w:t>
                  </w:r>
                </w:p>
                <w:p>
                  <w:pPr>
                    <w:snapToGrid w:val="0"/>
                    <w:spacing w:line="240" w:lineRule="auto"/>
                    <w:ind w:left="-120" w:leftChars="-50" w:right="-120" w:rightChars="-50"/>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固废</w:t>
                  </w:r>
                </w:p>
              </w:tc>
              <w:tc>
                <w:tcPr>
                  <w:tcW w:w="0" w:type="auto"/>
                  <w:vAlign w:val="center"/>
                </w:tcPr>
                <w:p>
                  <w:pPr>
                    <w:snapToGrid w:val="0"/>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废活性炭</w:t>
                  </w:r>
                </w:p>
              </w:tc>
              <w:tc>
                <w:tcPr>
                  <w:tcW w:w="0" w:type="auto"/>
                  <w:vAlign w:val="center"/>
                </w:tcPr>
                <w:p>
                  <w:pPr>
                    <w:spacing w:line="240" w:lineRule="auto"/>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0</w:t>
                  </w:r>
                </w:p>
              </w:tc>
              <w:tc>
                <w:tcPr>
                  <w:tcW w:w="0" w:type="auto"/>
                  <w:vAlign w:val="center"/>
                </w:tcPr>
                <w:p>
                  <w:pPr>
                    <w:widowControl/>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w:t>
                  </w:r>
                </w:p>
              </w:tc>
              <w:tc>
                <w:tcPr>
                  <w:tcW w:w="0" w:type="auto"/>
                  <w:vAlign w:val="center"/>
                </w:tcPr>
                <w:p>
                  <w:pPr>
                    <w:widowControl/>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w:t>
                  </w:r>
                </w:p>
              </w:tc>
              <w:tc>
                <w:tcPr>
                  <w:tcW w:w="0" w:type="auto"/>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0" w:type="auto"/>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0" w:type="auto"/>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0" w:type="auto"/>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378" w:type="dxa"/>
                  <w:vMerge w:val="continue"/>
                </w:tcPr>
                <w:p>
                  <w:pPr>
                    <w:spacing w:line="240" w:lineRule="auto"/>
                    <w:jc w:val="center"/>
                    <w:rPr>
                      <w:rFonts w:hint="default"/>
                      <w:sz w:val="21"/>
                      <w:szCs w:val="21"/>
                    </w:rPr>
                  </w:pPr>
                </w:p>
              </w:tc>
              <w:tc>
                <w:tcPr>
                  <w:tcW w:w="1808" w:type="dxa"/>
                  <w:gridSpan w:val="2"/>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生活垃圾</w:t>
                  </w:r>
                </w:p>
              </w:tc>
              <w:tc>
                <w:tcPr>
                  <w:tcW w:w="0" w:type="auto"/>
                  <w:vAlign w:val="center"/>
                </w:tcPr>
                <w:p>
                  <w:pPr>
                    <w:widowControl/>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0" w:type="auto"/>
                  <w:vAlign w:val="center"/>
                </w:tcPr>
                <w:p>
                  <w:pPr>
                    <w:widowControl/>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6</w:t>
                  </w:r>
                </w:p>
              </w:tc>
              <w:tc>
                <w:tcPr>
                  <w:tcW w:w="0" w:type="auto"/>
                  <w:vAlign w:val="center"/>
                </w:tcPr>
                <w:p>
                  <w:pPr>
                    <w:spacing w:line="240" w:lineRule="auto"/>
                    <w:jc w:val="center"/>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6</w:t>
                  </w:r>
                </w:p>
              </w:tc>
              <w:tc>
                <w:tcPr>
                  <w:tcW w:w="0" w:type="auto"/>
                  <w:vAlign w:val="center"/>
                </w:tcPr>
                <w:p>
                  <w:pPr>
                    <w:widowControl/>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0" w:type="auto"/>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0" w:type="auto"/>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c>
                <w:tcPr>
                  <w:tcW w:w="0" w:type="auto"/>
                  <w:vAlign w:val="center"/>
                </w:tcPr>
                <w:p>
                  <w:pPr>
                    <w:spacing w:line="240" w:lineRule="auto"/>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w:t>
                  </w:r>
                </w:p>
              </w:tc>
            </w:tr>
          </w:tbl>
          <w:p>
            <w:pPr>
              <w:widowControl/>
              <w:ind w:firstLine="480" w:firstLineChars="200"/>
              <w:jc w:val="left"/>
            </w:pPr>
            <w:r>
              <w:t>8、清洁生产水与循环经济</w:t>
            </w:r>
          </w:p>
          <w:p>
            <w:pPr>
              <w:ind w:firstLine="480" w:firstLineChars="200"/>
              <w:jc w:val="left"/>
            </w:pPr>
            <w:r>
              <w:t>项目使用的能源主要为电能，本项目清洁水平较高；</w:t>
            </w:r>
            <w:r>
              <w:rPr>
                <w:rFonts w:hint="eastAsia"/>
                <w:lang w:val="en-US" w:eastAsia="zh-CN"/>
              </w:rPr>
              <w:t>生产</w:t>
            </w:r>
            <w:r>
              <w:t>过程中产生的废料</w:t>
            </w:r>
            <w:r>
              <w:rPr>
                <w:rFonts w:hint="eastAsia"/>
                <w:lang w:val="en-US" w:eastAsia="zh-CN"/>
              </w:rPr>
              <w:t>本厂回用</w:t>
            </w:r>
            <w:r>
              <w:t xml:space="preserve">，体现了循环经济的理念。 </w:t>
            </w:r>
          </w:p>
          <w:p>
            <w:pPr>
              <w:bidi w:val="0"/>
              <w:ind w:firstLine="480" w:firstLineChars="200"/>
            </w:pPr>
            <w:r>
              <w:t>总结论：本项目符合环保有关政策，选址和布局合理；采取的污染防治措施可行有效，污染物可达标排放，固体废物全部得到有效利用或妥善处置；项目建成后对周围的环境影响很小；项目所需的排污总量可在苏州高新区内平衡。因此，从环境保护角度来看，本项目的建设是可行的。</w:t>
            </w:r>
          </w:p>
          <w:p>
            <w:pPr>
              <w:ind w:firstLine="480" w:firstLineChars="200"/>
              <w:jc w:val="left"/>
            </w:pPr>
            <w:r>
              <w:t>（二）建议</w:t>
            </w:r>
          </w:p>
          <w:p>
            <w:pPr>
              <w:ind w:firstLine="480" w:firstLineChars="200"/>
              <w:jc w:val="left"/>
            </w:pPr>
            <w:r>
              <w:t>1、上述评价结果是根据建设单位提供的生产规模、生产设备布局、工艺流程、原辅材料用量及与此对应的污染防治措施排污情况基础上得出的，如果生产规模、生产设备布局、工艺流程、原辅材料用量及与此对应的污染防治措施发生重大变动，建设单位应按照环保部门要求另行申报。</w:t>
            </w:r>
          </w:p>
          <w:p>
            <w:pPr>
              <w:ind w:firstLine="480" w:firstLineChars="200"/>
              <w:jc w:val="left"/>
            </w:pPr>
            <w:r>
              <w:t>2、认真执行环保</w:t>
            </w:r>
            <w:r>
              <w:rPr>
                <w:rFonts w:hint="eastAsia"/>
                <w:lang w:eastAsia="zh-CN"/>
              </w:rPr>
              <w:t>“</w:t>
            </w:r>
            <w:r>
              <w:t>三同时</w:t>
            </w:r>
            <w:r>
              <w:rPr>
                <w:rFonts w:hint="eastAsia"/>
                <w:lang w:eastAsia="zh-CN"/>
              </w:rPr>
              <w:t>”</w:t>
            </w:r>
            <w:r>
              <w:t>制度，完善环保责任制，责任落实到人。</w:t>
            </w:r>
          </w:p>
          <w:p>
            <w:pPr>
              <w:pStyle w:val="2"/>
              <w:ind w:firstLine="480"/>
            </w:pPr>
            <w:r>
              <w:t>3、增强风险防范意识，编制企业环境应急预案，落实环境应急措施。</w:t>
            </w:r>
          </w:p>
          <w:p>
            <w:pPr>
              <w:jc w:val="center"/>
            </w:pPr>
            <w:r>
              <w:rPr>
                <w:b/>
                <w:bCs/>
                <w:sz w:val="21"/>
                <w:szCs w:val="21"/>
              </w:rPr>
              <w:t>表9-</w:t>
            </w:r>
            <w:r>
              <w:rPr>
                <w:rFonts w:hint="eastAsia"/>
                <w:b/>
                <w:bCs/>
                <w:sz w:val="21"/>
                <w:szCs w:val="21"/>
                <w:lang w:val="en-US" w:eastAsia="zh-CN"/>
              </w:rPr>
              <w:t>2</w:t>
            </w:r>
            <w:r>
              <w:rPr>
                <w:b/>
                <w:bCs/>
                <w:sz w:val="21"/>
                <w:szCs w:val="21"/>
              </w:rPr>
              <w:t>建设项目环保设施</w:t>
            </w:r>
            <w:r>
              <w:rPr>
                <w:rFonts w:hint="eastAsia"/>
                <w:b/>
                <w:bCs/>
                <w:sz w:val="21"/>
                <w:szCs w:val="21"/>
                <w:lang w:eastAsia="zh-CN"/>
              </w:rPr>
              <w:t>“</w:t>
            </w:r>
            <w:r>
              <w:rPr>
                <w:b/>
                <w:bCs/>
                <w:sz w:val="21"/>
                <w:szCs w:val="21"/>
              </w:rPr>
              <w:t>三同时</w:t>
            </w:r>
            <w:r>
              <w:rPr>
                <w:rFonts w:hint="eastAsia"/>
                <w:b/>
                <w:bCs/>
                <w:sz w:val="21"/>
                <w:szCs w:val="21"/>
                <w:lang w:eastAsia="zh-CN"/>
              </w:rPr>
              <w:t>”</w:t>
            </w:r>
            <w:r>
              <w:rPr>
                <w:b/>
                <w:bCs/>
                <w:sz w:val="21"/>
                <w:szCs w:val="21"/>
              </w:rPr>
              <w:t>验收一览表</w:t>
            </w:r>
          </w:p>
          <w:tbl>
            <w:tblPr>
              <w:tblStyle w:val="2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089"/>
              <w:gridCol w:w="121"/>
              <w:gridCol w:w="1152"/>
              <w:gridCol w:w="1450"/>
              <w:gridCol w:w="2570"/>
              <w:gridCol w:w="1697"/>
              <w:gridCol w:w="730"/>
              <w:gridCol w:w="613"/>
              <w:tblGridChange w:id="0">
                <w:tblGrid>
                  <w:gridCol w:w="1017"/>
                  <w:gridCol w:w="72"/>
                  <w:gridCol w:w="1202"/>
                  <w:gridCol w:w="71"/>
                  <w:gridCol w:w="1431"/>
                  <w:gridCol w:w="19"/>
                  <w:gridCol w:w="1981"/>
                  <w:gridCol w:w="589"/>
                  <w:gridCol w:w="687"/>
                  <w:gridCol w:w="1003"/>
                  <w:gridCol w:w="7"/>
                  <w:gridCol w:w="730"/>
                  <w:gridCol w:w="331"/>
                  <w:gridCol w:w="282"/>
                </w:tblGrid>
              </w:tblGridChange>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1089" w:type="dxa"/>
                  <w:noWrap w:val="0"/>
                  <w:vAlign w:val="center"/>
                </w:tcPr>
                <w:p>
                  <w:pPr>
                    <w:spacing w:line="240" w:lineRule="auto"/>
                    <w:jc w:val="center"/>
                  </w:pPr>
                  <w:r>
                    <w:t>项目名称</w:t>
                  </w:r>
                </w:p>
              </w:tc>
              <w:tc>
                <w:tcPr>
                  <w:tcW w:w="8333" w:type="dxa"/>
                  <w:gridSpan w:val="7"/>
                  <w:noWrap w:val="0"/>
                  <w:vAlign w:val="center"/>
                </w:tcPr>
                <w:p>
                  <w:pPr>
                    <w:spacing w:line="240" w:lineRule="auto"/>
                    <w:jc w:val="center"/>
                  </w:pPr>
                  <w:r>
                    <w:rPr>
                      <w:rFonts w:hint="eastAsia"/>
                    </w:rPr>
                    <w:t>苏州源顺祥新材料有限公司年增产塑料制品1500吨扩建项目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62" w:hRule="atLeast"/>
                <w:jc w:val="center"/>
              </w:trPr>
              <w:tc>
                <w:tcPr>
                  <w:tcW w:w="1089" w:type="dxa"/>
                  <w:noWrap w:val="0"/>
                  <w:vAlign w:val="center"/>
                </w:tcPr>
                <w:p>
                  <w:pPr>
                    <w:spacing w:line="240" w:lineRule="auto"/>
                    <w:jc w:val="center"/>
                  </w:pPr>
                  <w:r>
                    <w:t>类别</w:t>
                  </w:r>
                </w:p>
              </w:tc>
              <w:tc>
                <w:tcPr>
                  <w:tcW w:w="1273" w:type="dxa"/>
                  <w:gridSpan w:val="2"/>
                  <w:noWrap w:val="0"/>
                  <w:vAlign w:val="center"/>
                </w:tcPr>
                <w:p>
                  <w:pPr>
                    <w:spacing w:line="240" w:lineRule="auto"/>
                    <w:jc w:val="center"/>
                  </w:pPr>
                  <w:r>
                    <w:t>污染源</w:t>
                  </w:r>
                </w:p>
              </w:tc>
              <w:tc>
                <w:tcPr>
                  <w:tcW w:w="1450" w:type="dxa"/>
                  <w:noWrap w:val="0"/>
                  <w:vAlign w:val="center"/>
                </w:tcPr>
                <w:p>
                  <w:pPr>
                    <w:spacing w:line="240" w:lineRule="auto"/>
                    <w:jc w:val="center"/>
                  </w:pPr>
                  <w:r>
                    <w:t>污染物</w:t>
                  </w:r>
                </w:p>
              </w:tc>
              <w:tc>
                <w:tcPr>
                  <w:tcW w:w="2570" w:type="dxa"/>
                  <w:noWrap w:val="0"/>
                  <w:vAlign w:val="center"/>
                </w:tcPr>
                <w:p>
                  <w:pPr>
                    <w:spacing w:line="240" w:lineRule="auto"/>
                    <w:jc w:val="center"/>
                  </w:pPr>
                  <w:r>
                    <w:t>治理措施</w:t>
                  </w:r>
                </w:p>
              </w:tc>
              <w:tc>
                <w:tcPr>
                  <w:tcW w:w="1697" w:type="dxa"/>
                  <w:noWrap w:val="0"/>
                  <w:vAlign w:val="center"/>
                </w:tcPr>
                <w:p>
                  <w:pPr>
                    <w:spacing w:line="240" w:lineRule="auto"/>
                    <w:jc w:val="center"/>
                  </w:pPr>
                  <w:r>
                    <w:t>处理效果</w:t>
                  </w:r>
                </w:p>
              </w:tc>
              <w:tc>
                <w:tcPr>
                  <w:tcW w:w="730" w:type="dxa"/>
                  <w:noWrap w:val="0"/>
                  <w:vAlign w:val="center"/>
                </w:tcPr>
                <w:p>
                  <w:pPr>
                    <w:spacing w:line="240" w:lineRule="auto"/>
                    <w:jc w:val="center"/>
                  </w:pPr>
                  <w:r>
                    <w:t>投资（万元）</w:t>
                  </w:r>
                </w:p>
              </w:tc>
              <w:tc>
                <w:tcPr>
                  <w:tcW w:w="613" w:type="dxa"/>
                  <w:noWrap w:val="0"/>
                  <w:vAlign w:val="center"/>
                </w:tcPr>
                <w:p>
                  <w:pPr>
                    <w:spacing w:line="240" w:lineRule="auto"/>
                    <w:jc w:val="center"/>
                  </w:pPr>
                  <w:r>
                    <w:t>完成时间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35" w:hRule="atLeast"/>
                <w:jc w:val="center"/>
              </w:trPr>
              <w:tc>
                <w:tcPr>
                  <w:tcW w:w="1089" w:type="dxa"/>
                  <w:noWrap w:val="0"/>
                  <w:vAlign w:val="center"/>
                </w:tcPr>
                <w:p>
                  <w:pPr>
                    <w:spacing w:line="240" w:lineRule="auto"/>
                    <w:jc w:val="center"/>
                  </w:pPr>
                  <w:r>
                    <w:t>废水</w:t>
                  </w:r>
                </w:p>
              </w:tc>
              <w:tc>
                <w:tcPr>
                  <w:tcW w:w="1273" w:type="dxa"/>
                  <w:gridSpan w:val="2"/>
                  <w:noWrap w:val="0"/>
                  <w:vAlign w:val="center"/>
                </w:tcPr>
                <w:p>
                  <w:pPr>
                    <w:spacing w:line="240" w:lineRule="auto"/>
                    <w:jc w:val="center"/>
                  </w:pPr>
                  <w:r>
                    <w:t>生活污水</w:t>
                  </w:r>
                </w:p>
              </w:tc>
              <w:tc>
                <w:tcPr>
                  <w:tcW w:w="1450" w:type="dxa"/>
                  <w:noWrap w:val="0"/>
                  <w:vAlign w:val="center"/>
                </w:tcPr>
                <w:p>
                  <w:pPr>
                    <w:spacing w:line="240" w:lineRule="auto"/>
                    <w:jc w:val="center"/>
                  </w:pPr>
                  <w:r>
                    <w:t>COD、SS、氨氮、TP</w:t>
                  </w:r>
                </w:p>
              </w:tc>
              <w:tc>
                <w:tcPr>
                  <w:tcW w:w="2570" w:type="dxa"/>
                  <w:noWrap w:val="0"/>
                  <w:vAlign w:val="center"/>
                </w:tcPr>
                <w:p>
                  <w:pPr>
                    <w:spacing w:line="240" w:lineRule="auto"/>
                    <w:jc w:val="center"/>
                  </w:pPr>
                  <w:r>
                    <w:t>生活污水接入市政污水管网</w:t>
                  </w:r>
                </w:p>
              </w:tc>
              <w:tc>
                <w:tcPr>
                  <w:tcW w:w="1697" w:type="dxa"/>
                  <w:noWrap w:val="0"/>
                  <w:vAlign w:val="center"/>
                </w:tcPr>
                <w:p>
                  <w:pPr>
                    <w:spacing w:line="240" w:lineRule="auto"/>
                    <w:jc w:val="center"/>
                    <w:rPr>
                      <w:rFonts w:hint="eastAsia"/>
                    </w:rPr>
                  </w:pPr>
                  <w:r>
                    <w:rPr>
                      <w:rFonts w:hint="eastAsia"/>
                    </w:rPr>
                    <w:t>（GB 8978-199</w:t>
                  </w:r>
                </w:p>
                <w:p>
                  <w:pPr>
                    <w:spacing w:line="240" w:lineRule="auto"/>
                    <w:jc w:val="center"/>
                    <w:rPr>
                      <w:rFonts w:hint="eastAsia"/>
                    </w:rPr>
                  </w:pPr>
                  <w:r>
                    <w:rPr>
                      <w:rFonts w:hint="eastAsia"/>
                    </w:rPr>
                    <w:t>6）表 4 三级标准</w:t>
                  </w:r>
                </w:p>
                <w:p>
                  <w:pPr>
                    <w:spacing w:line="240" w:lineRule="auto"/>
                    <w:jc w:val="center"/>
                    <w:rPr>
                      <w:rFonts w:hint="eastAsia"/>
                    </w:rPr>
                  </w:pPr>
                  <w:r>
                    <w:rPr>
                      <w:rFonts w:hint="eastAsia"/>
                    </w:rPr>
                    <w:t>和（GB/T 31962-</w:t>
                  </w:r>
                </w:p>
                <w:p>
                  <w:pPr>
                    <w:spacing w:line="240" w:lineRule="auto"/>
                    <w:jc w:val="center"/>
                    <w:rPr>
                      <w:rFonts w:hint="eastAsia"/>
                    </w:rPr>
                  </w:pPr>
                  <w:r>
                    <w:rPr>
                      <w:rFonts w:hint="eastAsia"/>
                    </w:rPr>
                    <w:t>2015）表 1 B 级</w:t>
                  </w:r>
                </w:p>
                <w:p>
                  <w:pPr>
                    <w:spacing w:line="240" w:lineRule="auto"/>
                    <w:jc w:val="center"/>
                  </w:pPr>
                  <w:r>
                    <w:rPr>
                      <w:rFonts w:hint="eastAsia"/>
                    </w:rPr>
                    <w:t>标准</w:t>
                  </w:r>
                </w:p>
              </w:tc>
              <w:tc>
                <w:tcPr>
                  <w:tcW w:w="730" w:type="dxa"/>
                  <w:noWrap w:val="0"/>
                  <w:vAlign w:val="center"/>
                </w:tcPr>
                <w:p>
                  <w:pPr>
                    <w:spacing w:line="240" w:lineRule="auto"/>
                    <w:jc w:val="center"/>
                    <w:rPr>
                      <w:rFonts w:hint="eastAsia"/>
                      <w:lang w:eastAsia="zh-CN"/>
                    </w:rPr>
                  </w:pPr>
                  <w:r>
                    <w:rPr>
                      <w:rFonts w:hint="eastAsia"/>
                      <w:lang w:val="en-US" w:eastAsia="zh-CN"/>
                    </w:rPr>
                    <w:t>/</w:t>
                  </w:r>
                </w:p>
              </w:tc>
              <w:tc>
                <w:tcPr>
                  <w:tcW w:w="613" w:type="dxa"/>
                  <w:vMerge w:val="restart"/>
                  <w:noWrap w:val="0"/>
                  <w:vAlign w:val="center"/>
                </w:tcPr>
                <w:p>
                  <w:pPr>
                    <w:spacing w:line="240" w:lineRule="auto"/>
                    <w:jc w:val="center"/>
                  </w:pPr>
                  <w:r>
                    <w:t>与本项目</w:t>
                  </w:r>
                </w:p>
                <w:p>
                  <w:pPr>
                    <w:spacing w:line="240" w:lineRule="auto"/>
                    <w:jc w:val="center"/>
                  </w:pPr>
                  <w:r>
                    <w:t>同时设计、同时施工，同时投入运行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873" w:hRule="atLeast"/>
                <w:jc w:val="center"/>
              </w:trPr>
              <w:tc>
                <w:tcPr>
                  <w:tcW w:w="1089" w:type="dxa"/>
                  <w:vMerge w:val="restart"/>
                  <w:noWrap w:val="0"/>
                  <w:vAlign w:val="center"/>
                </w:tcPr>
                <w:p>
                  <w:pPr>
                    <w:spacing w:line="240" w:lineRule="auto"/>
                    <w:jc w:val="center"/>
                  </w:pPr>
                  <w:r>
                    <w:t>废气</w:t>
                  </w:r>
                </w:p>
              </w:tc>
              <w:tc>
                <w:tcPr>
                  <w:tcW w:w="1273" w:type="dxa"/>
                  <w:gridSpan w:val="2"/>
                  <w:noWrap w:val="0"/>
                  <w:vAlign w:val="center"/>
                </w:tcPr>
                <w:p>
                  <w:pPr>
                    <w:spacing w:line="240" w:lineRule="auto"/>
                    <w:jc w:val="center"/>
                  </w:pPr>
                  <w:r>
                    <w:t>排气筒</w:t>
                  </w:r>
                </w:p>
                <w:p>
                  <w:pPr>
                    <w:spacing w:line="240" w:lineRule="auto"/>
                    <w:jc w:val="center"/>
                  </w:pPr>
                  <w:r>
                    <w:t>P1</w:t>
                  </w:r>
                </w:p>
              </w:tc>
              <w:tc>
                <w:tcPr>
                  <w:tcW w:w="1450" w:type="dxa"/>
                  <w:noWrap w:val="0"/>
                  <w:vAlign w:val="center"/>
                </w:tcPr>
                <w:p>
                  <w:pPr>
                    <w:spacing w:line="240" w:lineRule="auto"/>
                    <w:jc w:val="center"/>
                  </w:pPr>
                  <w:r>
                    <w:t>非甲烷总烃</w:t>
                  </w:r>
                </w:p>
              </w:tc>
              <w:tc>
                <w:tcPr>
                  <w:tcW w:w="2570" w:type="dxa"/>
                  <w:noWrap w:val="0"/>
                  <w:vAlign w:val="center"/>
                </w:tcPr>
                <w:p>
                  <w:pPr>
                    <w:spacing w:line="240" w:lineRule="auto"/>
                    <w:jc w:val="center"/>
                    <w:rPr>
                      <w:rFonts w:hint="eastAsia" w:eastAsia="宋体"/>
                      <w:lang w:val="en-US" w:eastAsia="zh-CN"/>
                    </w:rPr>
                  </w:pPr>
                  <w:r>
                    <w:t>活性炭吸附</w:t>
                  </w:r>
                  <w:r>
                    <w:rPr>
                      <w:rFonts w:hint="eastAsia"/>
                      <w:lang w:val="en-US" w:eastAsia="zh-CN"/>
                    </w:rPr>
                    <w:t>+低温等离子</w:t>
                  </w:r>
                </w:p>
              </w:tc>
              <w:tc>
                <w:tcPr>
                  <w:tcW w:w="1697" w:type="dxa"/>
                  <w:noWrap w:val="0"/>
                  <w:vAlign w:val="center"/>
                </w:tcPr>
                <w:p>
                  <w:pPr>
                    <w:spacing w:line="240" w:lineRule="auto"/>
                    <w:jc w:val="center"/>
                  </w:pPr>
                  <w:r>
                    <w:t>达到苏高新管〔2018〕74号文规定和《大气污染物综合排放标准》GB16297-1996）表 2二级标准</w:t>
                  </w:r>
                </w:p>
              </w:tc>
              <w:tc>
                <w:tcPr>
                  <w:tcW w:w="730" w:type="dxa"/>
                  <w:noWrap w:val="0"/>
                  <w:vAlign w:val="center"/>
                </w:tcPr>
                <w:p>
                  <w:pPr>
                    <w:spacing w:line="240" w:lineRule="auto"/>
                    <w:jc w:val="center"/>
                    <w:rPr>
                      <w:rFonts w:hint="eastAsia"/>
                      <w:lang w:val="en-US" w:eastAsia="zh-CN"/>
                    </w:rPr>
                  </w:pPr>
                  <w:r>
                    <w:rPr>
                      <w:rFonts w:hint="eastAsia"/>
                      <w:lang w:val="en-US" w:eastAsia="zh-CN"/>
                    </w:rPr>
                    <w:t>1</w:t>
                  </w:r>
                </w:p>
              </w:tc>
              <w:tc>
                <w:tcPr>
                  <w:tcW w:w="613" w:type="dxa"/>
                  <w:vMerge w:val="continue"/>
                  <w:noWrap w:val="0"/>
                  <w:vAlign w:val="center"/>
                </w:tcPr>
                <w:p>
                  <w:pPr>
                    <w:spacing w:line="240" w:lineRule="auto"/>
                    <w:jc w:val="cente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28" w:hRule="atLeast"/>
                <w:jc w:val="center"/>
              </w:trPr>
              <w:tc>
                <w:tcPr>
                  <w:tcW w:w="1089" w:type="dxa"/>
                  <w:vMerge w:val="continue"/>
                  <w:noWrap w:val="0"/>
                  <w:vAlign w:val="center"/>
                </w:tcPr>
                <w:p>
                  <w:pPr>
                    <w:spacing w:line="240" w:lineRule="auto"/>
                    <w:jc w:val="center"/>
                  </w:pPr>
                </w:p>
              </w:tc>
              <w:tc>
                <w:tcPr>
                  <w:tcW w:w="1273" w:type="dxa"/>
                  <w:gridSpan w:val="2"/>
                  <w:noWrap w:val="0"/>
                  <w:vAlign w:val="center"/>
                </w:tcPr>
                <w:p>
                  <w:pPr>
                    <w:spacing w:line="240" w:lineRule="auto"/>
                    <w:jc w:val="center"/>
                  </w:pPr>
                  <w:r>
                    <w:t>无组织废气</w:t>
                  </w:r>
                </w:p>
              </w:tc>
              <w:tc>
                <w:tcPr>
                  <w:tcW w:w="1450" w:type="dxa"/>
                  <w:noWrap w:val="0"/>
                  <w:vAlign w:val="center"/>
                </w:tcPr>
                <w:p>
                  <w:pPr>
                    <w:spacing w:line="240" w:lineRule="auto"/>
                    <w:jc w:val="center"/>
                  </w:pPr>
                  <w:r>
                    <w:t>非甲烷总烃</w:t>
                  </w:r>
                </w:p>
                <w:p>
                  <w:pPr>
                    <w:spacing w:line="240" w:lineRule="auto"/>
                    <w:jc w:val="center"/>
                  </w:pPr>
                  <w:r>
                    <w:t>、颗粒物</w:t>
                  </w:r>
                </w:p>
              </w:tc>
              <w:tc>
                <w:tcPr>
                  <w:tcW w:w="2570" w:type="dxa"/>
                  <w:noWrap w:val="0"/>
                  <w:vAlign w:val="center"/>
                </w:tcPr>
                <w:p>
                  <w:pPr>
                    <w:spacing w:line="240" w:lineRule="auto"/>
                    <w:jc w:val="center"/>
                  </w:pPr>
                  <w:r>
                    <w:t>加强通风</w:t>
                  </w:r>
                </w:p>
              </w:tc>
              <w:tc>
                <w:tcPr>
                  <w:tcW w:w="1697" w:type="dxa"/>
                  <w:noWrap w:val="0"/>
                  <w:vAlign w:val="center"/>
                </w:tcPr>
                <w:p>
                  <w:pPr>
                    <w:spacing w:line="240" w:lineRule="auto"/>
                    <w:jc w:val="center"/>
                  </w:pPr>
                  <w:r>
                    <w:t>达到苏高新管〔2018〕74号文和《大气污染物综合排放标准》GB16297-1996）表2二级标准</w:t>
                  </w:r>
                </w:p>
              </w:tc>
              <w:tc>
                <w:tcPr>
                  <w:tcW w:w="730" w:type="dxa"/>
                  <w:noWrap w:val="0"/>
                  <w:vAlign w:val="center"/>
                </w:tcPr>
                <w:p>
                  <w:pPr>
                    <w:spacing w:line="240" w:lineRule="auto"/>
                    <w:jc w:val="center"/>
                  </w:pPr>
                  <w:r>
                    <w:t>0</w:t>
                  </w:r>
                </w:p>
              </w:tc>
              <w:tc>
                <w:tcPr>
                  <w:tcW w:w="613" w:type="dxa"/>
                  <w:vMerge w:val="continue"/>
                  <w:noWrap w:val="0"/>
                  <w:vAlign w:val="center"/>
                </w:tcPr>
                <w:p>
                  <w:pPr>
                    <w:spacing w:line="240" w:lineRule="auto"/>
                    <w:jc w:val="cente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32" w:hRule="atLeast"/>
                <w:jc w:val="center"/>
              </w:trPr>
              <w:tc>
                <w:tcPr>
                  <w:tcW w:w="1089" w:type="dxa"/>
                  <w:noWrap w:val="0"/>
                  <w:vAlign w:val="center"/>
                </w:tcPr>
                <w:p>
                  <w:pPr>
                    <w:spacing w:line="240" w:lineRule="auto"/>
                    <w:jc w:val="center"/>
                  </w:pPr>
                  <w:r>
                    <w:t>噪声</w:t>
                  </w:r>
                </w:p>
              </w:tc>
              <w:tc>
                <w:tcPr>
                  <w:tcW w:w="1273" w:type="dxa"/>
                  <w:gridSpan w:val="2"/>
                  <w:noWrap w:val="0"/>
                  <w:vAlign w:val="center"/>
                </w:tcPr>
                <w:p>
                  <w:pPr>
                    <w:spacing w:line="240" w:lineRule="auto"/>
                    <w:jc w:val="center"/>
                  </w:pPr>
                  <w:r>
                    <w:t>空压机、</w:t>
                  </w:r>
                </w:p>
                <w:p>
                  <w:pPr>
                    <w:spacing w:line="240" w:lineRule="auto"/>
                    <w:jc w:val="center"/>
                  </w:pPr>
                  <w:r>
                    <w:rPr>
                      <w:rFonts w:hint="eastAsia"/>
                      <w:lang w:val="en-US" w:eastAsia="zh-CN"/>
                    </w:rPr>
                    <w:t>捏合机</w:t>
                  </w:r>
                  <w:r>
                    <w:t>设备</w:t>
                  </w:r>
                </w:p>
              </w:tc>
              <w:tc>
                <w:tcPr>
                  <w:tcW w:w="1450" w:type="dxa"/>
                  <w:noWrap w:val="0"/>
                  <w:vAlign w:val="center"/>
                </w:tcPr>
                <w:p>
                  <w:pPr>
                    <w:spacing w:line="240" w:lineRule="auto"/>
                    <w:jc w:val="center"/>
                  </w:pPr>
                  <w:r>
                    <w:t>噪声</w:t>
                  </w:r>
                </w:p>
              </w:tc>
              <w:tc>
                <w:tcPr>
                  <w:tcW w:w="2570" w:type="dxa"/>
                  <w:noWrap w:val="0"/>
                  <w:vAlign w:val="center"/>
                </w:tcPr>
                <w:p>
                  <w:pPr>
                    <w:spacing w:line="240" w:lineRule="auto"/>
                    <w:jc w:val="center"/>
                  </w:pPr>
                  <w:r>
                    <w:t>减振、隔声等</w:t>
                  </w:r>
                </w:p>
              </w:tc>
              <w:tc>
                <w:tcPr>
                  <w:tcW w:w="1697" w:type="dxa"/>
                  <w:noWrap w:val="0"/>
                  <w:vAlign w:val="center"/>
                </w:tcPr>
                <w:p>
                  <w:pPr>
                    <w:spacing w:line="240" w:lineRule="auto"/>
                    <w:jc w:val="center"/>
                  </w:pPr>
                  <w:r>
                    <w:t>达到《工业企业厂界环境噪声排放标准》（GB12348-2008）3类标准</w:t>
                  </w:r>
                </w:p>
                <w:p>
                  <w:pPr>
                    <w:spacing w:line="240" w:lineRule="auto"/>
                    <w:jc w:val="center"/>
                  </w:pPr>
                  <w:r>
                    <w:t>类标准。</w:t>
                  </w:r>
                </w:p>
              </w:tc>
              <w:tc>
                <w:tcPr>
                  <w:tcW w:w="730" w:type="dxa"/>
                  <w:noWrap w:val="0"/>
                  <w:vAlign w:val="center"/>
                </w:tcPr>
                <w:p>
                  <w:pPr>
                    <w:spacing w:line="240" w:lineRule="auto"/>
                    <w:jc w:val="center"/>
                  </w:pPr>
                  <w:r>
                    <w:t>0</w:t>
                  </w:r>
                </w:p>
              </w:tc>
              <w:tc>
                <w:tcPr>
                  <w:tcW w:w="613" w:type="dxa"/>
                  <w:vMerge w:val="continue"/>
                  <w:noWrap w:val="0"/>
                  <w:vAlign w:val="center"/>
                </w:tcPr>
                <w:p>
                  <w:pPr>
                    <w:spacing w:line="240" w:lineRule="auto"/>
                    <w:jc w:val="cente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61" w:hRule="atLeast"/>
                <w:jc w:val="center"/>
              </w:trPr>
              <w:tc>
                <w:tcPr>
                  <w:tcW w:w="2362" w:type="dxa"/>
                  <w:gridSpan w:val="3"/>
                  <w:vMerge w:val="restart"/>
                  <w:noWrap w:val="0"/>
                  <w:vAlign w:val="center"/>
                </w:tcPr>
                <w:p>
                  <w:pPr>
                    <w:spacing w:line="240" w:lineRule="auto"/>
                    <w:jc w:val="center"/>
                  </w:pPr>
                  <w:r>
                    <w:t>固废</w:t>
                  </w:r>
                </w:p>
              </w:tc>
              <w:tc>
                <w:tcPr>
                  <w:tcW w:w="1450" w:type="dxa"/>
                  <w:noWrap w:val="0"/>
                  <w:vAlign w:val="center"/>
                </w:tcPr>
                <w:p>
                  <w:pPr>
                    <w:snapToGrid w:val="0"/>
                    <w:spacing w:line="240" w:lineRule="auto"/>
                    <w:jc w:val="center"/>
                    <w:rPr>
                      <w:rFonts w:hint="default"/>
                      <w:lang w:val="en-US" w:eastAsia="zh-CN"/>
                    </w:rPr>
                  </w:pPr>
                  <w:r>
                    <w:rPr>
                      <w:rFonts w:hint="eastAsia"/>
                      <w:lang w:val="en-US" w:eastAsia="zh-CN"/>
                    </w:rPr>
                    <w:t>不合格品</w:t>
                  </w:r>
                </w:p>
              </w:tc>
              <w:tc>
                <w:tcPr>
                  <w:tcW w:w="2570" w:type="dxa"/>
                  <w:noWrap w:val="0"/>
                  <w:vAlign w:val="center"/>
                </w:tcPr>
                <w:p>
                  <w:pPr>
                    <w:pStyle w:val="11"/>
                    <w:snapToGrid w:val="0"/>
                    <w:spacing w:line="240" w:lineRule="auto"/>
                    <w:jc w:val="center"/>
                    <w:rPr>
                      <w:rFonts w:hint="default"/>
                      <w:lang w:val="en-GB" w:eastAsia="zh-CN"/>
                    </w:rPr>
                  </w:pPr>
                  <w:r>
                    <w:rPr>
                      <w:rFonts w:hint="default"/>
                      <w:lang w:val="en-GB"/>
                    </w:rPr>
                    <w:t>外售利用</w:t>
                  </w:r>
                </w:p>
              </w:tc>
              <w:tc>
                <w:tcPr>
                  <w:tcW w:w="1697" w:type="dxa"/>
                  <w:vMerge w:val="restart"/>
                  <w:noWrap w:val="0"/>
                  <w:vAlign w:val="center"/>
                </w:tcPr>
                <w:p>
                  <w:pPr>
                    <w:spacing w:line="240" w:lineRule="auto"/>
                    <w:jc w:val="center"/>
                  </w:pPr>
                  <w:r>
                    <w:t>对外零排放</w:t>
                  </w:r>
                </w:p>
              </w:tc>
              <w:tc>
                <w:tcPr>
                  <w:tcW w:w="730" w:type="dxa"/>
                  <w:vMerge w:val="restart"/>
                  <w:noWrap w:val="0"/>
                  <w:vAlign w:val="center"/>
                </w:tcPr>
                <w:p>
                  <w:pPr>
                    <w:spacing w:line="240" w:lineRule="auto"/>
                    <w:jc w:val="center"/>
                    <w:rPr>
                      <w:rFonts w:hint="eastAsia"/>
                      <w:lang w:eastAsia="zh-CN"/>
                    </w:rPr>
                  </w:pPr>
                  <w:r>
                    <w:rPr>
                      <w:rFonts w:hint="eastAsia"/>
                      <w:lang w:val="en-US" w:eastAsia="zh-CN"/>
                    </w:rPr>
                    <w:t>2</w:t>
                  </w:r>
                </w:p>
              </w:tc>
              <w:tc>
                <w:tcPr>
                  <w:tcW w:w="613" w:type="dxa"/>
                  <w:vMerge w:val="continue"/>
                  <w:noWrap w:val="0"/>
                  <w:vAlign w:val="center"/>
                </w:tcPr>
                <w:p>
                  <w:pPr>
                    <w:spacing w:line="240" w:lineRule="auto"/>
                    <w:jc w:val="cente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90" w:hRule="atLeast"/>
                <w:jc w:val="center"/>
              </w:trPr>
              <w:tc>
                <w:tcPr>
                  <w:tcW w:w="2362" w:type="dxa"/>
                  <w:gridSpan w:val="3"/>
                  <w:vMerge w:val="continue"/>
                  <w:noWrap w:val="0"/>
                  <w:vAlign w:val="center"/>
                </w:tcPr>
                <w:p>
                  <w:pPr>
                    <w:spacing w:line="240" w:lineRule="auto"/>
                    <w:jc w:val="center"/>
                  </w:pPr>
                </w:p>
              </w:tc>
              <w:tc>
                <w:tcPr>
                  <w:tcW w:w="1450" w:type="dxa"/>
                  <w:noWrap w:val="0"/>
                  <w:vAlign w:val="center"/>
                </w:tcPr>
                <w:p>
                  <w:pPr>
                    <w:snapToGrid w:val="0"/>
                    <w:spacing w:line="240" w:lineRule="auto"/>
                    <w:jc w:val="center"/>
                    <w:rPr>
                      <w:rFonts w:hint="default"/>
                      <w:lang w:val="en-US" w:eastAsia="zh-CN"/>
                    </w:rPr>
                  </w:pPr>
                  <w:r>
                    <w:rPr>
                      <w:rFonts w:hint="eastAsia"/>
                      <w:lang w:val="en-US" w:eastAsia="zh-CN"/>
                    </w:rPr>
                    <w:t>废包装</w:t>
                  </w:r>
                </w:p>
              </w:tc>
              <w:tc>
                <w:tcPr>
                  <w:tcW w:w="2570" w:type="dxa"/>
                  <w:noWrap w:val="0"/>
                  <w:vAlign w:val="center"/>
                </w:tcPr>
                <w:p>
                  <w:pPr>
                    <w:pStyle w:val="11"/>
                    <w:snapToGrid w:val="0"/>
                    <w:spacing w:line="240" w:lineRule="auto"/>
                    <w:jc w:val="center"/>
                    <w:rPr>
                      <w:rFonts w:hint="default"/>
                      <w:lang w:val="en-US" w:eastAsia="zh-CN"/>
                    </w:rPr>
                  </w:pPr>
                  <w:r>
                    <w:rPr>
                      <w:rFonts w:hint="eastAsia"/>
                      <w:lang w:val="en-US" w:eastAsia="zh-CN"/>
                    </w:rPr>
                    <w:t>外售利用</w:t>
                  </w:r>
                </w:p>
              </w:tc>
              <w:tc>
                <w:tcPr>
                  <w:tcW w:w="1697" w:type="dxa"/>
                  <w:vMerge w:val="continue"/>
                  <w:noWrap w:val="0"/>
                  <w:vAlign w:val="center"/>
                </w:tcPr>
                <w:p>
                  <w:pPr>
                    <w:spacing w:line="240" w:lineRule="auto"/>
                    <w:jc w:val="center"/>
                  </w:pPr>
                </w:p>
              </w:tc>
              <w:tc>
                <w:tcPr>
                  <w:tcW w:w="730" w:type="dxa"/>
                  <w:vMerge w:val="continue"/>
                  <w:noWrap w:val="0"/>
                  <w:vAlign w:val="center"/>
                </w:tcPr>
                <w:p>
                  <w:pPr>
                    <w:spacing w:line="240" w:lineRule="auto"/>
                    <w:jc w:val="center"/>
                  </w:pPr>
                </w:p>
              </w:tc>
              <w:tc>
                <w:tcPr>
                  <w:tcW w:w="613" w:type="dxa"/>
                  <w:vMerge w:val="continue"/>
                  <w:noWrap w:val="0"/>
                  <w:vAlign w:val="center"/>
                </w:tcPr>
                <w:p>
                  <w:pPr>
                    <w:spacing w:line="240" w:lineRule="auto"/>
                    <w:jc w:val="cente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90" w:hRule="atLeast"/>
                <w:jc w:val="center"/>
              </w:trPr>
              <w:tc>
                <w:tcPr>
                  <w:tcW w:w="2362" w:type="dxa"/>
                  <w:gridSpan w:val="3"/>
                  <w:vMerge w:val="continue"/>
                  <w:noWrap w:val="0"/>
                  <w:vAlign w:val="center"/>
                </w:tcPr>
                <w:p>
                  <w:pPr>
                    <w:spacing w:line="240" w:lineRule="auto"/>
                    <w:jc w:val="center"/>
                  </w:pPr>
                </w:p>
              </w:tc>
              <w:tc>
                <w:tcPr>
                  <w:tcW w:w="1450" w:type="dxa"/>
                  <w:noWrap w:val="0"/>
                  <w:vAlign w:val="center"/>
                </w:tcPr>
                <w:p>
                  <w:pPr>
                    <w:snapToGrid w:val="0"/>
                    <w:spacing w:line="240" w:lineRule="auto"/>
                    <w:jc w:val="center"/>
                    <w:rPr>
                      <w:rFonts w:hint="default"/>
                      <w:lang w:val="en-US" w:eastAsia="zh-CN"/>
                    </w:rPr>
                  </w:pPr>
                  <w:r>
                    <w:rPr>
                      <w:rFonts w:hint="eastAsia"/>
                      <w:lang w:val="en-US" w:eastAsia="zh-CN"/>
                    </w:rPr>
                    <w:t>布袋收尘</w:t>
                  </w:r>
                </w:p>
              </w:tc>
              <w:tc>
                <w:tcPr>
                  <w:tcW w:w="2570" w:type="dxa"/>
                  <w:noWrap w:val="0"/>
                  <w:vAlign w:val="center"/>
                </w:tcPr>
                <w:p>
                  <w:pPr>
                    <w:pStyle w:val="11"/>
                    <w:snapToGrid w:val="0"/>
                    <w:spacing w:line="240" w:lineRule="auto"/>
                    <w:jc w:val="center"/>
                    <w:rPr>
                      <w:rFonts w:hint="default"/>
                      <w:lang w:val="en-US" w:eastAsia="zh-CN"/>
                    </w:rPr>
                  </w:pPr>
                  <w:r>
                    <w:rPr>
                      <w:rFonts w:hint="eastAsia"/>
                      <w:lang w:val="en-US" w:eastAsia="zh-CN"/>
                    </w:rPr>
                    <w:t>本厂回用</w:t>
                  </w:r>
                </w:p>
              </w:tc>
              <w:tc>
                <w:tcPr>
                  <w:tcW w:w="1697" w:type="dxa"/>
                  <w:vMerge w:val="continue"/>
                  <w:noWrap w:val="0"/>
                  <w:vAlign w:val="center"/>
                </w:tcPr>
                <w:p>
                  <w:pPr>
                    <w:spacing w:line="240" w:lineRule="auto"/>
                    <w:jc w:val="center"/>
                  </w:pPr>
                </w:p>
              </w:tc>
              <w:tc>
                <w:tcPr>
                  <w:tcW w:w="730" w:type="dxa"/>
                  <w:vMerge w:val="continue"/>
                  <w:noWrap w:val="0"/>
                  <w:vAlign w:val="center"/>
                </w:tcPr>
                <w:p>
                  <w:pPr>
                    <w:spacing w:line="240" w:lineRule="auto"/>
                    <w:jc w:val="center"/>
                  </w:pPr>
                </w:p>
              </w:tc>
              <w:tc>
                <w:tcPr>
                  <w:tcW w:w="613" w:type="dxa"/>
                  <w:vMerge w:val="continue"/>
                  <w:noWrap w:val="0"/>
                  <w:vAlign w:val="center"/>
                </w:tcPr>
                <w:p>
                  <w:pPr>
                    <w:spacing w:line="240" w:lineRule="auto"/>
                    <w:jc w:val="cente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362" w:type="dxa"/>
                  <w:gridSpan w:val="3"/>
                  <w:vMerge w:val="continue"/>
                  <w:noWrap w:val="0"/>
                  <w:vAlign w:val="center"/>
                </w:tcPr>
                <w:p>
                  <w:pPr>
                    <w:spacing w:line="240" w:lineRule="auto"/>
                    <w:jc w:val="center"/>
                  </w:pPr>
                </w:p>
              </w:tc>
              <w:tc>
                <w:tcPr>
                  <w:tcW w:w="1450" w:type="dxa"/>
                  <w:noWrap w:val="0"/>
                  <w:vAlign w:val="center"/>
                </w:tcPr>
                <w:p>
                  <w:pPr>
                    <w:snapToGrid w:val="0"/>
                    <w:spacing w:line="240" w:lineRule="auto"/>
                    <w:jc w:val="center"/>
                  </w:pPr>
                  <w:r>
                    <w:t>废活性炭</w:t>
                  </w:r>
                </w:p>
              </w:tc>
              <w:tc>
                <w:tcPr>
                  <w:tcW w:w="2570" w:type="dxa"/>
                  <w:vMerge w:val="restart"/>
                  <w:noWrap w:val="0"/>
                  <w:vAlign w:val="center"/>
                </w:tcPr>
                <w:p>
                  <w:pPr>
                    <w:spacing w:line="240" w:lineRule="auto"/>
                    <w:jc w:val="center"/>
                  </w:pPr>
                  <w:r>
                    <w:rPr>
                      <w:rFonts w:hint="eastAsia"/>
                      <w:lang w:val="en-US" w:eastAsia="zh-CN"/>
                    </w:rPr>
                    <w:t>依托原有15</w:t>
                  </w:r>
                  <w:r>
                    <w:t>m</w:t>
                  </w:r>
                  <w:r>
                    <w:rPr>
                      <w:vertAlign w:val="superscript"/>
                    </w:rPr>
                    <w:t>2</w:t>
                  </w:r>
                  <w:r>
                    <w:t>危废暂存间，定期转移有资质单位处理</w:t>
                  </w:r>
                </w:p>
              </w:tc>
              <w:tc>
                <w:tcPr>
                  <w:tcW w:w="1697" w:type="dxa"/>
                  <w:vMerge w:val="continue"/>
                  <w:noWrap w:val="0"/>
                  <w:vAlign w:val="center"/>
                </w:tcPr>
                <w:p>
                  <w:pPr>
                    <w:spacing w:line="240" w:lineRule="auto"/>
                    <w:jc w:val="center"/>
                  </w:pPr>
                </w:p>
              </w:tc>
              <w:tc>
                <w:tcPr>
                  <w:tcW w:w="730" w:type="dxa"/>
                  <w:vMerge w:val="continue"/>
                  <w:noWrap w:val="0"/>
                  <w:vAlign w:val="center"/>
                </w:tcPr>
                <w:p>
                  <w:pPr>
                    <w:spacing w:line="240" w:lineRule="auto"/>
                    <w:jc w:val="center"/>
                  </w:pPr>
                </w:p>
              </w:tc>
              <w:tc>
                <w:tcPr>
                  <w:tcW w:w="613" w:type="dxa"/>
                  <w:vMerge w:val="continue"/>
                  <w:noWrap w:val="0"/>
                  <w:vAlign w:val="center"/>
                </w:tcPr>
                <w:p>
                  <w:pPr>
                    <w:spacing w:line="240" w:lineRule="auto"/>
                    <w:jc w:val="cente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Change w:id="1" w:author=" " w:date="2019-01-13T11:53:00Z">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blPrExChange>
              </w:tblPrEx>
              <w:trPr>
                <w:wAfter w:w="0" w:type="auto"/>
                <w:trHeight w:val="140" w:hRule="atLeast"/>
                <w:jc w:val="center"/>
                <w:trPrChange w:id="1" w:author=" " w:date="2019-01-13T11:53:00Z">
                  <w:trPr>
                    <w:gridAfter w:val="1"/>
                    <w:wAfter w:w="0" w:type="dxa"/>
                    <w:trHeight w:val="140" w:hRule="atLeast"/>
                    <w:jc w:val="center"/>
                  </w:trPr>
                </w:trPrChange>
              </w:trPr>
              <w:tc>
                <w:tcPr>
                  <w:tcW w:w="2362" w:type="dxa"/>
                  <w:gridSpan w:val="3"/>
                  <w:vMerge w:val="continue"/>
                  <w:noWrap w:val="0"/>
                  <w:vAlign w:val="center"/>
                  <w:tcPrChange w:id="2" w:author=" " w:date="2019-01-13T11:53:00Z">
                    <w:tcPr>
                      <w:tcW w:w="2291" w:type="dxa"/>
                      <w:gridSpan w:val="3"/>
                      <w:vMerge w:val="continue"/>
                      <w:noWrap w:val="0"/>
                      <w:vAlign w:val="center"/>
                    </w:tcPr>
                  </w:tcPrChange>
                </w:tcPr>
                <w:p>
                  <w:pPr>
                    <w:spacing w:line="240" w:lineRule="auto"/>
                    <w:jc w:val="center"/>
                  </w:pPr>
                </w:p>
              </w:tc>
              <w:tc>
                <w:tcPr>
                  <w:tcW w:w="1450" w:type="dxa"/>
                  <w:noWrap w:val="0"/>
                  <w:vAlign w:val="center"/>
                  <w:tcPrChange w:id="3" w:author=" " w:date="2019-01-13T11:53:00Z">
                    <w:tcPr>
                      <w:tcW w:w="1502" w:type="dxa"/>
                      <w:gridSpan w:val="2"/>
                      <w:noWrap w:val="0"/>
                      <w:vAlign w:val="center"/>
                    </w:tcPr>
                  </w:tcPrChange>
                </w:tcPr>
                <w:p>
                  <w:pPr>
                    <w:snapToGrid w:val="0"/>
                    <w:spacing w:line="240" w:lineRule="auto"/>
                    <w:jc w:val="center"/>
                  </w:pPr>
                  <w:r>
                    <w:t>生活垃圾</w:t>
                  </w:r>
                </w:p>
              </w:tc>
              <w:tc>
                <w:tcPr>
                  <w:tcW w:w="2570" w:type="dxa"/>
                  <w:noWrap w:val="0"/>
                  <w:vAlign w:val="center"/>
                  <w:tcPrChange w:id="4" w:author=" " w:date="2019-01-13T11:53:00Z">
                    <w:tcPr>
                      <w:tcW w:w="2000" w:type="dxa"/>
                      <w:gridSpan w:val="2"/>
                      <w:vMerge w:val="restart"/>
                      <w:noWrap w:val="0"/>
                      <w:vAlign w:val="center"/>
                    </w:tcPr>
                  </w:tcPrChange>
                </w:tcPr>
                <w:p>
                  <w:pPr>
                    <w:spacing w:line="240" w:lineRule="auto"/>
                    <w:jc w:val="center"/>
                  </w:pPr>
                  <w:r>
                    <w:t>环卫部门集中处置</w:t>
                  </w:r>
                </w:p>
              </w:tc>
              <w:tc>
                <w:tcPr>
                  <w:tcW w:w="1697" w:type="dxa"/>
                  <w:vMerge w:val="continue"/>
                  <w:noWrap w:val="0"/>
                  <w:vAlign w:val="center"/>
                  <w:tcPrChange w:id="5" w:author=" " w:date="2019-01-13T11:53:00Z">
                    <w:tcPr>
                      <w:tcW w:w="1276" w:type="dxa"/>
                      <w:gridSpan w:val="2"/>
                      <w:vMerge w:val="continue"/>
                      <w:noWrap w:val="0"/>
                      <w:vAlign w:val="center"/>
                    </w:tcPr>
                  </w:tcPrChange>
                </w:tcPr>
                <w:p>
                  <w:pPr>
                    <w:spacing w:line="240" w:lineRule="auto"/>
                    <w:jc w:val="center"/>
                  </w:pPr>
                </w:p>
              </w:tc>
              <w:tc>
                <w:tcPr>
                  <w:tcW w:w="730" w:type="dxa"/>
                  <w:vMerge w:val="continue"/>
                  <w:noWrap w:val="0"/>
                  <w:vAlign w:val="center"/>
                  <w:tcPrChange w:id="6" w:author=" " w:date="2019-01-13T11:53:00Z">
                    <w:tcPr>
                      <w:tcW w:w="1003" w:type="dxa"/>
                      <w:vMerge w:val="continue"/>
                      <w:noWrap w:val="0"/>
                      <w:vAlign w:val="center"/>
                    </w:tcPr>
                  </w:tcPrChange>
                </w:tcPr>
                <w:p>
                  <w:pPr>
                    <w:spacing w:line="240" w:lineRule="auto"/>
                    <w:jc w:val="center"/>
                  </w:pPr>
                </w:p>
              </w:tc>
              <w:tc>
                <w:tcPr>
                  <w:tcW w:w="613" w:type="dxa"/>
                  <w:vMerge w:val="continue"/>
                  <w:noWrap w:val="0"/>
                  <w:vAlign w:val="center"/>
                  <w:tcPrChange w:id="7" w:author=" " w:date="2019-01-13T11:53:00Z">
                    <w:tcPr>
                      <w:tcW w:w="1068" w:type="dxa"/>
                      <w:gridSpan w:val="3"/>
                      <w:vMerge w:val="continue"/>
                      <w:noWrap w:val="0"/>
                      <w:vAlign w:val="center"/>
                    </w:tcPr>
                  </w:tcPrChange>
                </w:tcPr>
                <w:p>
                  <w:pPr>
                    <w:spacing w:line="240" w:lineRule="auto"/>
                    <w:jc w:val="cente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Change w:id="8" w:author=" " w:date="2019-01-13T11:55:00Z">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blPrExChange>
              </w:tblPrEx>
              <w:trPr>
                <w:wAfter w:w="0" w:type="auto"/>
                <w:trHeight w:val="90" w:hRule="atLeast"/>
                <w:jc w:val="center"/>
                <w:trPrChange w:id="8" w:author=" " w:date="2019-01-13T11:55:00Z">
                  <w:trPr>
                    <w:gridAfter w:val="1"/>
                    <w:wAfter w:w="0" w:type="dxa"/>
                    <w:trHeight w:val="293" w:hRule="atLeast"/>
                    <w:jc w:val="center"/>
                  </w:trPr>
                </w:trPrChange>
              </w:trPr>
              <w:tc>
                <w:tcPr>
                  <w:tcW w:w="1210" w:type="dxa"/>
                  <w:gridSpan w:val="2"/>
                  <w:noWrap w:val="0"/>
                  <w:vAlign w:val="center"/>
                  <w:tcPrChange w:id="9" w:author=" " w:date="2019-01-13T11:55:00Z">
                    <w:tcPr>
                      <w:tcW w:w="1017" w:type="dxa"/>
                      <w:noWrap w:val="0"/>
                      <w:vAlign w:val="center"/>
                    </w:tcPr>
                  </w:tcPrChange>
                </w:tcPr>
                <w:p>
                  <w:pPr>
                    <w:spacing w:line="240" w:lineRule="auto"/>
                    <w:jc w:val="center"/>
                  </w:pPr>
                  <w:r>
                    <w:t>事故应急处理措施</w:t>
                  </w:r>
                </w:p>
              </w:tc>
              <w:tc>
                <w:tcPr>
                  <w:tcW w:w="5172" w:type="dxa"/>
                  <w:gridSpan w:val="3"/>
                  <w:noWrap w:val="0"/>
                  <w:vAlign w:val="center"/>
                  <w:tcPrChange w:id="10" w:author=" " w:date="2019-01-13T11:55:00Z">
                    <w:tcPr>
                      <w:tcW w:w="4776" w:type="dxa"/>
                      <w:gridSpan w:val="6"/>
                      <w:noWrap w:val="0"/>
                      <w:vAlign w:val="center"/>
                    </w:tcPr>
                  </w:tcPrChange>
                </w:tcPr>
                <w:p>
                  <w:pPr>
                    <w:spacing w:line="240" w:lineRule="auto"/>
                    <w:jc w:val="center"/>
                  </w:pPr>
                  <w:r>
                    <w:t>储备环境应急物资和制订应急措施</w:t>
                  </w:r>
                </w:p>
              </w:tc>
              <w:tc>
                <w:tcPr>
                  <w:tcW w:w="1697" w:type="dxa"/>
                  <w:noWrap w:val="0"/>
                  <w:vAlign w:val="center"/>
                  <w:tcPrChange w:id="11" w:author=" " w:date="2019-01-13T11:55:00Z">
                    <w:tcPr>
                      <w:tcW w:w="1276" w:type="dxa"/>
                      <w:gridSpan w:val="2"/>
                      <w:noWrap w:val="0"/>
                      <w:vAlign w:val="center"/>
                    </w:tcPr>
                  </w:tcPrChange>
                </w:tcPr>
                <w:p>
                  <w:pPr>
                    <w:spacing w:line="240" w:lineRule="auto"/>
                    <w:jc w:val="center"/>
                  </w:pPr>
                  <w:r>
                    <w:t>—</w:t>
                  </w:r>
                </w:p>
              </w:tc>
              <w:tc>
                <w:tcPr>
                  <w:tcW w:w="730" w:type="dxa"/>
                  <w:noWrap w:val="0"/>
                  <w:vAlign w:val="center"/>
                  <w:tcPrChange w:id="12" w:author=" " w:date="2019-01-13T11:55:00Z">
                    <w:tcPr>
                      <w:tcW w:w="1003" w:type="dxa"/>
                      <w:noWrap w:val="0"/>
                      <w:vAlign w:val="center"/>
                    </w:tcPr>
                  </w:tcPrChange>
                </w:tcPr>
                <w:p>
                  <w:pPr>
                    <w:spacing w:line="240" w:lineRule="auto"/>
                    <w:jc w:val="center"/>
                    <w:rPr>
                      <w:rFonts w:hint="default"/>
                      <w:lang w:val="en-US" w:eastAsia="zh-CN"/>
                    </w:rPr>
                  </w:pPr>
                  <w:r>
                    <w:rPr>
                      <w:rFonts w:hint="eastAsia"/>
                      <w:lang w:val="en-US" w:eastAsia="zh-CN"/>
                    </w:rPr>
                    <w:t>1</w:t>
                  </w:r>
                </w:p>
              </w:tc>
              <w:tc>
                <w:tcPr>
                  <w:tcW w:w="613" w:type="dxa"/>
                  <w:vMerge w:val="continue"/>
                  <w:noWrap w:val="0"/>
                  <w:vAlign w:val="center"/>
                  <w:tcPrChange w:id="13" w:author=" " w:date="2019-01-13T11:55:00Z">
                    <w:tcPr>
                      <w:tcW w:w="1068" w:type="dxa"/>
                      <w:gridSpan w:val="3"/>
                      <w:vMerge w:val="continue"/>
                      <w:noWrap w:val="0"/>
                      <w:vAlign w:val="center"/>
                    </w:tcPr>
                  </w:tcPrChange>
                </w:tcPr>
                <w:p>
                  <w:pPr>
                    <w:spacing w:line="240" w:lineRule="auto"/>
                    <w:jc w:val="cente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Change w:id="14" w:author=" " w:date="2019-01-13T11:55:00Z">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blPrExChange>
              </w:tblPrEx>
              <w:trPr>
                <w:wAfter w:w="0" w:type="auto"/>
                <w:trHeight w:val="253" w:hRule="atLeast"/>
                <w:jc w:val="center"/>
                <w:trPrChange w:id="14" w:author=" " w:date="2019-01-13T11:55:00Z">
                  <w:trPr>
                    <w:gridAfter w:val="1"/>
                    <w:wAfter w:w="0" w:type="dxa"/>
                    <w:trHeight w:val="253" w:hRule="atLeast"/>
                    <w:jc w:val="center"/>
                  </w:trPr>
                </w:trPrChange>
              </w:trPr>
              <w:tc>
                <w:tcPr>
                  <w:tcW w:w="1210" w:type="dxa"/>
                  <w:gridSpan w:val="2"/>
                  <w:noWrap w:val="0"/>
                  <w:vAlign w:val="center"/>
                  <w:tcPrChange w:id="15" w:author=" " w:date="2019-01-13T11:55:00Z">
                    <w:tcPr>
                      <w:tcW w:w="1017" w:type="dxa"/>
                      <w:noWrap w:val="0"/>
                      <w:vAlign w:val="center"/>
                    </w:tcPr>
                  </w:tcPrChange>
                </w:tcPr>
                <w:p>
                  <w:pPr>
                    <w:spacing w:line="240" w:lineRule="auto"/>
                    <w:jc w:val="center"/>
                  </w:pPr>
                  <w:r>
                    <w:t>环境管理</w:t>
                  </w:r>
                </w:p>
              </w:tc>
              <w:tc>
                <w:tcPr>
                  <w:tcW w:w="5172" w:type="dxa"/>
                  <w:gridSpan w:val="3"/>
                  <w:noWrap w:val="0"/>
                  <w:vAlign w:val="center"/>
                  <w:tcPrChange w:id="16" w:author=" " w:date="2019-01-13T11:55:00Z">
                    <w:tcPr>
                      <w:tcW w:w="4776" w:type="dxa"/>
                      <w:gridSpan w:val="6"/>
                      <w:noWrap w:val="0"/>
                      <w:vAlign w:val="center"/>
                    </w:tcPr>
                  </w:tcPrChange>
                </w:tcPr>
                <w:p>
                  <w:pPr>
                    <w:spacing w:line="240" w:lineRule="auto"/>
                    <w:jc w:val="center"/>
                  </w:pPr>
                  <w:r>
                    <w:t>日常管理专人负责，日常环境监测委托有资质</w:t>
                  </w:r>
                </w:p>
                <w:p>
                  <w:pPr>
                    <w:spacing w:line="240" w:lineRule="auto"/>
                    <w:jc w:val="center"/>
                  </w:pPr>
                  <w:r>
                    <w:t>的社会监测机构进行</w:t>
                  </w:r>
                </w:p>
              </w:tc>
              <w:tc>
                <w:tcPr>
                  <w:tcW w:w="1697" w:type="dxa"/>
                  <w:noWrap w:val="0"/>
                  <w:vAlign w:val="center"/>
                  <w:tcPrChange w:id="17" w:author=" " w:date="2019-01-13T11:55:00Z">
                    <w:tcPr>
                      <w:tcW w:w="1276" w:type="dxa"/>
                      <w:gridSpan w:val="2"/>
                      <w:noWrap w:val="0"/>
                      <w:vAlign w:val="center"/>
                    </w:tcPr>
                  </w:tcPrChange>
                </w:tcPr>
                <w:p>
                  <w:pPr>
                    <w:spacing w:line="240" w:lineRule="auto"/>
                    <w:jc w:val="center"/>
                  </w:pPr>
                  <w:r>
                    <w:t>—</w:t>
                  </w:r>
                </w:p>
              </w:tc>
              <w:tc>
                <w:tcPr>
                  <w:tcW w:w="730" w:type="dxa"/>
                  <w:noWrap w:val="0"/>
                  <w:vAlign w:val="center"/>
                  <w:tcPrChange w:id="18" w:author=" " w:date="2019-01-13T11:55:00Z">
                    <w:tcPr>
                      <w:tcW w:w="1003" w:type="dxa"/>
                      <w:noWrap w:val="0"/>
                      <w:vAlign w:val="center"/>
                    </w:tcPr>
                  </w:tcPrChange>
                </w:tcPr>
                <w:p>
                  <w:pPr>
                    <w:spacing w:line="240" w:lineRule="auto"/>
                    <w:jc w:val="center"/>
                    <w:rPr>
                      <w:rFonts w:hint="eastAsia"/>
                      <w:lang w:eastAsia="zh-CN"/>
                    </w:rPr>
                  </w:pPr>
                  <w:r>
                    <w:rPr>
                      <w:rFonts w:hint="eastAsia"/>
                      <w:lang w:val="en-US" w:eastAsia="zh-CN"/>
                    </w:rPr>
                    <w:t>1</w:t>
                  </w:r>
                </w:p>
              </w:tc>
              <w:tc>
                <w:tcPr>
                  <w:tcW w:w="613" w:type="dxa"/>
                  <w:vMerge w:val="continue"/>
                  <w:noWrap w:val="0"/>
                  <w:vAlign w:val="center"/>
                  <w:tcPrChange w:id="19" w:author=" " w:date="2019-01-13T11:55:00Z">
                    <w:tcPr>
                      <w:tcW w:w="1068" w:type="dxa"/>
                      <w:gridSpan w:val="3"/>
                      <w:vMerge w:val="continue"/>
                      <w:noWrap w:val="0"/>
                      <w:vAlign w:val="center"/>
                    </w:tcPr>
                  </w:tcPrChange>
                </w:tcPr>
                <w:p>
                  <w:pPr>
                    <w:spacing w:line="240" w:lineRule="auto"/>
                    <w:jc w:val="cente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Change w:id="20" w:author=" " w:date="2019-01-13T11:55:00Z">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blPrExChange>
              </w:tblPrEx>
              <w:trPr>
                <w:wAfter w:w="0" w:type="auto"/>
                <w:trHeight w:val="850" w:hRule="atLeast"/>
                <w:jc w:val="center"/>
                <w:trPrChange w:id="20" w:author=" " w:date="2019-01-13T11:55:00Z">
                  <w:trPr>
                    <w:gridAfter w:val="1"/>
                    <w:wAfter w:w="0" w:type="dxa"/>
                    <w:trHeight w:val="850" w:hRule="atLeast"/>
                    <w:jc w:val="center"/>
                  </w:trPr>
                </w:trPrChange>
              </w:trPr>
              <w:tc>
                <w:tcPr>
                  <w:tcW w:w="1210" w:type="dxa"/>
                  <w:gridSpan w:val="2"/>
                  <w:noWrap w:val="0"/>
                  <w:vAlign w:val="center"/>
                  <w:tcPrChange w:id="21" w:author=" " w:date="2019-01-13T11:55:00Z">
                    <w:tcPr>
                      <w:tcW w:w="1017" w:type="dxa"/>
                      <w:noWrap w:val="0"/>
                      <w:vAlign w:val="center"/>
                    </w:tcPr>
                  </w:tcPrChange>
                </w:tcPr>
                <w:p>
                  <w:pPr>
                    <w:spacing w:line="240" w:lineRule="auto"/>
                    <w:jc w:val="center"/>
                  </w:pPr>
                  <w:r>
                    <w:t>清污分流、排污口规范化设置</w:t>
                  </w:r>
                </w:p>
              </w:tc>
              <w:tc>
                <w:tcPr>
                  <w:tcW w:w="5172" w:type="dxa"/>
                  <w:gridSpan w:val="3"/>
                  <w:noWrap w:val="0"/>
                  <w:vAlign w:val="center"/>
                  <w:tcPrChange w:id="22" w:author=" " w:date="2019-01-13T11:55:00Z">
                    <w:tcPr>
                      <w:tcW w:w="4776" w:type="dxa"/>
                      <w:gridSpan w:val="6"/>
                      <w:noWrap w:val="0"/>
                      <w:vAlign w:val="center"/>
                    </w:tcPr>
                  </w:tcPrChange>
                </w:tcPr>
                <w:p>
                  <w:pPr>
                    <w:spacing w:line="240" w:lineRule="auto"/>
                    <w:jc w:val="center"/>
                  </w:pPr>
                  <w:r>
                    <w:t>规范设置排放口。满足苏环控[1997]122号《江苏省排污口设置及规范化整治管理办法》</w:t>
                  </w:r>
                </w:p>
              </w:tc>
              <w:tc>
                <w:tcPr>
                  <w:tcW w:w="1697" w:type="dxa"/>
                  <w:noWrap w:val="0"/>
                  <w:vAlign w:val="center"/>
                  <w:tcPrChange w:id="23" w:author=" " w:date="2019-01-13T11:55:00Z">
                    <w:tcPr>
                      <w:tcW w:w="1276" w:type="dxa"/>
                      <w:gridSpan w:val="2"/>
                      <w:noWrap w:val="0"/>
                      <w:vAlign w:val="center"/>
                    </w:tcPr>
                  </w:tcPrChange>
                </w:tcPr>
                <w:p>
                  <w:pPr>
                    <w:spacing w:line="240" w:lineRule="auto"/>
                    <w:jc w:val="center"/>
                  </w:pPr>
                  <w:r>
                    <w:t>/</w:t>
                  </w:r>
                </w:p>
              </w:tc>
              <w:tc>
                <w:tcPr>
                  <w:tcW w:w="730" w:type="dxa"/>
                  <w:noWrap w:val="0"/>
                  <w:vAlign w:val="center"/>
                  <w:tcPrChange w:id="24" w:author=" " w:date="2019-01-13T11:55:00Z">
                    <w:tcPr>
                      <w:tcW w:w="1003" w:type="dxa"/>
                      <w:noWrap w:val="0"/>
                      <w:vAlign w:val="center"/>
                    </w:tcPr>
                  </w:tcPrChange>
                </w:tcPr>
                <w:p>
                  <w:pPr>
                    <w:spacing w:line="240" w:lineRule="auto"/>
                    <w:jc w:val="center"/>
                  </w:pPr>
                  <w:r>
                    <w:t>-</w:t>
                  </w:r>
                </w:p>
              </w:tc>
              <w:tc>
                <w:tcPr>
                  <w:tcW w:w="613" w:type="dxa"/>
                  <w:vMerge w:val="continue"/>
                  <w:noWrap w:val="0"/>
                  <w:vAlign w:val="center"/>
                  <w:tcPrChange w:id="25" w:author=" " w:date="2019-01-13T11:55:00Z">
                    <w:tcPr>
                      <w:tcW w:w="1068" w:type="dxa"/>
                      <w:gridSpan w:val="3"/>
                      <w:vMerge w:val="continue"/>
                      <w:noWrap w:val="0"/>
                      <w:vAlign w:val="center"/>
                    </w:tcPr>
                  </w:tcPrChange>
                </w:tcPr>
                <w:p>
                  <w:pPr>
                    <w:spacing w:line="240" w:lineRule="auto"/>
                    <w:jc w:val="cente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Change w:id="26" w:author=" " w:date="2019-01-13T11:55:00Z">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blPrExChange>
              </w:tblPrEx>
              <w:trPr>
                <w:wAfter w:w="0" w:type="auto"/>
                <w:trHeight w:val="682" w:hRule="atLeast"/>
                <w:jc w:val="center"/>
                <w:trPrChange w:id="26" w:author=" " w:date="2019-01-13T11:55:00Z">
                  <w:trPr>
                    <w:gridAfter w:val="1"/>
                    <w:wAfter w:w="0" w:type="dxa"/>
                    <w:trHeight w:val="682" w:hRule="atLeast"/>
                    <w:jc w:val="center"/>
                  </w:trPr>
                </w:trPrChange>
              </w:trPr>
              <w:tc>
                <w:tcPr>
                  <w:tcW w:w="1210" w:type="dxa"/>
                  <w:gridSpan w:val="2"/>
                  <w:noWrap w:val="0"/>
                  <w:vAlign w:val="center"/>
                  <w:tcPrChange w:id="27" w:author=" " w:date="2019-01-13T11:55:00Z">
                    <w:tcPr>
                      <w:tcW w:w="1017" w:type="dxa"/>
                      <w:noWrap w:val="0"/>
                      <w:vAlign w:val="center"/>
                    </w:tcPr>
                  </w:tcPrChange>
                </w:tcPr>
                <w:p>
                  <w:pPr>
                    <w:spacing w:line="240" w:lineRule="auto"/>
                    <w:jc w:val="center"/>
                  </w:pPr>
                  <w:r>
                    <w:t>总量平衡具体方案</w:t>
                  </w:r>
                </w:p>
              </w:tc>
              <w:tc>
                <w:tcPr>
                  <w:tcW w:w="6869" w:type="dxa"/>
                  <w:gridSpan w:val="4"/>
                  <w:noWrap w:val="0"/>
                  <w:vAlign w:val="center"/>
                  <w:tcPrChange w:id="28" w:author=" " w:date="2019-01-13T11:55:00Z">
                    <w:tcPr>
                      <w:tcW w:w="6052" w:type="dxa"/>
                      <w:gridSpan w:val="8"/>
                      <w:noWrap w:val="0"/>
                      <w:vAlign w:val="center"/>
                    </w:tcPr>
                  </w:tcPrChange>
                </w:tcPr>
                <w:p>
                  <w:pPr>
                    <w:spacing w:line="240" w:lineRule="auto"/>
                    <w:jc w:val="center"/>
                  </w:pPr>
                  <w:r>
                    <w:t>大气污染物在区域内平衡，水污染物总量在苏州新区</w:t>
                  </w:r>
                </w:p>
                <w:p>
                  <w:pPr>
                    <w:spacing w:line="240" w:lineRule="auto"/>
                    <w:jc w:val="center"/>
                  </w:pPr>
                  <w:r>
                    <w:t>污水处理厂削减总量内平衡；固体废物实行零排放</w:t>
                  </w:r>
                </w:p>
              </w:tc>
              <w:tc>
                <w:tcPr>
                  <w:tcW w:w="730" w:type="dxa"/>
                  <w:noWrap w:val="0"/>
                  <w:vAlign w:val="center"/>
                  <w:tcPrChange w:id="29" w:author=" " w:date="2019-01-13T11:55:00Z">
                    <w:tcPr>
                      <w:tcW w:w="1003" w:type="dxa"/>
                      <w:noWrap w:val="0"/>
                      <w:vAlign w:val="center"/>
                    </w:tcPr>
                  </w:tcPrChange>
                </w:tcPr>
                <w:p>
                  <w:pPr>
                    <w:spacing w:line="240" w:lineRule="auto"/>
                    <w:jc w:val="center"/>
                  </w:pPr>
                  <w:r>
                    <w:t>-</w:t>
                  </w:r>
                </w:p>
              </w:tc>
              <w:tc>
                <w:tcPr>
                  <w:tcW w:w="613" w:type="dxa"/>
                  <w:vMerge w:val="continue"/>
                  <w:noWrap w:val="0"/>
                  <w:vAlign w:val="center"/>
                  <w:tcPrChange w:id="30" w:author=" " w:date="2019-01-13T11:55:00Z">
                    <w:tcPr>
                      <w:tcW w:w="1068" w:type="dxa"/>
                      <w:gridSpan w:val="3"/>
                      <w:vMerge w:val="continue"/>
                      <w:noWrap w:val="0"/>
                      <w:vAlign w:val="center"/>
                    </w:tcPr>
                  </w:tcPrChange>
                </w:tcPr>
                <w:p>
                  <w:pPr>
                    <w:spacing w:line="240" w:lineRule="auto"/>
                    <w:jc w:val="cente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Change w:id="31" w:author=" " w:date="2019-01-13T11:55:00Z">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blPrExChange>
              </w:tblPrEx>
              <w:trPr>
                <w:wAfter w:w="0" w:type="auto"/>
                <w:trHeight w:val="613" w:hRule="atLeast"/>
                <w:jc w:val="center"/>
                <w:trPrChange w:id="31" w:author=" " w:date="2019-01-13T11:55:00Z">
                  <w:trPr>
                    <w:gridAfter w:val="1"/>
                    <w:wAfter w:w="0" w:type="dxa"/>
                    <w:trHeight w:val="613" w:hRule="atLeast"/>
                    <w:jc w:val="center"/>
                  </w:trPr>
                </w:trPrChange>
              </w:trPr>
              <w:tc>
                <w:tcPr>
                  <w:tcW w:w="1210" w:type="dxa"/>
                  <w:gridSpan w:val="2"/>
                  <w:noWrap w:val="0"/>
                  <w:vAlign w:val="center"/>
                  <w:tcPrChange w:id="32" w:author=" " w:date="2019-01-13T11:55:00Z">
                    <w:tcPr>
                      <w:tcW w:w="1017" w:type="dxa"/>
                      <w:noWrap w:val="0"/>
                      <w:vAlign w:val="center"/>
                    </w:tcPr>
                  </w:tcPrChange>
                </w:tcPr>
                <w:p>
                  <w:pPr>
                    <w:spacing w:line="240" w:lineRule="auto"/>
                    <w:jc w:val="center"/>
                  </w:pPr>
                  <w:r>
                    <w:t>卫生防护距离设置</w:t>
                  </w:r>
                </w:p>
              </w:tc>
              <w:tc>
                <w:tcPr>
                  <w:tcW w:w="6869" w:type="dxa"/>
                  <w:gridSpan w:val="4"/>
                  <w:noWrap w:val="0"/>
                  <w:vAlign w:val="center"/>
                  <w:tcPrChange w:id="33" w:author=" " w:date="2019-01-13T11:55:00Z">
                    <w:tcPr>
                      <w:tcW w:w="6052" w:type="dxa"/>
                      <w:gridSpan w:val="8"/>
                      <w:noWrap w:val="0"/>
                      <w:vAlign w:val="center"/>
                    </w:tcPr>
                  </w:tcPrChange>
                </w:tcPr>
                <w:p>
                  <w:pPr>
                    <w:spacing w:line="240" w:lineRule="auto"/>
                    <w:jc w:val="center"/>
                  </w:pPr>
                  <w:r>
                    <w:t>本项以生产车间为边界，设置100m卫生防护距离</w:t>
                  </w:r>
                </w:p>
              </w:tc>
              <w:tc>
                <w:tcPr>
                  <w:tcW w:w="730" w:type="dxa"/>
                  <w:noWrap w:val="0"/>
                  <w:vAlign w:val="center"/>
                  <w:tcPrChange w:id="34" w:author=" " w:date="2019-01-13T11:55:00Z">
                    <w:tcPr>
                      <w:tcW w:w="1003" w:type="dxa"/>
                      <w:noWrap w:val="0"/>
                      <w:vAlign w:val="center"/>
                    </w:tcPr>
                  </w:tcPrChange>
                </w:tcPr>
                <w:p>
                  <w:pPr>
                    <w:spacing w:line="240" w:lineRule="auto"/>
                    <w:jc w:val="center"/>
                  </w:pPr>
                  <w:r>
                    <w:t>-</w:t>
                  </w:r>
                </w:p>
              </w:tc>
              <w:tc>
                <w:tcPr>
                  <w:tcW w:w="613" w:type="dxa"/>
                  <w:vMerge w:val="continue"/>
                  <w:noWrap w:val="0"/>
                  <w:vAlign w:val="center"/>
                  <w:tcPrChange w:id="35" w:author=" " w:date="2019-01-13T11:55:00Z">
                    <w:tcPr>
                      <w:tcW w:w="1068" w:type="dxa"/>
                      <w:gridSpan w:val="3"/>
                      <w:vMerge w:val="continue"/>
                      <w:noWrap w:val="0"/>
                      <w:vAlign w:val="center"/>
                    </w:tcPr>
                  </w:tcPrChange>
                </w:tcPr>
                <w:p>
                  <w:pPr>
                    <w:spacing w:line="240" w:lineRule="auto"/>
                    <w:jc w:val="cente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Change w:id="36" w:author=" " w:date="2019-01-13T11:55:00Z">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blPrExChange>
              </w:tblPrEx>
              <w:trPr>
                <w:wAfter w:w="0" w:type="auto"/>
                <w:trHeight w:val="461" w:hRule="atLeast"/>
                <w:jc w:val="center"/>
                <w:trPrChange w:id="36" w:author=" " w:date="2019-01-13T11:55:00Z">
                  <w:trPr>
                    <w:gridAfter w:val="1"/>
                    <w:wAfter w:w="0" w:type="dxa"/>
                    <w:trHeight w:val="461" w:hRule="atLeast"/>
                    <w:jc w:val="center"/>
                  </w:trPr>
                </w:trPrChange>
              </w:trPr>
              <w:tc>
                <w:tcPr>
                  <w:tcW w:w="1210" w:type="dxa"/>
                  <w:gridSpan w:val="2"/>
                  <w:noWrap w:val="0"/>
                  <w:vAlign w:val="center"/>
                  <w:tcPrChange w:id="37" w:author=" " w:date="2019-01-13T11:55:00Z">
                    <w:tcPr>
                      <w:tcW w:w="1017" w:type="dxa"/>
                      <w:noWrap w:val="0"/>
                      <w:vAlign w:val="center"/>
                    </w:tcPr>
                  </w:tcPrChange>
                </w:tcPr>
                <w:p>
                  <w:pPr>
                    <w:spacing w:line="240" w:lineRule="auto"/>
                    <w:jc w:val="center"/>
                  </w:pPr>
                  <w:r>
                    <w:t>合计</w:t>
                  </w:r>
                </w:p>
              </w:tc>
              <w:tc>
                <w:tcPr>
                  <w:tcW w:w="6869" w:type="dxa"/>
                  <w:gridSpan w:val="4"/>
                  <w:noWrap w:val="0"/>
                  <w:vAlign w:val="center"/>
                  <w:tcPrChange w:id="38" w:author=" " w:date="2019-01-13T11:55:00Z">
                    <w:tcPr>
                      <w:tcW w:w="6052" w:type="dxa"/>
                      <w:gridSpan w:val="8"/>
                      <w:noWrap w:val="0"/>
                      <w:vAlign w:val="center"/>
                    </w:tcPr>
                  </w:tcPrChange>
                </w:tcPr>
                <w:p>
                  <w:pPr>
                    <w:spacing w:line="240" w:lineRule="auto"/>
                    <w:jc w:val="center"/>
                  </w:pPr>
                  <w:r>
                    <w:t>—</w:t>
                  </w:r>
                </w:p>
              </w:tc>
              <w:tc>
                <w:tcPr>
                  <w:tcW w:w="730" w:type="dxa"/>
                  <w:noWrap w:val="0"/>
                  <w:vAlign w:val="center"/>
                  <w:tcPrChange w:id="39" w:author=" " w:date="2019-01-13T11:55:00Z">
                    <w:tcPr>
                      <w:tcW w:w="1003" w:type="dxa"/>
                      <w:noWrap w:val="0"/>
                      <w:vAlign w:val="center"/>
                    </w:tcPr>
                  </w:tcPrChange>
                </w:tcPr>
                <w:p>
                  <w:pPr>
                    <w:spacing w:line="240" w:lineRule="auto"/>
                    <w:jc w:val="center"/>
                    <w:rPr>
                      <w:rFonts w:hint="eastAsia"/>
                      <w:lang w:eastAsia="zh-CN"/>
                    </w:rPr>
                  </w:pPr>
                  <w:r>
                    <w:rPr>
                      <w:rFonts w:hint="eastAsia"/>
                      <w:lang w:val="en-US" w:eastAsia="zh-CN"/>
                    </w:rPr>
                    <w:t>5</w:t>
                  </w:r>
                </w:p>
              </w:tc>
              <w:tc>
                <w:tcPr>
                  <w:tcW w:w="613" w:type="dxa"/>
                  <w:vMerge w:val="continue"/>
                  <w:noWrap w:val="0"/>
                  <w:vAlign w:val="center"/>
                  <w:tcPrChange w:id="40" w:author=" " w:date="2019-01-13T11:55:00Z">
                    <w:tcPr>
                      <w:tcW w:w="1068" w:type="dxa"/>
                      <w:gridSpan w:val="3"/>
                      <w:vMerge w:val="continue"/>
                      <w:noWrap w:val="0"/>
                      <w:vAlign w:val="center"/>
                    </w:tcPr>
                  </w:tcPrChange>
                </w:tcPr>
                <w:p>
                  <w:pPr>
                    <w:spacing w:line="240" w:lineRule="auto"/>
                    <w:jc w:val="center"/>
                  </w:pPr>
                </w:p>
              </w:tc>
            </w:tr>
          </w:tbl>
          <w:p>
            <w:pPr>
              <w:spacing w:line="400" w:lineRule="exact"/>
            </w:pPr>
          </w:p>
          <w:p>
            <w:pPr>
              <w:spacing w:line="400" w:lineRule="exact"/>
            </w:pPr>
          </w:p>
          <w:p>
            <w:pPr>
              <w:spacing w:line="400" w:lineRule="exact"/>
            </w:pPr>
          </w:p>
          <w:p>
            <w:pPr>
              <w:spacing w:line="400" w:lineRule="exact"/>
              <w:ind w:left="-204" w:leftChars="-85" w:firstLine="360" w:firstLineChars="150"/>
            </w:pPr>
          </w:p>
          <w:p>
            <w:pPr>
              <w:pStyle w:val="2"/>
            </w:pPr>
          </w:p>
          <w:p/>
          <w:p>
            <w:pPr>
              <w:pStyle w:val="2"/>
            </w:pPr>
          </w:p>
          <w:p/>
          <w:p>
            <w:pPr>
              <w:pStyle w:val="2"/>
            </w:pPr>
          </w:p>
          <w:p/>
          <w:p>
            <w:pPr>
              <w:pStyle w:val="2"/>
              <w:ind w:left="0" w:leftChars="0" w:firstLine="0" w:firstLineChars="0"/>
            </w:pPr>
          </w:p>
          <w:p/>
          <w:p>
            <w:pPr>
              <w:pStyle w:val="2"/>
            </w:pPr>
          </w:p>
          <w:p/>
          <w:p>
            <w:pPr>
              <w:pStyle w:val="2"/>
            </w:pPr>
          </w:p>
          <w:p>
            <w:pPr>
              <w:pStyle w:val="2"/>
              <w:ind w:left="0" w:leftChars="0" w:firstLine="0" w:firstLineChars="0"/>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38" w:type="dxa"/>
            <w:noWrap w:val="0"/>
            <w:vAlign w:val="top"/>
          </w:tcPr>
          <w:p>
            <w:pPr>
              <w:spacing w:line="400" w:lineRule="exact"/>
              <w:rPr>
                <w:szCs w:val="20"/>
              </w:rPr>
            </w:pPr>
            <w:r>
              <w:t>预审意见：</w:t>
            </w:r>
          </w:p>
          <w:p>
            <w:pPr>
              <w:spacing w:line="400" w:lineRule="exact"/>
              <w:ind w:left="-204" w:leftChars="-85" w:firstLine="660" w:firstLineChars="275"/>
              <w:rPr>
                <w:szCs w:val="20"/>
              </w:rPr>
            </w:pPr>
          </w:p>
          <w:p>
            <w:pPr>
              <w:spacing w:line="400" w:lineRule="exact"/>
              <w:ind w:left="-204" w:leftChars="-85" w:firstLine="660" w:firstLineChars="275"/>
              <w:rPr>
                <w:szCs w:val="20"/>
              </w:rPr>
            </w:pPr>
          </w:p>
          <w:p>
            <w:pPr>
              <w:spacing w:line="400" w:lineRule="exact"/>
              <w:ind w:left="-204" w:leftChars="-85" w:firstLine="660" w:firstLineChars="275"/>
              <w:rPr>
                <w:szCs w:val="20"/>
              </w:rPr>
            </w:pPr>
          </w:p>
          <w:p>
            <w:pPr>
              <w:spacing w:line="400" w:lineRule="exact"/>
              <w:ind w:left="-204" w:leftChars="-85" w:firstLine="660" w:firstLineChars="275"/>
              <w:rPr>
                <w:szCs w:val="20"/>
              </w:rPr>
            </w:pPr>
          </w:p>
          <w:p>
            <w:pPr>
              <w:spacing w:line="400" w:lineRule="exact"/>
              <w:ind w:left="-204" w:leftChars="-85" w:firstLine="660" w:firstLineChars="275"/>
              <w:rPr>
                <w:szCs w:val="20"/>
              </w:rPr>
            </w:pPr>
          </w:p>
          <w:p>
            <w:pPr>
              <w:spacing w:line="400" w:lineRule="exact"/>
              <w:ind w:left="-204" w:leftChars="-85" w:firstLine="660" w:firstLineChars="275"/>
              <w:rPr>
                <w:szCs w:val="20"/>
              </w:rPr>
            </w:pPr>
          </w:p>
          <w:p>
            <w:pPr>
              <w:spacing w:line="400" w:lineRule="exact"/>
              <w:ind w:left="-204" w:leftChars="-85" w:firstLine="660" w:firstLineChars="275"/>
              <w:rPr>
                <w:szCs w:val="20"/>
              </w:rPr>
            </w:pPr>
          </w:p>
          <w:p>
            <w:pPr>
              <w:spacing w:line="400" w:lineRule="exact"/>
              <w:ind w:left="-204" w:leftChars="-85" w:firstLine="660" w:firstLineChars="275"/>
              <w:rPr>
                <w:szCs w:val="20"/>
              </w:rPr>
            </w:pPr>
          </w:p>
          <w:p>
            <w:pPr>
              <w:spacing w:line="400" w:lineRule="exact"/>
              <w:ind w:left="-204" w:leftChars="-85" w:firstLine="660" w:firstLineChars="275"/>
              <w:rPr>
                <w:szCs w:val="20"/>
              </w:rPr>
            </w:pPr>
          </w:p>
          <w:p>
            <w:pPr>
              <w:spacing w:line="400" w:lineRule="exact"/>
              <w:ind w:left="-204" w:leftChars="-85" w:firstLine="660" w:firstLineChars="275"/>
              <w:rPr>
                <w:szCs w:val="20"/>
              </w:rPr>
            </w:pPr>
          </w:p>
          <w:p>
            <w:pPr>
              <w:spacing w:line="400" w:lineRule="exact"/>
              <w:ind w:left="-204" w:leftChars="-85" w:firstLine="660" w:firstLineChars="275"/>
              <w:rPr>
                <w:szCs w:val="20"/>
              </w:rPr>
            </w:pPr>
          </w:p>
          <w:p>
            <w:pPr>
              <w:spacing w:line="400" w:lineRule="exact"/>
              <w:ind w:left="-204" w:leftChars="-85" w:firstLine="660" w:firstLineChars="275"/>
              <w:rPr>
                <w:szCs w:val="20"/>
              </w:rPr>
            </w:pPr>
            <w:r>
              <w:t xml:space="preserve">                                                              公  章</w:t>
            </w:r>
          </w:p>
          <w:p>
            <w:pPr>
              <w:spacing w:line="400" w:lineRule="exact"/>
              <w:ind w:left="-204" w:leftChars="-85" w:firstLine="660" w:firstLineChars="275"/>
              <w:rPr>
                <w:szCs w:val="20"/>
              </w:rPr>
            </w:pPr>
          </w:p>
          <w:p>
            <w:pPr>
              <w:spacing w:line="400" w:lineRule="exact"/>
              <w:ind w:left="-204" w:leftChars="-85" w:firstLine="360" w:firstLineChars="150"/>
            </w:pPr>
            <w: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38" w:type="dxa"/>
            <w:noWrap w:val="0"/>
            <w:vAlign w:val="top"/>
          </w:tcPr>
          <w:p>
            <w:pPr>
              <w:bidi w:val="0"/>
            </w:pPr>
            <w:r>
              <w:t>下一级环境保护行政主管部门审查意见：</w:t>
            </w: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pStyle w:val="2"/>
            </w:pPr>
          </w:p>
          <w:p>
            <w:pPr>
              <w:bidi w:val="0"/>
              <w:ind w:firstLine="6720" w:firstLineChars="2800"/>
            </w:pPr>
            <w:r>
              <w:t>公章</w:t>
            </w:r>
          </w:p>
          <w:p>
            <w:pPr>
              <w:bidi w:val="0"/>
            </w:pPr>
          </w:p>
          <w:p>
            <w:pPr>
              <w:bidi w:val="0"/>
            </w:pPr>
            <w:r>
              <w:t>经办：                         签发：                     年    月    日</w:t>
            </w:r>
          </w:p>
          <w:p>
            <w:pPr>
              <w:spacing w:line="400" w:lineRule="exact"/>
              <w:ind w:left="-204" w:leftChars="-85" w:firstLine="360" w:firstLineChars="1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38" w:type="dxa"/>
            <w:noWrap w:val="0"/>
            <w:vAlign w:val="top"/>
          </w:tcPr>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8" w:type="dxa"/>
                  <w:noWrap w:val="0"/>
                  <w:vAlign w:val="top"/>
                </w:tcPr>
                <w:p>
                  <w:pPr>
                    <w:spacing w:line="400" w:lineRule="exact"/>
                    <w:rPr>
                      <w:szCs w:val="20"/>
                    </w:rPr>
                  </w:pPr>
                  <w:r>
                    <w:t>审批意见：</w:t>
                  </w:r>
                </w:p>
                <w:p>
                  <w:pPr>
                    <w:spacing w:line="400" w:lineRule="exact"/>
                    <w:ind w:firstLine="480" w:firstLineChars="200"/>
                    <w:rPr>
                      <w:szCs w:val="20"/>
                    </w:rPr>
                  </w:pPr>
                </w:p>
                <w:p>
                  <w:pPr>
                    <w:spacing w:line="400" w:lineRule="exact"/>
                    <w:ind w:firstLine="480" w:firstLineChars="200"/>
                    <w:rPr>
                      <w:szCs w:val="20"/>
                    </w:rPr>
                  </w:pPr>
                </w:p>
                <w:p>
                  <w:pPr>
                    <w:spacing w:line="400" w:lineRule="exact"/>
                    <w:ind w:firstLine="480" w:firstLineChars="200"/>
                    <w:rPr>
                      <w:szCs w:val="20"/>
                    </w:rPr>
                  </w:pPr>
                </w:p>
                <w:p>
                  <w:pPr>
                    <w:spacing w:line="400" w:lineRule="exact"/>
                    <w:ind w:firstLine="480" w:firstLineChars="200"/>
                    <w:rPr>
                      <w:szCs w:val="20"/>
                    </w:rPr>
                  </w:pPr>
                </w:p>
                <w:p>
                  <w:pPr>
                    <w:spacing w:line="400" w:lineRule="exact"/>
                    <w:rPr>
                      <w:szCs w:val="20"/>
                    </w:rPr>
                  </w:pPr>
                </w:p>
                <w:p>
                  <w:pPr>
                    <w:spacing w:line="400" w:lineRule="exact"/>
                    <w:ind w:firstLine="480" w:firstLineChars="200"/>
                    <w:rPr>
                      <w:szCs w:val="20"/>
                    </w:rPr>
                  </w:pPr>
                </w:p>
                <w:p>
                  <w:pPr>
                    <w:spacing w:line="400" w:lineRule="exact"/>
                    <w:ind w:firstLine="480" w:firstLineChars="200"/>
                    <w:rPr>
                      <w:szCs w:val="20"/>
                    </w:rPr>
                  </w:pPr>
                </w:p>
                <w:p>
                  <w:pPr>
                    <w:spacing w:line="400" w:lineRule="exact"/>
                    <w:ind w:firstLine="480" w:firstLineChars="200"/>
                    <w:rPr>
                      <w:szCs w:val="20"/>
                    </w:rPr>
                  </w:pPr>
                </w:p>
                <w:p>
                  <w:pPr>
                    <w:spacing w:line="400" w:lineRule="exact"/>
                    <w:ind w:firstLine="480" w:firstLineChars="200"/>
                    <w:rPr>
                      <w:szCs w:val="20"/>
                    </w:rPr>
                  </w:pPr>
                </w:p>
                <w:p>
                  <w:pPr>
                    <w:spacing w:line="400" w:lineRule="exact"/>
                    <w:ind w:firstLine="480" w:firstLineChars="200"/>
                    <w:rPr>
                      <w:szCs w:val="20"/>
                    </w:rPr>
                  </w:pPr>
                </w:p>
                <w:p>
                  <w:pPr>
                    <w:spacing w:line="400" w:lineRule="exact"/>
                    <w:ind w:firstLine="480" w:firstLineChars="200"/>
                    <w:rPr>
                      <w:szCs w:val="20"/>
                    </w:rPr>
                  </w:pPr>
                </w:p>
                <w:p>
                  <w:pPr>
                    <w:spacing w:line="400" w:lineRule="exact"/>
                    <w:ind w:firstLine="480" w:firstLineChars="200"/>
                    <w:rPr>
                      <w:szCs w:val="20"/>
                    </w:rPr>
                  </w:pPr>
                </w:p>
                <w:p>
                  <w:pPr>
                    <w:spacing w:line="400" w:lineRule="exact"/>
                    <w:ind w:firstLine="480" w:firstLineChars="200"/>
                    <w:rPr>
                      <w:szCs w:val="20"/>
                    </w:rPr>
                  </w:pPr>
                </w:p>
                <w:p>
                  <w:pPr>
                    <w:spacing w:line="400" w:lineRule="exact"/>
                    <w:ind w:firstLine="480" w:firstLineChars="200"/>
                    <w:rPr>
                      <w:szCs w:val="20"/>
                    </w:rPr>
                  </w:pPr>
                </w:p>
                <w:p>
                  <w:pPr>
                    <w:spacing w:line="400" w:lineRule="exact"/>
                    <w:ind w:firstLine="480" w:firstLineChars="200"/>
                    <w:rPr>
                      <w:szCs w:val="20"/>
                    </w:rPr>
                  </w:pPr>
                </w:p>
                <w:p>
                  <w:pPr>
                    <w:spacing w:line="400" w:lineRule="exact"/>
                    <w:ind w:firstLine="480" w:firstLineChars="200"/>
                    <w:rPr>
                      <w:szCs w:val="20"/>
                    </w:rPr>
                  </w:pPr>
                </w:p>
                <w:p>
                  <w:pPr>
                    <w:spacing w:line="400" w:lineRule="exact"/>
                    <w:ind w:firstLine="480" w:firstLineChars="200"/>
                    <w:rPr>
                      <w:szCs w:val="20"/>
                    </w:rPr>
                  </w:pPr>
                </w:p>
                <w:p>
                  <w:pPr>
                    <w:spacing w:line="400" w:lineRule="exact"/>
                    <w:rPr>
                      <w:szCs w:val="20"/>
                    </w:rPr>
                  </w:pPr>
                </w:p>
                <w:p>
                  <w:pPr>
                    <w:spacing w:line="400" w:lineRule="exact"/>
                    <w:rPr>
                      <w:szCs w:val="20"/>
                    </w:rPr>
                  </w:pPr>
                </w:p>
                <w:p>
                  <w:pPr>
                    <w:spacing w:line="400" w:lineRule="exact"/>
                    <w:rPr>
                      <w:szCs w:val="20"/>
                    </w:rPr>
                  </w:pPr>
                </w:p>
                <w:p>
                  <w:pPr>
                    <w:spacing w:line="400" w:lineRule="exact"/>
                    <w:rPr>
                      <w:szCs w:val="20"/>
                    </w:rPr>
                  </w:pPr>
                </w:p>
                <w:p>
                  <w:pPr>
                    <w:spacing w:line="400" w:lineRule="exact"/>
                    <w:rPr>
                      <w:szCs w:val="20"/>
                    </w:rPr>
                  </w:pPr>
                </w:p>
                <w:p>
                  <w:pPr>
                    <w:spacing w:line="400" w:lineRule="exact"/>
                    <w:rPr>
                      <w:szCs w:val="20"/>
                    </w:rPr>
                  </w:pPr>
                </w:p>
                <w:p>
                  <w:pPr>
                    <w:spacing w:line="400" w:lineRule="exact"/>
                    <w:rPr>
                      <w:szCs w:val="20"/>
                    </w:rPr>
                  </w:pPr>
                </w:p>
                <w:p>
                  <w:pPr>
                    <w:spacing w:line="400" w:lineRule="exact"/>
                    <w:rPr>
                      <w:szCs w:val="20"/>
                    </w:rPr>
                  </w:pPr>
                </w:p>
                <w:p>
                  <w:pPr>
                    <w:spacing w:line="400" w:lineRule="exact"/>
                    <w:rPr>
                      <w:szCs w:val="20"/>
                    </w:rPr>
                  </w:pPr>
                </w:p>
                <w:p>
                  <w:pPr>
                    <w:spacing w:line="400" w:lineRule="exact"/>
                    <w:rPr>
                      <w:szCs w:val="20"/>
                    </w:rPr>
                  </w:pPr>
                </w:p>
                <w:p>
                  <w:pPr>
                    <w:spacing w:line="400" w:lineRule="exact"/>
                    <w:rPr>
                      <w:szCs w:val="20"/>
                    </w:rPr>
                  </w:pPr>
                </w:p>
                <w:p>
                  <w:pPr>
                    <w:spacing w:line="400" w:lineRule="exact"/>
                    <w:ind w:firstLine="480" w:firstLineChars="200"/>
                    <w:rPr>
                      <w:szCs w:val="20"/>
                    </w:rPr>
                  </w:pPr>
                  <w:r>
                    <w:t xml:space="preserve">                                                         公  章</w:t>
                  </w:r>
                </w:p>
                <w:p>
                  <w:pPr>
                    <w:spacing w:line="400" w:lineRule="exact"/>
                    <w:ind w:firstLine="480" w:firstLineChars="200"/>
                    <w:rPr>
                      <w:szCs w:val="20"/>
                    </w:rPr>
                  </w:pPr>
                </w:p>
                <w:p>
                  <w:pPr>
                    <w:spacing w:line="400" w:lineRule="exact"/>
                    <w:ind w:firstLine="240" w:firstLineChars="100"/>
                  </w:pPr>
                  <w:r>
                    <w:t xml:space="preserve">经办人：                                               年    月    日 </w:t>
                  </w:r>
                </w:p>
                <w:p>
                  <w:pPr>
                    <w:pStyle w:val="51"/>
                    <w:jc w:val="both"/>
                    <w:rPr>
                      <w:rFonts w:ascii="Times New Roman" w:hAnsi="Times New Roman"/>
                    </w:rPr>
                  </w:pPr>
                </w:p>
              </w:tc>
            </w:tr>
          </w:tbl>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8" w:type="dxa"/>
                  <w:noWrap w:val="0"/>
                  <w:vAlign w:val="top"/>
                </w:tcPr>
                <w:p>
                  <w:pPr>
                    <w:snapToGrid w:val="0"/>
                    <w:spacing w:line="324" w:lineRule="auto"/>
                    <w:jc w:val="center"/>
                  </w:pPr>
                  <w:r>
                    <w:t>注  释</w:t>
                  </w:r>
                </w:p>
                <w:p>
                  <w:pPr>
                    <w:snapToGrid w:val="0"/>
                    <w:spacing w:line="324" w:lineRule="auto"/>
                    <w:ind w:firstLine="480" w:firstLineChars="200"/>
                  </w:pPr>
                  <w:r>
                    <w:t>一、本报告表应附以下附件、附图：</w:t>
                  </w:r>
                </w:p>
                <w:p>
                  <w:pPr>
                    <w:snapToGrid w:val="0"/>
                    <w:spacing w:line="324" w:lineRule="auto"/>
                    <w:ind w:firstLine="470" w:firstLineChars="196"/>
                    <w:jc w:val="left"/>
                  </w:pPr>
                  <w:r>
                    <w:t>附图</w:t>
                  </w:r>
                </w:p>
                <w:p>
                  <w:pPr>
                    <w:snapToGrid w:val="0"/>
                    <w:spacing w:line="324" w:lineRule="auto"/>
                    <w:ind w:firstLine="480" w:firstLineChars="200"/>
                  </w:pPr>
                  <w:r>
                    <w:t>附图</w:t>
                  </w:r>
                  <w:r>
                    <w:rPr>
                      <w:rFonts w:hint="eastAsia"/>
                    </w:rPr>
                    <w:t>一：</w:t>
                  </w:r>
                  <w:r>
                    <w:t>建设项目地理位置图</w:t>
                  </w:r>
                </w:p>
                <w:p>
                  <w:pPr>
                    <w:snapToGrid w:val="0"/>
                    <w:spacing w:line="324" w:lineRule="auto"/>
                    <w:ind w:firstLine="480" w:firstLineChars="200"/>
                  </w:pPr>
                  <w:r>
                    <w:t>附图</w:t>
                  </w:r>
                  <w:r>
                    <w:rPr>
                      <w:rFonts w:hint="eastAsia"/>
                    </w:rPr>
                    <w:t>二：</w:t>
                  </w:r>
                  <w:r>
                    <w:t>苏州高新区总体规划图</w:t>
                  </w:r>
                </w:p>
                <w:p>
                  <w:pPr>
                    <w:snapToGrid w:val="0"/>
                    <w:spacing w:line="324" w:lineRule="auto"/>
                    <w:ind w:firstLine="480" w:firstLineChars="200"/>
                  </w:pPr>
                  <w:r>
                    <w:t>附图</w:t>
                  </w:r>
                  <w:r>
                    <w:rPr>
                      <w:rFonts w:hint="eastAsia"/>
                    </w:rPr>
                    <w:t>三：</w:t>
                  </w:r>
                  <w:r>
                    <w:rPr>
                      <w:rFonts w:hint="eastAsia"/>
                      <w:lang w:val="en-US" w:eastAsia="zh-CN"/>
                    </w:rPr>
                    <w:t>厂区</w:t>
                  </w:r>
                  <w:r>
                    <w:t>平面布置图</w:t>
                  </w:r>
                </w:p>
                <w:p>
                  <w:pPr>
                    <w:snapToGrid w:val="0"/>
                    <w:spacing w:line="324" w:lineRule="auto"/>
                    <w:ind w:firstLine="480" w:firstLineChars="200"/>
                  </w:pPr>
                  <w:r>
                    <w:t>附图</w:t>
                  </w:r>
                  <w:r>
                    <w:rPr>
                      <w:rFonts w:hint="eastAsia"/>
                    </w:rPr>
                    <w:t>四：</w:t>
                  </w:r>
                  <w:r>
                    <w:t>项目周围状况图</w:t>
                  </w:r>
                </w:p>
                <w:p>
                  <w:pPr>
                    <w:pStyle w:val="2"/>
                    <w:snapToGrid w:val="0"/>
                    <w:spacing w:line="324" w:lineRule="auto"/>
                    <w:ind w:firstLine="480"/>
                    <w:rPr>
                      <w:rFonts w:hint="eastAsia"/>
                      <w:lang w:val="en-US" w:eastAsia="zh-CN"/>
                    </w:rPr>
                  </w:pPr>
                  <w:r>
                    <w:t>附图</w:t>
                  </w:r>
                  <w:r>
                    <w:rPr>
                      <w:rFonts w:hint="eastAsia"/>
                    </w:rPr>
                    <w:t>五：</w:t>
                  </w:r>
                  <w:r>
                    <w:rPr>
                      <w:rFonts w:hint="eastAsia"/>
                      <w:lang w:val="en-US" w:eastAsia="zh-CN"/>
                    </w:rPr>
                    <w:t>项目敏感目标图</w:t>
                  </w:r>
                </w:p>
                <w:p>
                  <w:pPr>
                    <w:ind w:firstLine="480" w:firstLineChars="200"/>
                    <w:rPr>
                      <w:rFonts w:hint="eastAsia"/>
                    </w:rPr>
                  </w:pPr>
                  <w:r>
                    <w:rPr>
                      <w:rFonts w:hint="eastAsia"/>
                    </w:rPr>
                    <w:t>附件</w:t>
                  </w:r>
                </w:p>
                <w:p>
                  <w:pPr>
                    <w:ind w:firstLine="480" w:firstLineChars="200"/>
                  </w:pPr>
                  <w:r>
                    <w:rPr>
                      <w:rFonts w:hint="eastAsia"/>
                    </w:rPr>
                    <w:t>附件一：营业执照</w:t>
                  </w:r>
                </w:p>
                <w:p>
                  <w:pPr>
                    <w:ind w:firstLine="480" w:firstLineChars="200"/>
                    <w:rPr>
                      <w:rFonts w:hint="default"/>
                      <w:lang w:val="en-US" w:eastAsia="zh-CN"/>
                    </w:rPr>
                  </w:pPr>
                  <w:r>
                    <w:rPr>
                      <w:rFonts w:hint="eastAsia"/>
                    </w:rPr>
                    <w:t>附件二：</w:t>
                  </w:r>
                  <w:r>
                    <w:rPr>
                      <w:rFonts w:hint="eastAsia"/>
                      <w:lang w:val="en-US" w:eastAsia="zh-CN"/>
                    </w:rPr>
                    <w:t>项目备案证</w:t>
                  </w:r>
                </w:p>
                <w:p>
                  <w:pPr>
                    <w:ind w:firstLine="480" w:firstLineChars="200"/>
                    <w:rPr>
                      <w:rFonts w:hint="eastAsia"/>
                      <w:lang w:val="en-US" w:eastAsia="zh-CN"/>
                    </w:rPr>
                  </w:pPr>
                  <w:r>
                    <w:rPr>
                      <w:rFonts w:hint="eastAsia"/>
                    </w:rPr>
                    <w:t>附件三：</w:t>
                  </w:r>
                  <w:r>
                    <w:rPr>
                      <w:rFonts w:hint="eastAsia"/>
                      <w:lang w:val="en-US" w:eastAsia="zh-CN"/>
                    </w:rPr>
                    <w:t>厂房租赁合同</w:t>
                  </w:r>
                </w:p>
                <w:p>
                  <w:pPr>
                    <w:ind w:firstLine="480" w:firstLineChars="200"/>
                    <w:rPr>
                      <w:rFonts w:hint="default"/>
                      <w:lang w:val="en-US" w:eastAsia="zh-CN"/>
                    </w:rPr>
                  </w:pPr>
                  <w:r>
                    <w:rPr>
                      <w:rFonts w:hint="eastAsia"/>
                    </w:rPr>
                    <w:t>附件四：</w:t>
                  </w:r>
                  <w:r>
                    <w:rPr>
                      <w:rFonts w:hint="eastAsia"/>
                      <w:lang w:val="en-US" w:eastAsia="zh-CN"/>
                    </w:rPr>
                    <w:t>危废处置协议及补充协议</w:t>
                  </w:r>
                </w:p>
                <w:p>
                  <w:pPr>
                    <w:pStyle w:val="2"/>
                    <w:rPr>
                      <w:rFonts w:hint="default"/>
                      <w:lang w:val="en-US" w:eastAsia="zh-CN"/>
                    </w:rPr>
                  </w:pPr>
                  <w:r>
                    <w:rPr>
                      <w:rFonts w:hint="eastAsia"/>
                      <w:lang w:val="en-US" w:eastAsia="zh-CN"/>
                    </w:rPr>
                    <w:t>附件五：环境现状检测报告</w:t>
                  </w:r>
                </w:p>
                <w:p>
                  <w:pPr>
                    <w:ind w:firstLine="480" w:firstLineChars="200"/>
                    <w:rPr>
                      <w:rFonts w:hint="eastAsia"/>
                      <w:lang w:val="en-US" w:eastAsia="zh-CN"/>
                    </w:rPr>
                  </w:pPr>
                  <w:r>
                    <w:rPr>
                      <w:rFonts w:hint="eastAsia"/>
                      <w:lang w:val="en-US" w:eastAsia="zh-CN"/>
                    </w:rPr>
                    <w:t>附件六：现有项目批复</w:t>
                  </w:r>
                </w:p>
                <w:p>
                  <w:pPr>
                    <w:pStyle w:val="2"/>
                    <w:rPr>
                      <w:rFonts w:hint="eastAsia"/>
                      <w:lang w:val="en-US" w:eastAsia="zh-CN"/>
                    </w:rPr>
                  </w:pPr>
                  <w:r>
                    <w:rPr>
                      <w:rFonts w:hint="eastAsia"/>
                      <w:lang w:val="en-US" w:eastAsia="zh-CN"/>
                    </w:rPr>
                    <w:t>附件七：建设项目环评审批基础信息表</w:t>
                  </w:r>
                </w:p>
                <w:p>
                  <w:pPr>
                    <w:ind w:firstLine="480" w:firstLineChars="200"/>
                    <w:rPr>
                      <w:rFonts w:hint="default"/>
                      <w:lang w:val="en-US" w:eastAsia="zh-CN"/>
                    </w:rPr>
                  </w:pPr>
                  <w:r>
                    <w:rPr>
                      <w:rFonts w:hint="eastAsia"/>
                      <w:lang w:val="en-US" w:eastAsia="zh-CN"/>
                    </w:rPr>
                    <w:t>附件八：项目自主公示说明</w:t>
                  </w:r>
                </w:p>
              </w:tc>
            </w:tr>
          </w:tbl>
          <w:p>
            <w:pPr>
              <w:spacing w:line="400" w:lineRule="exact"/>
              <w:ind w:left="-204" w:leftChars="-85" w:firstLine="360" w:firstLineChars="150"/>
            </w:pPr>
          </w:p>
        </w:tc>
      </w:tr>
    </w:tbl>
    <w:p>
      <w:pPr>
        <w:rPr>
          <w:rFonts w:hint="eastAsia"/>
          <w:lang w:eastAsia="zh-CN"/>
        </w:rPr>
      </w:pPr>
    </w:p>
    <w:sectPr>
      <w:footerReference r:id="rId7"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Black">
    <w:panose1 w:val="020B0A04020102020204"/>
    <w:charset w:val="00"/>
    <w:family w:val="swiss"/>
    <w:pitch w:val="default"/>
    <w:sig w:usb0="A00002AF" w:usb1="400078FB" w:usb2="00000000" w:usb3="00000000" w:csb0="6000009F" w:csb1="DFD70000"/>
  </w:font>
  <w:font w:name="仿宋">
    <w:panose1 w:val="02010609060101010101"/>
    <w:charset w:val="86"/>
    <w:family w:val="modern"/>
    <w:pitch w:val="default"/>
    <w:sig w:usb0="800002BF" w:usb1="38CF7CFA" w:usb2="00000016" w:usb3="00000000" w:csb0="00040001" w:csb1="00000000"/>
  </w:font>
  <w:font w:name="F2">
    <w:altName w:val="Times New Roman"/>
    <w:panose1 w:val="00000000000000000000"/>
    <w:charset w:val="00"/>
    <w:family w:val="roman"/>
    <w:pitch w:val="default"/>
    <w:sig w:usb0="00000000" w:usb1="00000000" w:usb2="00000000" w:usb3="00000000" w:csb0="00040001" w:csb1="00000000"/>
  </w:font>
  <w:font w:name="方正楷体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E38D50"/>
    <w:multiLevelType w:val="singleLevel"/>
    <w:tmpl w:val="88E38D50"/>
    <w:lvl w:ilvl="0" w:tentative="0">
      <w:start w:val="8"/>
      <w:numFmt w:val="chineseCounting"/>
      <w:suff w:val="nothing"/>
      <w:lvlText w:val="%1、"/>
      <w:lvlJc w:val="left"/>
      <w:rPr>
        <w:rFonts w:hint="eastAsia"/>
      </w:rPr>
    </w:lvl>
  </w:abstractNum>
  <w:abstractNum w:abstractNumId="1">
    <w:nsid w:val="10838155"/>
    <w:multiLevelType w:val="singleLevel"/>
    <w:tmpl w:val="10838155"/>
    <w:lvl w:ilvl="0" w:tentative="0">
      <w:start w:val="5"/>
      <w:numFmt w:val="decimal"/>
      <w:suff w:val="nothing"/>
      <w:lvlText w:val="%1、"/>
      <w:lvlJc w:val="left"/>
    </w:lvl>
  </w:abstractNum>
  <w:abstractNum w:abstractNumId="2">
    <w:nsid w:val="14DD2C3B"/>
    <w:multiLevelType w:val="singleLevel"/>
    <w:tmpl w:val="14DD2C3B"/>
    <w:lvl w:ilvl="0" w:tentative="0">
      <w:start w:val="1"/>
      <w:numFmt w:val="decimal"/>
      <w:suff w:val="nothing"/>
      <w:lvlText w:val="%1、"/>
      <w:lvlJc w:val="left"/>
    </w:lvl>
  </w:abstractNum>
  <w:abstractNum w:abstractNumId="3">
    <w:nsid w:val="2BC446A1"/>
    <w:multiLevelType w:val="singleLevel"/>
    <w:tmpl w:val="2BC446A1"/>
    <w:lvl w:ilvl="0" w:tentative="0">
      <w:start w:val="1"/>
      <w:numFmt w:val="decimal"/>
      <w:lvlText w:val="%1．"/>
      <w:lvlJc w:val="left"/>
      <w:pPr>
        <w:tabs>
          <w:tab w:val="left" w:pos="885"/>
        </w:tabs>
        <w:ind w:left="885" w:hanging="360"/>
      </w:pPr>
      <w:rPr>
        <w:rFonts w:hint="eastAsia"/>
      </w:rPr>
    </w:lvl>
  </w:abstractNum>
  <w:abstractNum w:abstractNumId="4">
    <w:nsid w:val="706E0B61"/>
    <w:multiLevelType w:val="multilevel"/>
    <w:tmpl w:val="706E0B61"/>
    <w:lvl w:ilvl="0" w:tentative="0">
      <w:start w:val="1"/>
      <w:numFmt w:val="decimal"/>
      <w:lvlText w:val="%1、"/>
      <w:lvlJc w:val="left"/>
      <w:pPr>
        <w:ind w:left="852" w:hanging="37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3"/>
  </w:num>
  <w:num w:numId="2">
    <w:abstractNumId w:val="1"/>
  </w:num>
  <w:num w:numId="3">
    <w:abstractNumId w:val="2"/>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E6E38"/>
    <w:rsid w:val="000005DC"/>
    <w:rsid w:val="00000A2D"/>
    <w:rsid w:val="00001A81"/>
    <w:rsid w:val="00001B58"/>
    <w:rsid w:val="00002BD3"/>
    <w:rsid w:val="00002DC7"/>
    <w:rsid w:val="00003C3B"/>
    <w:rsid w:val="00004B79"/>
    <w:rsid w:val="00004B90"/>
    <w:rsid w:val="00005331"/>
    <w:rsid w:val="00005AD3"/>
    <w:rsid w:val="00005BF5"/>
    <w:rsid w:val="00005C4A"/>
    <w:rsid w:val="00005DFB"/>
    <w:rsid w:val="00005F22"/>
    <w:rsid w:val="000065E4"/>
    <w:rsid w:val="000074A1"/>
    <w:rsid w:val="00007A62"/>
    <w:rsid w:val="0001026A"/>
    <w:rsid w:val="00010450"/>
    <w:rsid w:val="0001072D"/>
    <w:rsid w:val="0001135F"/>
    <w:rsid w:val="00011A9A"/>
    <w:rsid w:val="00012E5D"/>
    <w:rsid w:val="00012FC4"/>
    <w:rsid w:val="000132E3"/>
    <w:rsid w:val="00014B21"/>
    <w:rsid w:val="00015F60"/>
    <w:rsid w:val="000169E8"/>
    <w:rsid w:val="00016B9B"/>
    <w:rsid w:val="0001771F"/>
    <w:rsid w:val="00017FF5"/>
    <w:rsid w:val="00020790"/>
    <w:rsid w:val="00020A5B"/>
    <w:rsid w:val="00020D55"/>
    <w:rsid w:val="00020DA2"/>
    <w:rsid w:val="00020FEC"/>
    <w:rsid w:val="000220C4"/>
    <w:rsid w:val="0002379E"/>
    <w:rsid w:val="00023B23"/>
    <w:rsid w:val="00023CD3"/>
    <w:rsid w:val="00024326"/>
    <w:rsid w:val="000248C9"/>
    <w:rsid w:val="00024CEB"/>
    <w:rsid w:val="000250E1"/>
    <w:rsid w:val="00025779"/>
    <w:rsid w:val="00025D80"/>
    <w:rsid w:val="00026F0B"/>
    <w:rsid w:val="0002749C"/>
    <w:rsid w:val="0003060D"/>
    <w:rsid w:val="000306B9"/>
    <w:rsid w:val="000306CE"/>
    <w:rsid w:val="00030914"/>
    <w:rsid w:val="00030C7F"/>
    <w:rsid w:val="00032C52"/>
    <w:rsid w:val="00032E29"/>
    <w:rsid w:val="000339E7"/>
    <w:rsid w:val="00033B2F"/>
    <w:rsid w:val="00034181"/>
    <w:rsid w:val="0003430D"/>
    <w:rsid w:val="00034A94"/>
    <w:rsid w:val="000352B9"/>
    <w:rsid w:val="00035E29"/>
    <w:rsid w:val="00036A99"/>
    <w:rsid w:val="00036FC1"/>
    <w:rsid w:val="00037D67"/>
    <w:rsid w:val="00037EBA"/>
    <w:rsid w:val="000405F8"/>
    <w:rsid w:val="00040A0B"/>
    <w:rsid w:val="00040B89"/>
    <w:rsid w:val="00040CA6"/>
    <w:rsid w:val="00040E1C"/>
    <w:rsid w:val="00042221"/>
    <w:rsid w:val="00043578"/>
    <w:rsid w:val="000438E7"/>
    <w:rsid w:val="00045AC5"/>
    <w:rsid w:val="00047192"/>
    <w:rsid w:val="000471E5"/>
    <w:rsid w:val="0004761B"/>
    <w:rsid w:val="000477CC"/>
    <w:rsid w:val="0005109D"/>
    <w:rsid w:val="0005139A"/>
    <w:rsid w:val="00051E78"/>
    <w:rsid w:val="00053156"/>
    <w:rsid w:val="00053C7A"/>
    <w:rsid w:val="00053CEB"/>
    <w:rsid w:val="0005477A"/>
    <w:rsid w:val="00054D71"/>
    <w:rsid w:val="00055C50"/>
    <w:rsid w:val="00055F44"/>
    <w:rsid w:val="000561DC"/>
    <w:rsid w:val="000566EC"/>
    <w:rsid w:val="000568D3"/>
    <w:rsid w:val="000568F3"/>
    <w:rsid w:val="000603D2"/>
    <w:rsid w:val="0006047B"/>
    <w:rsid w:val="00060CB2"/>
    <w:rsid w:val="00060D74"/>
    <w:rsid w:val="00061299"/>
    <w:rsid w:val="000616AE"/>
    <w:rsid w:val="00061B1D"/>
    <w:rsid w:val="00061C88"/>
    <w:rsid w:val="00061E5B"/>
    <w:rsid w:val="00062203"/>
    <w:rsid w:val="00065273"/>
    <w:rsid w:val="0006745D"/>
    <w:rsid w:val="00067DCC"/>
    <w:rsid w:val="00070317"/>
    <w:rsid w:val="000708A8"/>
    <w:rsid w:val="000717BD"/>
    <w:rsid w:val="00071880"/>
    <w:rsid w:val="00073636"/>
    <w:rsid w:val="000740E9"/>
    <w:rsid w:val="00074396"/>
    <w:rsid w:val="00075695"/>
    <w:rsid w:val="00076382"/>
    <w:rsid w:val="00077330"/>
    <w:rsid w:val="00077B87"/>
    <w:rsid w:val="00080533"/>
    <w:rsid w:val="00080590"/>
    <w:rsid w:val="000807F1"/>
    <w:rsid w:val="00080B33"/>
    <w:rsid w:val="00080DA9"/>
    <w:rsid w:val="00081111"/>
    <w:rsid w:val="00082D8C"/>
    <w:rsid w:val="0008302D"/>
    <w:rsid w:val="00083BF7"/>
    <w:rsid w:val="00083E60"/>
    <w:rsid w:val="000842AE"/>
    <w:rsid w:val="00084739"/>
    <w:rsid w:val="0008478D"/>
    <w:rsid w:val="00084914"/>
    <w:rsid w:val="00084973"/>
    <w:rsid w:val="00084C42"/>
    <w:rsid w:val="000851DB"/>
    <w:rsid w:val="000857FE"/>
    <w:rsid w:val="0008636B"/>
    <w:rsid w:val="0008668C"/>
    <w:rsid w:val="00086CE3"/>
    <w:rsid w:val="000907AE"/>
    <w:rsid w:val="00091A3E"/>
    <w:rsid w:val="0009201C"/>
    <w:rsid w:val="000920C2"/>
    <w:rsid w:val="00092388"/>
    <w:rsid w:val="00093206"/>
    <w:rsid w:val="00093A2C"/>
    <w:rsid w:val="00093E2A"/>
    <w:rsid w:val="00094581"/>
    <w:rsid w:val="00094737"/>
    <w:rsid w:val="00094E01"/>
    <w:rsid w:val="000951CF"/>
    <w:rsid w:val="00095239"/>
    <w:rsid w:val="000952C0"/>
    <w:rsid w:val="00095757"/>
    <w:rsid w:val="00095951"/>
    <w:rsid w:val="00095D88"/>
    <w:rsid w:val="000A07F8"/>
    <w:rsid w:val="000A1188"/>
    <w:rsid w:val="000A16E4"/>
    <w:rsid w:val="000A18E5"/>
    <w:rsid w:val="000A19F2"/>
    <w:rsid w:val="000A1E96"/>
    <w:rsid w:val="000A2B40"/>
    <w:rsid w:val="000A32E7"/>
    <w:rsid w:val="000A3DA4"/>
    <w:rsid w:val="000A50A4"/>
    <w:rsid w:val="000A701B"/>
    <w:rsid w:val="000A7131"/>
    <w:rsid w:val="000A75A4"/>
    <w:rsid w:val="000A799D"/>
    <w:rsid w:val="000B0D9E"/>
    <w:rsid w:val="000B2244"/>
    <w:rsid w:val="000B2527"/>
    <w:rsid w:val="000B2DDA"/>
    <w:rsid w:val="000B4404"/>
    <w:rsid w:val="000B5D3A"/>
    <w:rsid w:val="000B6206"/>
    <w:rsid w:val="000B7A83"/>
    <w:rsid w:val="000C10C3"/>
    <w:rsid w:val="000C1696"/>
    <w:rsid w:val="000C1ACE"/>
    <w:rsid w:val="000C24A7"/>
    <w:rsid w:val="000C47E3"/>
    <w:rsid w:val="000C5C97"/>
    <w:rsid w:val="000C5CEB"/>
    <w:rsid w:val="000C5EA8"/>
    <w:rsid w:val="000C6798"/>
    <w:rsid w:val="000C70CA"/>
    <w:rsid w:val="000D0D1A"/>
    <w:rsid w:val="000D0D40"/>
    <w:rsid w:val="000D1069"/>
    <w:rsid w:val="000D2B81"/>
    <w:rsid w:val="000D31AB"/>
    <w:rsid w:val="000D35C3"/>
    <w:rsid w:val="000D4027"/>
    <w:rsid w:val="000D45A9"/>
    <w:rsid w:val="000D4929"/>
    <w:rsid w:val="000D61B0"/>
    <w:rsid w:val="000D691F"/>
    <w:rsid w:val="000D6F33"/>
    <w:rsid w:val="000D7C5C"/>
    <w:rsid w:val="000E08E4"/>
    <w:rsid w:val="000E0A61"/>
    <w:rsid w:val="000E11FB"/>
    <w:rsid w:val="000E1C72"/>
    <w:rsid w:val="000E213A"/>
    <w:rsid w:val="000E21D0"/>
    <w:rsid w:val="000E4023"/>
    <w:rsid w:val="000E460D"/>
    <w:rsid w:val="000E48CD"/>
    <w:rsid w:val="000E4D1E"/>
    <w:rsid w:val="000E5787"/>
    <w:rsid w:val="000E5E5D"/>
    <w:rsid w:val="000E62D7"/>
    <w:rsid w:val="000E6E22"/>
    <w:rsid w:val="000E7827"/>
    <w:rsid w:val="000E799D"/>
    <w:rsid w:val="000F0054"/>
    <w:rsid w:val="000F0AA3"/>
    <w:rsid w:val="000F123C"/>
    <w:rsid w:val="000F1879"/>
    <w:rsid w:val="000F1900"/>
    <w:rsid w:val="000F1AE8"/>
    <w:rsid w:val="000F1D45"/>
    <w:rsid w:val="000F2AE5"/>
    <w:rsid w:val="000F31F1"/>
    <w:rsid w:val="000F57C1"/>
    <w:rsid w:val="000F6CCE"/>
    <w:rsid w:val="000F70D2"/>
    <w:rsid w:val="000F73A5"/>
    <w:rsid w:val="00100081"/>
    <w:rsid w:val="0010054E"/>
    <w:rsid w:val="001007A9"/>
    <w:rsid w:val="00100A56"/>
    <w:rsid w:val="00101837"/>
    <w:rsid w:val="00102F2A"/>
    <w:rsid w:val="00102FB9"/>
    <w:rsid w:val="00103097"/>
    <w:rsid w:val="00103971"/>
    <w:rsid w:val="00103E6F"/>
    <w:rsid w:val="00104575"/>
    <w:rsid w:val="00104C81"/>
    <w:rsid w:val="001055E0"/>
    <w:rsid w:val="0010710E"/>
    <w:rsid w:val="001073C5"/>
    <w:rsid w:val="00113C46"/>
    <w:rsid w:val="001143D6"/>
    <w:rsid w:val="00114E6A"/>
    <w:rsid w:val="0011554D"/>
    <w:rsid w:val="0011584A"/>
    <w:rsid w:val="00116FB2"/>
    <w:rsid w:val="0011791D"/>
    <w:rsid w:val="00120D61"/>
    <w:rsid w:val="00120FBE"/>
    <w:rsid w:val="001212EB"/>
    <w:rsid w:val="00122010"/>
    <w:rsid w:val="00122036"/>
    <w:rsid w:val="00122E33"/>
    <w:rsid w:val="001238C9"/>
    <w:rsid w:val="00124EB7"/>
    <w:rsid w:val="00124F80"/>
    <w:rsid w:val="001251C9"/>
    <w:rsid w:val="00125980"/>
    <w:rsid w:val="001261A3"/>
    <w:rsid w:val="00126785"/>
    <w:rsid w:val="00127172"/>
    <w:rsid w:val="00127CD3"/>
    <w:rsid w:val="00130CB9"/>
    <w:rsid w:val="001311E7"/>
    <w:rsid w:val="00132FB0"/>
    <w:rsid w:val="00133794"/>
    <w:rsid w:val="00133B12"/>
    <w:rsid w:val="00133BC5"/>
    <w:rsid w:val="00133EA2"/>
    <w:rsid w:val="00134268"/>
    <w:rsid w:val="00134D23"/>
    <w:rsid w:val="00135887"/>
    <w:rsid w:val="00135D48"/>
    <w:rsid w:val="00135DD0"/>
    <w:rsid w:val="00136C44"/>
    <w:rsid w:val="00137684"/>
    <w:rsid w:val="00137F15"/>
    <w:rsid w:val="00140ED3"/>
    <w:rsid w:val="00141058"/>
    <w:rsid w:val="00141318"/>
    <w:rsid w:val="00141542"/>
    <w:rsid w:val="00141E6B"/>
    <w:rsid w:val="00141FBA"/>
    <w:rsid w:val="0014202E"/>
    <w:rsid w:val="0014361B"/>
    <w:rsid w:val="0014375E"/>
    <w:rsid w:val="001444F1"/>
    <w:rsid w:val="00145EDA"/>
    <w:rsid w:val="00150AFF"/>
    <w:rsid w:val="00151075"/>
    <w:rsid w:val="001512B1"/>
    <w:rsid w:val="001512D6"/>
    <w:rsid w:val="00151A5C"/>
    <w:rsid w:val="00151D5E"/>
    <w:rsid w:val="001528F0"/>
    <w:rsid w:val="00152969"/>
    <w:rsid w:val="0015473C"/>
    <w:rsid w:val="00154EE4"/>
    <w:rsid w:val="001554D8"/>
    <w:rsid w:val="00156102"/>
    <w:rsid w:val="001563B2"/>
    <w:rsid w:val="001566C2"/>
    <w:rsid w:val="00157187"/>
    <w:rsid w:val="00157688"/>
    <w:rsid w:val="00157A94"/>
    <w:rsid w:val="00157BFC"/>
    <w:rsid w:val="00157CA4"/>
    <w:rsid w:val="00157CE8"/>
    <w:rsid w:val="001609CF"/>
    <w:rsid w:val="00160CD5"/>
    <w:rsid w:val="001616C9"/>
    <w:rsid w:val="0016357D"/>
    <w:rsid w:val="0016415E"/>
    <w:rsid w:val="00164ABB"/>
    <w:rsid w:val="00165000"/>
    <w:rsid w:val="00165194"/>
    <w:rsid w:val="001654A2"/>
    <w:rsid w:val="001655E0"/>
    <w:rsid w:val="00165D6B"/>
    <w:rsid w:val="00170D23"/>
    <w:rsid w:val="00170E89"/>
    <w:rsid w:val="00172750"/>
    <w:rsid w:val="001728B7"/>
    <w:rsid w:val="00172A30"/>
    <w:rsid w:val="001732A9"/>
    <w:rsid w:val="00176A52"/>
    <w:rsid w:val="001770CF"/>
    <w:rsid w:val="001804E8"/>
    <w:rsid w:val="00180A48"/>
    <w:rsid w:val="00180B2E"/>
    <w:rsid w:val="00183CF5"/>
    <w:rsid w:val="00185158"/>
    <w:rsid w:val="00185688"/>
    <w:rsid w:val="00185B8A"/>
    <w:rsid w:val="00185E1D"/>
    <w:rsid w:val="00187184"/>
    <w:rsid w:val="0019044D"/>
    <w:rsid w:val="00190882"/>
    <w:rsid w:val="00191079"/>
    <w:rsid w:val="00192434"/>
    <w:rsid w:val="00192495"/>
    <w:rsid w:val="001934D1"/>
    <w:rsid w:val="001936D8"/>
    <w:rsid w:val="00193BC4"/>
    <w:rsid w:val="00194037"/>
    <w:rsid w:val="0019442A"/>
    <w:rsid w:val="0019459A"/>
    <w:rsid w:val="001946F1"/>
    <w:rsid w:val="0019478B"/>
    <w:rsid w:val="00195579"/>
    <w:rsid w:val="0019564B"/>
    <w:rsid w:val="00195DBB"/>
    <w:rsid w:val="00196292"/>
    <w:rsid w:val="001964E2"/>
    <w:rsid w:val="00196916"/>
    <w:rsid w:val="00197D9C"/>
    <w:rsid w:val="00197FC9"/>
    <w:rsid w:val="001A0BA9"/>
    <w:rsid w:val="001A18F0"/>
    <w:rsid w:val="001A19ED"/>
    <w:rsid w:val="001A27E1"/>
    <w:rsid w:val="001A3E54"/>
    <w:rsid w:val="001A48D4"/>
    <w:rsid w:val="001A4B7E"/>
    <w:rsid w:val="001A4FC5"/>
    <w:rsid w:val="001A5305"/>
    <w:rsid w:val="001A56C6"/>
    <w:rsid w:val="001A5996"/>
    <w:rsid w:val="001A7D9E"/>
    <w:rsid w:val="001B024C"/>
    <w:rsid w:val="001B0D97"/>
    <w:rsid w:val="001B0DC8"/>
    <w:rsid w:val="001B1383"/>
    <w:rsid w:val="001B14D5"/>
    <w:rsid w:val="001B19F3"/>
    <w:rsid w:val="001B276C"/>
    <w:rsid w:val="001B2C22"/>
    <w:rsid w:val="001B317D"/>
    <w:rsid w:val="001B4977"/>
    <w:rsid w:val="001B4B17"/>
    <w:rsid w:val="001B5008"/>
    <w:rsid w:val="001B5355"/>
    <w:rsid w:val="001B5882"/>
    <w:rsid w:val="001B709B"/>
    <w:rsid w:val="001B72FC"/>
    <w:rsid w:val="001C0207"/>
    <w:rsid w:val="001C136D"/>
    <w:rsid w:val="001C160A"/>
    <w:rsid w:val="001C3212"/>
    <w:rsid w:val="001C34AF"/>
    <w:rsid w:val="001C36E4"/>
    <w:rsid w:val="001C3A72"/>
    <w:rsid w:val="001C452C"/>
    <w:rsid w:val="001C51C4"/>
    <w:rsid w:val="001C52A9"/>
    <w:rsid w:val="001C7615"/>
    <w:rsid w:val="001C7748"/>
    <w:rsid w:val="001D0761"/>
    <w:rsid w:val="001D0ACE"/>
    <w:rsid w:val="001D2615"/>
    <w:rsid w:val="001D27A1"/>
    <w:rsid w:val="001D336C"/>
    <w:rsid w:val="001D5551"/>
    <w:rsid w:val="001D660C"/>
    <w:rsid w:val="001D6BB8"/>
    <w:rsid w:val="001D73E0"/>
    <w:rsid w:val="001D763F"/>
    <w:rsid w:val="001E11A9"/>
    <w:rsid w:val="001E15A9"/>
    <w:rsid w:val="001E19A6"/>
    <w:rsid w:val="001E1EA7"/>
    <w:rsid w:val="001E232D"/>
    <w:rsid w:val="001E35AD"/>
    <w:rsid w:val="001E45BC"/>
    <w:rsid w:val="001E4981"/>
    <w:rsid w:val="001E5661"/>
    <w:rsid w:val="001E60B8"/>
    <w:rsid w:val="001E6EAB"/>
    <w:rsid w:val="001E73A0"/>
    <w:rsid w:val="001E76AE"/>
    <w:rsid w:val="001E792D"/>
    <w:rsid w:val="001E7933"/>
    <w:rsid w:val="001E7FA7"/>
    <w:rsid w:val="001F062B"/>
    <w:rsid w:val="001F17B8"/>
    <w:rsid w:val="001F1878"/>
    <w:rsid w:val="001F1C44"/>
    <w:rsid w:val="001F1F30"/>
    <w:rsid w:val="001F3A26"/>
    <w:rsid w:val="001F3AD0"/>
    <w:rsid w:val="001F5BF1"/>
    <w:rsid w:val="001F78E3"/>
    <w:rsid w:val="00200032"/>
    <w:rsid w:val="002003CD"/>
    <w:rsid w:val="00201303"/>
    <w:rsid w:val="00201BB3"/>
    <w:rsid w:val="00201E55"/>
    <w:rsid w:val="00202563"/>
    <w:rsid w:val="00202851"/>
    <w:rsid w:val="00203B3F"/>
    <w:rsid w:val="002044E0"/>
    <w:rsid w:val="002049F1"/>
    <w:rsid w:val="00204A4C"/>
    <w:rsid w:val="002055AC"/>
    <w:rsid w:val="00205635"/>
    <w:rsid w:val="0020570E"/>
    <w:rsid w:val="002071F2"/>
    <w:rsid w:val="002079DE"/>
    <w:rsid w:val="00210461"/>
    <w:rsid w:val="00210EFC"/>
    <w:rsid w:val="00210F8A"/>
    <w:rsid w:val="002116A5"/>
    <w:rsid w:val="00211F2D"/>
    <w:rsid w:val="002121A6"/>
    <w:rsid w:val="00212B11"/>
    <w:rsid w:val="0021536C"/>
    <w:rsid w:val="0021611C"/>
    <w:rsid w:val="0021661F"/>
    <w:rsid w:val="002168E9"/>
    <w:rsid w:val="00216944"/>
    <w:rsid w:val="00216A2B"/>
    <w:rsid w:val="002176B6"/>
    <w:rsid w:val="002178FC"/>
    <w:rsid w:val="002204D9"/>
    <w:rsid w:val="00220DFA"/>
    <w:rsid w:val="00221638"/>
    <w:rsid w:val="002219A0"/>
    <w:rsid w:val="00222A27"/>
    <w:rsid w:val="00222E00"/>
    <w:rsid w:val="0022346B"/>
    <w:rsid w:val="0022459D"/>
    <w:rsid w:val="00224BEC"/>
    <w:rsid w:val="00225CEB"/>
    <w:rsid w:val="0022654B"/>
    <w:rsid w:val="00226B08"/>
    <w:rsid w:val="00227278"/>
    <w:rsid w:val="002275A3"/>
    <w:rsid w:val="00230A72"/>
    <w:rsid w:val="00232051"/>
    <w:rsid w:val="0023287B"/>
    <w:rsid w:val="00232880"/>
    <w:rsid w:val="002331EF"/>
    <w:rsid w:val="00233B1E"/>
    <w:rsid w:val="00234145"/>
    <w:rsid w:val="002347CD"/>
    <w:rsid w:val="00234A76"/>
    <w:rsid w:val="00234AF5"/>
    <w:rsid w:val="00235A80"/>
    <w:rsid w:val="00235AED"/>
    <w:rsid w:val="00236598"/>
    <w:rsid w:val="002368F1"/>
    <w:rsid w:val="00240988"/>
    <w:rsid w:val="00240ABA"/>
    <w:rsid w:val="00241CFA"/>
    <w:rsid w:val="002423C1"/>
    <w:rsid w:val="00242525"/>
    <w:rsid w:val="00242983"/>
    <w:rsid w:val="00243531"/>
    <w:rsid w:val="00244C8B"/>
    <w:rsid w:val="00244E05"/>
    <w:rsid w:val="00245419"/>
    <w:rsid w:val="00245AC7"/>
    <w:rsid w:val="002461A0"/>
    <w:rsid w:val="002468FF"/>
    <w:rsid w:val="0024719E"/>
    <w:rsid w:val="00247870"/>
    <w:rsid w:val="0025042B"/>
    <w:rsid w:val="00250DC0"/>
    <w:rsid w:val="002517FB"/>
    <w:rsid w:val="00251EB7"/>
    <w:rsid w:val="00252382"/>
    <w:rsid w:val="002530C0"/>
    <w:rsid w:val="00253426"/>
    <w:rsid w:val="00253C3C"/>
    <w:rsid w:val="00254E8E"/>
    <w:rsid w:val="0025637A"/>
    <w:rsid w:val="00263D07"/>
    <w:rsid w:val="002640D8"/>
    <w:rsid w:val="0026417D"/>
    <w:rsid w:val="002651C5"/>
    <w:rsid w:val="00267475"/>
    <w:rsid w:val="00270A89"/>
    <w:rsid w:val="00270DF9"/>
    <w:rsid w:val="00270F0E"/>
    <w:rsid w:val="00271063"/>
    <w:rsid w:val="00271331"/>
    <w:rsid w:val="00271408"/>
    <w:rsid w:val="0027171C"/>
    <w:rsid w:val="0027189F"/>
    <w:rsid w:val="002720DF"/>
    <w:rsid w:val="00273308"/>
    <w:rsid w:val="002734FB"/>
    <w:rsid w:val="00273819"/>
    <w:rsid w:val="00273A25"/>
    <w:rsid w:val="00273DC3"/>
    <w:rsid w:val="00273FF9"/>
    <w:rsid w:val="002743E1"/>
    <w:rsid w:val="0027534C"/>
    <w:rsid w:val="00275C69"/>
    <w:rsid w:val="00275DF8"/>
    <w:rsid w:val="00276354"/>
    <w:rsid w:val="00277712"/>
    <w:rsid w:val="00280283"/>
    <w:rsid w:val="00281200"/>
    <w:rsid w:val="00282588"/>
    <w:rsid w:val="0028299E"/>
    <w:rsid w:val="00282DCE"/>
    <w:rsid w:val="00282F51"/>
    <w:rsid w:val="002854B9"/>
    <w:rsid w:val="0028581D"/>
    <w:rsid w:val="0028642A"/>
    <w:rsid w:val="00287052"/>
    <w:rsid w:val="002876D1"/>
    <w:rsid w:val="00287877"/>
    <w:rsid w:val="00287B2D"/>
    <w:rsid w:val="00287E81"/>
    <w:rsid w:val="0029013A"/>
    <w:rsid w:val="002904C7"/>
    <w:rsid w:val="0029181C"/>
    <w:rsid w:val="0029258D"/>
    <w:rsid w:val="0029263E"/>
    <w:rsid w:val="00292BAB"/>
    <w:rsid w:val="00293824"/>
    <w:rsid w:val="00294229"/>
    <w:rsid w:val="0029448E"/>
    <w:rsid w:val="002951E1"/>
    <w:rsid w:val="002956E2"/>
    <w:rsid w:val="00295ACC"/>
    <w:rsid w:val="00295EC4"/>
    <w:rsid w:val="00295EFD"/>
    <w:rsid w:val="00296C8C"/>
    <w:rsid w:val="002970D7"/>
    <w:rsid w:val="00297631"/>
    <w:rsid w:val="00297B51"/>
    <w:rsid w:val="002A090C"/>
    <w:rsid w:val="002A1AAD"/>
    <w:rsid w:val="002A256B"/>
    <w:rsid w:val="002A2FB5"/>
    <w:rsid w:val="002A41BA"/>
    <w:rsid w:val="002A4299"/>
    <w:rsid w:val="002A4DA7"/>
    <w:rsid w:val="002A5101"/>
    <w:rsid w:val="002A6B85"/>
    <w:rsid w:val="002A6FC2"/>
    <w:rsid w:val="002A78D3"/>
    <w:rsid w:val="002A7D9A"/>
    <w:rsid w:val="002B0504"/>
    <w:rsid w:val="002B081F"/>
    <w:rsid w:val="002B11C5"/>
    <w:rsid w:val="002B23E3"/>
    <w:rsid w:val="002B4038"/>
    <w:rsid w:val="002B4C5F"/>
    <w:rsid w:val="002B4DA3"/>
    <w:rsid w:val="002B5F3F"/>
    <w:rsid w:val="002B610B"/>
    <w:rsid w:val="002B6BCC"/>
    <w:rsid w:val="002B6BE4"/>
    <w:rsid w:val="002B6C8E"/>
    <w:rsid w:val="002B6F1D"/>
    <w:rsid w:val="002B77B3"/>
    <w:rsid w:val="002B7A78"/>
    <w:rsid w:val="002C0CE7"/>
    <w:rsid w:val="002C1848"/>
    <w:rsid w:val="002C1DD4"/>
    <w:rsid w:val="002C1E1D"/>
    <w:rsid w:val="002C2CBB"/>
    <w:rsid w:val="002C3E6D"/>
    <w:rsid w:val="002C4E05"/>
    <w:rsid w:val="002C5480"/>
    <w:rsid w:val="002C553A"/>
    <w:rsid w:val="002C56E2"/>
    <w:rsid w:val="002C7197"/>
    <w:rsid w:val="002C7426"/>
    <w:rsid w:val="002C7816"/>
    <w:rsid w:val="002D01ED"/>
    <w:rsid w:val="002D0DC4"/>
    <w:rsid w:val="002D198E"/>
    <w:rsid w:val="002D1CDB"/>
    <w:rsid w:val="002D1F7B"/>
    <w:rsid w:val="002D215B"/>
    <w:rsid w:val="002D28DB"/>
    <w:rsid w:val="002D3892"/>
    <w:rsid w:val="002D72FA"/>
    <w:rsid w:val="002D7302"/>
    <w:rsid w:val="002D73B8"/>
    <w:rsid w:val="002D7460"/>
    <w:rsid w:val="002D75C4"/>
    <w:rsid w:val="002D78E2"/>
    <w:rsid w:val="002D7CCA"/>
    <w:rsid w:val="002E1B1F"/>
    <w:rsid w:val="002E1C66"/>
    <w:rsid w:val="002E4139"/>
    <w:rsid w:val="002E48F6"/>
    <w:rsid w:val="002E4A70"/>
    <w:rsid w:val="002E4EA0"/>
    <w:rsid w:val="002E5038"/>
    <w:rsid w:val="002E5CD4"/>
    <w:rsid w:val="002E62FF"/>
    <w:rsid w:val="002E6FF3"/>
    <w:rsid w:val="002E7618"/>
    <w:rsid w:val="002E7E67"/>
    <w:rsid w:val="002E7F8E"/>
    <w:rsid w:val="002F0DA0"/>
    <w:rsid w:val="002F1235"/>
    <w:rsid w:val="002F195D"/>
    <w:rsid w:val="002F266E"/>
    <w:rsid w:val="002F28E2"/>
    <w:rsid w:val="002F2B19"/>
    <w:rsid w:val="002F338D"/>
    <w:rsid w:val="002F33AA"/>
    <w:rsid w:val="002F34A1"/>
    <w:rsid w:val="002F415A"/>
    <w:rsid w:val="002F4283"/>
    <w:rsid w:val="002F60A0"/>
    <w:rsid w:val="002F6377"/>
    <w:rsid w:val="002F64E7"/>
    <w:rsid w:val="002F6A9F"/>
    <w:rsid w:val="003001FE"/>
    <w:rsid w:val="0030073B"/>
    <w:rsid w:val="0030129B"/>
    <w:rsid w:val="00301577"/>
    <w:rsid w:val="00301918"/>
    <w:rsid w:val="00302207"/>
    <w:rsid w:val="00303990"/>
    <w:rsid w:val="00304A6B"/>
    <w:rsid w:val="00305D34"/>
    <w:rsid w:val="003066E0"/>
    <w:rsid w:val="00306D98"/>
    <w:rsid w:val="00310421"/>
    <w:rsid w:val="0031047A"/>
    <w:rsid w:val="00310D71"/>
    <w:rsid w:val="00312333"/>
    <w:rsid w:val="003124C7"/>
    <w:rsid w:val="00313C22"/>
    <w:rsid w:val="00313C93"/>
    <w:rsid w:val="00313DC6"/>
    <w:rsid w:val="00313F98"/>
    <w:rsid w:val="00313F99"/>
    <w:rsid w:val="00314EFC"/>
    <w:rsid w:val="00314FB6"/>
    <w:rsid w:val="0031516F"/>
    <w:rsid w:val="003153CD"/>
    <w:rsid w:val="003153DD"/>
    <w:rsid w:val="00315467"/>
    <w:rsid w:val="00315856"/>
    <w:rsid w:val="0031668E"/>
    <w:rsid w:val="00316718"/>
    <w:rsid w:val="00316D2E"/>
    <w:rsid w:val="0031780D"/>
    <w:rsid w:val="00317C1B"/>
    <w:rsid w:val="00320413"/>
    <w:rsid w:val="00320AF7"/>
    <w:rsid w:val="0032190C"/>
    <w:rsid w:val="00321F43"/>
    <w:rsid w:val="00322A63"/>
    <w:rsid w:val="0032323E"/>
    <w:rsid w:val="00323915"/>
    <w:rsid w:val="00323D18"/>
    <w:rsid w:val="00325F03"/>
    <w:rsid w:val="0032635C"/>
    <w:rsid w:val="003268C5"/>
    <w:rsid w:val="00326E3B"/>
    <w:rsid w:val="00326EB9"/>
    <w:rsid w:val="00330551"/>
    <w:rsid w:val="003309A4"/>
    <w:rsid w:val="00330A8D"/>
    <w:rsid w:val="003313A8"/>
    <w:rsid w:val="003319CB"/>
    <w:rsid w:val="003321EE"/>
    <w:rsid w:val="00333AC2"/>
    <w:rsid w:val="00333FA2"/>
    <w:rsid w:val="003357E9"/>
    <w:rsid w:val="00335DA5"/>
    <w:rsid w:val="00336399"/>
    <w:rsid w:val="0033748F"/>
    <w:rsid w:val="003374C7"/>
    <w:rsid w:val="003378CB"/>
    <w:rsid w:val="00337955"/>
    <w:rsid w:val="00337BDC"/>
    <w:rsid w:val="003407DF"/>
    <w:rsid w:val="00340C29"/>
    <w:rsid w:val="00340CB2"/>
    <w:rsid w:val="00340F37"/>
    <w:rsid w:val="00340FEF"/>
    <w:rsid w:val="003415FD"/>
    <w:rsid w:val="00341A11"/>
    <w:rsid w:val="0034236D"/>
    <w:rsid w:val="003428E3"/>
    <w:rsid w:val="00342A2D"/>
    <w:rsid w:val="0034383B"/>
    <w:rsid w:val="00343B73"/>
    <w:rsid w:val="003441A3"/>
    <w:rsid w:val="0034429C"/>
    <w:rsid w:val="00344AE2"/>
    <w:rsid w:val="00344BB3"/>
    <w:rsid w:val="00344EFC"/>
    <w:rsid w:val="00345B3C"/>
    <w:rsid w:val="00345D71"/>
    <w:rsid w:val="00346034"/>
    <w:rsid w:val="00346910"/>
    <w:rsid w:val="00346AF4"/>
    <w:rsid w:val="00346F21"/>
    <w:rsid w:val="00347300"/>
    <w:rsid w:val="003505F6"/>
    <w:rsid w:val="003507A3"/>
    <w:rsid w:val="003518FD"/>
    <w:rsid w:val="0035242D"/>
    <w:rsid w:val="003526BA"/>
    <w:rsid w:val="00352B6B"/>
    <w:rsid w:val="00353A5F"/>
    <w:rsid w:val="00353DCC"/>
    <w:rsid w:val="00353F77"/>
    <w:rsid w:val="003542DA"/>
    <w:rsid w:val="00354465"/>
    <w:rsid w:val="00354C96"/>
    <w:rsid w:val="00354EBE"/>
    <w:rsid w:val="0035532D"/>
    <w:rsid w:val="003562C0"/>
    <w:rsid w:val="003569C2"/>
    <w:rsid w:val="00356A6A"/>
    <w:rsid w:val="00356E95"/>
    <w:rsid w:val="00360112"/>
    <w:rsid w:val="00360381"/>
    <w:rsid w:val="00360B25"/>
    <w:rsid w:val="00360CDD"/>
    <w:rsid w:val="00361575"/>
    <w:rsid w:val="003629B6"/>
    <w:rsid w:val="00362AA4"/>
    <w:rsid w:val="00362BAE"/>
    <w:rsid w:val="00362C37"/>
    <w:rsid w:val="00362F57"/>
    <w:rsid w:val="00363272"/>
    <w:rsid w:val="00363463"/>
    <w:rsid w:val="00363D02"/>
    <w:rsid w:val="00364065"/>
    <w:rsid w:val="003644EE"/>
    <w:rsid w:val="00364632"/>
    <w:rsid w:val="00364EC3"/>
    <w:rsid w:val="00364F7E"/>
    <w:rsid w:val="00365356"/>
    <w:rsid w:val="00365F52"/>
    <w:rsid w:val="00366D72"/>
    <w:rsid w:val="00366D96"/>
    <w:rsid w:val="00370AA8"/>
    <w:rsid w:val="003725E8"/>
    <w:rsid w:val="00372B5C"/>
    <w:rsid w:val="00372D12"/>
    <w:rsid w:val="00372F34"/>
    <w:rsid w:val="00373307"/>
    <w:rsid w:val="00375091"/>
    <w:rsid w:val="00375501"/>
    <w:rsid w:val="003756AF"/>
    <w:rsid w:val="003764D9"/>
    <w:rsid w:val="00376DAB"/>
    <w:rsid w:val="00377CD0"/>
    <w:rsid w:val="0038091B"/>
    <w:rsid w:val="0038252F"/>
    <w:rsid w:val="0038400C"/>
    <w:rsid w:val="003843C7"/>
    <w:rsid w:val="0038462B"/>
    <w:rsid w:val="003846DE"/>
    <w:rsid w:val="00384DBF"/>
    <w:rsid w:val="0038607C"/>
    <w:rsid w:val="00386387"/>
    <w:rsid w:val="003872DC"/>
    <w:rsid w:val="003876E0"/>
    <w:rsid w:val="00387777"/>
    <w:rsid w:val="00387E00"/>
    <w:rsid w:val="0039043A"/>
    <w:rsid w:val="003904BB"/>
    <w:rsid w:val="00390B45"/>
    <w:rsid w:val="00390D87"/>
    <w:rsid w:val="00391865"/>
    <w:rsid w:val="003918BD"/>
    <w:rsid w:val="0039351B"/>
    <w:rsid w:val="003935B1"/>
    <w:rsid w:val="003935D2"/>
    <w:rsid w:val="00393AAC"/>
    <w:rsid w:val="003940F9"/>
    <w:rsid w:val="00394E63"/>
    <w:rsid w:val="003950BF"/>
    <w:rsid w:val="00396030"/>
    <w:rsid w:val="0039635C"/>
    <w:rsid w:val="003963AA"/>
    <w:rsid w:val="00397FF1"/>
    <w:rsid w:val="003A0E0B"/>
    <w:rsid w:val="003A2565"/>
    <w:rsid w:val="003A25A1"/>
    <w:rsid w:val="003A2A3E"/>
    <w:rsid w:val="003A2F3E"/>
    <w:rsid w:val="003A3313"/>
    <w:rsid w:val="003A4096"/>
    <w:rsid w:val="003A42C0"/>
    <w:rsid w:val="003A4942"/>
    <w:rsid w:val="003A5344"/>
    <w:rsid w:val="003A5F15"/>
    <w:rsid w:val="003A60C3"/>
    <w:rsid w:val="003A6B95"/>
    <w:rsid w:val="003B02ED"/>
    <w:rsid w:val="003B041A"/>
    <w:rsid w:val="003B169A"/>
    <w:rsid w:val="003B20CD"/>
    <w:rsid w:val="003B218C"/>
    <w:rsid w:val="003B3167"/>
    <w:rsid w:val="003B3A43"/>
    <w:rsid w:val="003B46A7"/>
    <w:rsid w:val="003B508B"/>
    <w:rsid w:val="003B5A96"/>
    <w:rsid w:val="003B6162"/>
    <w:rsid w:val="003B67AD"/>
    <w:rsid w:val="003C17B2"/>
    <w:rsid w:val="003C1F85"/>
    <w:rsid w:val="003C2162"/>
    <w:rsid w:val="003C2FA9"/>
    <w:rsid w:val="003C300C"/>
    <w:rsid w:val="003C4AD6"/>
    <w:rsid w:val="003C6715"/>
    <w:rsid w:val="003C6742"/>
    <w:rsid w:val="003C6B46"/>
    <w:rsid w:val="003C7DF4"/>
    <w:rsid w:val="003D2783"/>
    <w:rsid w:val="003D2998"/>
    <w:rsid w:val="003D3389"/>
    <w:rsid w:val="003D3748"/>
    <w:rsid w:val="003D4FC9"/>
    <w:rsid w:val="003D5BDE"/>
    <w:rsid w:val="003D6BB7"/>
    <w:rsid w:val="003D7A7E"/>
    <w:rsid w:val="003D7D17"/>
    <w:rsid w:val="003E01A4"/>
    <w:rsid w:val="003E0309"/>
    <w:rsid w:val="003E0317"/>
    <w:rsid w:val="003E05C5"/>
    <w:rsid w:val="003E0F9F"/>
    <w:rsid w:val="003E10B7"/>
    <w:rsid w:val="003E1646"/>
    <w:rsid w:val="003E170B"/>
    <w:rsid w:val="003E1969"/>
    <w:rsid w:val="003E1EDD"/>
    <w:rsid w:val="003E20D0"/>
    <w:rsid w:val="003E2516"/>
    <w:rsid w:val="003E3550"/>
    <w:rsid w:val="003E3708"/>
    <w:rsid w:val="003E4A7A"/>
    <w:rsid w:val="003E4CC0"/>
    <w:rsid w:val="003E749B"/>
    <w:rsid w:val="003E779A"/>
    <w:rsid w:val="003F0CE8"/>
    <w:rsid w:val="003F12EC"/>
    <w:rsid w:val="003F1DDD"/>
    <w:rsid w:val="003F25B5"/>
    <w:rsid w:val="003F30D1"/>
    <w:rsid w:val="003F3C70"/>
    <w:rsid w:val="003F4826"/>
    <w:rsid w:val="003F4C25"/>
    <w:rsid w:val="003F4FD3"/>
    <w:rsid w:val="003F5D5B"/>
    <w:rsid w:val="003F5E99"/>
    <w:rsid w:val="003F60B8"/>
    <w:rsid w:val="003F6B8F"/>
    <w:rsid w:val="003F6C9B"/>
    <w:rsid w:val="003F7114"/>
    <w:rsid w:val="003F7D43"/>
    <w:rsid w:val="003F7E10"/>
    <w:rsid w:val="00400534"/>
    <w:rsid w:val="004010F4"/>
    <w:rsid w:val="004015E1"/>
    <w:rsid w:val="004018DD"/>
    <w:rsid w:val="00401F4C"/>
    <w:rsid w:val="00402595"/>
    <w:rsid w:val="00402934"/>
    <w:rsid w:val="00403461"/>
    <w:rsid w:val="00403A54"/>
    <w:rsid w:val="004040F0"/>
    <w:rsid w:val="00404114"/>
    <w:rsid w:val="00404B3D"/>
    <w:rsid w:val="00404F5F"/>
    <w:rsid w:val="0040578B"/>
    <w:rsid w:val="00405A92"/>
    <w:rsid w:val="00405E74"/>
    <w:rsid w:val="00410E7A"/>
    <w:rsid w:val="004115F7"/>
    <w:rsid w:val="00411D8F"/>
    <w:rsid w:val="00412095"/>
    <w:rsid w:val="00413655"/>
    <w:rsid w:val="004136FC"/>
    <w:rsid w:val="00413ABC"/>
    <w:rsid w:val="00413F7B"/>
    <w:rsid w:val="0041416D"/>
    <w:rsid w:val="00414558"/>
    <w:rsid w:val="0041487D"/>
    <w:rsid w:val="00415928"/>
    <w:rsid w:val="00416299"/>
    <w:rsid w:val="004166B2"/>
    <w:rsid w:val="0041753A"/>
    <w:rsid w:val="00417A69"/>
    <w:rsid w:val="00417C67"/>
    <w:rsid w:val="00422152"/>
    <w:rsid w:val="004226DF"/>
    <w:rsid w:val="00422F4D"/>
    <w:rsid w:val="00425A19"/>
    <w:rsid w:val="00426334"/>
    <w:rsid w:val="004263D9"/>
    <w:rsid w:val="004266AD"/>
    <w:rsid w:val="004267D9"/>
    <w:rsid w:val="004269F3"/>
    <w:rsid w:val="00426E1E"/>
    <w:rsid w:val="00426EFB"/>
    <w:rsid w:val="00426FBB"/>
    <w:rsid w:val="004272F9"/>
    <w:rsid w:val="004277F3"/>
    <w:rsid w:val="004309D8"/>
    <w:rsid w:val="0043125C"/>
    <w:rsid w:val="00431790"/>
    <w:rsid w:val="00431950"/>
    <w:rsid w:val="00431B73"/>
    <w:rsid w:val="00432756"/>
    <w:rsid w:val="00432CB1"/>
    <w:rsid w:val="00433599"/>
    <w:rsid w:val="00433899"/>
    <w:rsid w:val="00433C9E"/>
    <w:rsid w:val="00434CD5"/>
    <w:rsid w:val="004358C9"/>
    <w:rsid w:val="00436BC3"/>
    <w:rsid w:val="00436BC6"/>
    <w:rsid w:val="0043778A"/>
    <w:rsid w:val="00440252"/>
    <w:rsid w:val="00441EF9"/>
    <w:rsid w:val="00442145"/>
    <w:rsid w:val="00443F77"/>
    <w:rsid w:val="004440DB"/>
    <w:rsid w:val="0044433F"/>
    <w:rsid w:val="00445080"/>
    <w:rsid w:val="00445852"/>
    <w:rsid w:val="00445F66"/>
    <w:rsid w:val="004463A1"/>
    <w:rsid w:val="00446945"/>
    <w:rsid w:val="00446D26"/>
    <w:rsid w:val="004479A4"/>
    <w:rsid w:val="00447BD6"/>
    <w:rsid w:val="00447D9A"/>
    <w:rsid w:val="00450EEE"/>
    <w:rsid w:val="004515D5"/>
    <w:rsid w:val="00453A4A"/>
    <w:rsid w:val="004545D1"/>
    <w:rsid w:val="0045467D"/>
    <w:rsid w:val="0045497C"/>
    <w:rsid w:val="00454E66"/>
    <w:rsid w:val="004551D2"/>
    <w:rsid w:val="00455500"/>
    <w:rsid w:val="0045666E"/>
    <w:rsid w:val="00456C38"/>
    <w:rsid w:val="00456EFA"/>
    <w:rsid w:val="00460984"/>
    <w:rsid w:val="00460A6B"/>
    <w:rsid w:val="0046119C"/>
    <w:rsid w:val="00461219"/>
    <w:rsid w:val="00462732"/>
    <w:rsid w:val="0046528E"/>
    <w:rsid w:val="0046544A"/>
    <w:rsid w:val="004654A5"/>
    <w:rsid w:val="00466269"/>
    <w:rsid w:val="00466643"/>
    <w:rsid w:val="00466CC0"/>
    <w:rsid w:val="00467677"/>
    <w:rsid w:val="00467CC5"/>
    <w:rsid w:val="004706E0"/>
    <w:rsid w:val="004726ED"/>
    <w:rsid w:val="00472F81"/>
    <w:rsid w:val="004735D6"/>
    <w:rsid w:val="004748FC"/>
    <w:rsid w:val="004754F1"/>
    <w:rsid w:val="004769FB"/>
    <w:rsid w:val="00476CFF"/>
    <w:rsid w:val="0047768E"/>
    <w:rsid w:val="0048053B"/>
    <w:rsid w:val="0048053D"/>
    <w:rsid w:val="0048056B"/>
    <w:rsid w:val="004824FE"/>
    <w:rsid w:val="00482A1D"/>
    <w:rsid w:val="00483256"/>
    <w:rsid w:val="004834CD"/>
    <w:rsid w:val="00483618"/>
    <w:rsid w:val="00484DFA"/>
    <w:rsid w:val="00484FB7"/>
    <w:rsid w:val="00485A2B"/>
    <w:rsid w:val="00485A8D"/>
    <w:rsid w:val="00485F54"/>
    <w:rsid w:val="00486FAE"/>
    <w:rsid w:val="0049053D"/>
    <w:rsid w:val="00490568"/>
    <w:rsid w:val="00490ABF"/>
    <w:rsid w:val="00490BF7"/>
    <w:rsid w:val="00490CA2"/>
    <w:rsid w:val="004910EB"/>
    <w:rsid w:val="0049124E"/>
    <w:rsid w:val="004931FD"/>
    <w:rsid w:val="00493259"/>
    <w:rsid w:val="00493AD4"/>
    <w:rsid w:val="00493F43"/>
    <w:rsid w:val="00495456"/>
    <w:rsid w:val="00496A31"/>
    <w:rsid w:val="00497989"/>
    <w:rsid w:val="004A010A"/>
    <w:rsid w:val="004A05BC"/>
    <w:rsid w:val="004A0F7E"/>
    <w:rsid w:val="004A0FAD"/>
    <w:rsid w:val="004A1A9E"/>
    <w:rsid w:val="004A1C82"/>
    <w:rsid w:val="004A2C06"/>
    <w:rsid w:val="004A2F59"/>
    <w:rsid w:val="004A5161"/>
    <w:rsid w:val="004A54C2"/>
    <w:rsid w:val="004A6D6E"/>
    <w:rsid w:val="004B06F9"/>
    <w:rsid w:val="004B093F"/>
    <w:rsid w:val="004B0EE8"/>
    <w:rsid w:val="004B1661"/>
    <w:rsid w:val="004B1D25"/>
    <w:rsid w:val="004B36C6"/>
    <w:rsid w:val="004B44DA"/>
    <w:rsid w:val="004B4C63"/>
    <w:rsid w:val="004B533C"/>
    <w:rsid w:val="004B547A"/>
    <w:rsid w:val="004B5782"/>
    <w:rsid w:val="004B5BB6"/>
    <w:rsid w:val="004B5D6C"/>
    <w:rsid w:val="004B7290"/>
    <w:rsid w:val="004C0A17"/>
    <w:rsid w:val="004C1F2A"/>
    <w:rsid w:val="004C2413"/>
    <w:rsid w:val="004C26AB"/>
    <w:rsid w:val="004C29B9"/>
    <w:rsid w:val="004C3462"/>
    <w:rsid w:val="004C35B4"/>
    <w:rsid w:val="004C41E3"/>
    <w:rsid w:val="004C444D"/>
    <w:rsid w:val="004C447D"/>
    <w:rsid w:val="004C4A2D"/>
    <w:rsid w:val="004C55C9"/>
    <w:rsid w:val="004C583B"/>
    <w:rsid w:val="004C6307"/>
    <w:rsid w:val="004C6901"/>
    <w:rsid w:val="004C72CB"/>
    <w:rsid w:val="004D0299"/>
    <w:rsid w:val="004D02FF"/>
    <w:rsid w:val="004D0738"/>
    <w:rsid w:val="004D09FE"/>
    <w:rsid w:val="004D1008"/>
    <w:rsid w:val="004D2741"/>
    <w:rsid w:val="004D2BBE"/>
    <w:rsid w:val="004D30D8"/>
    <w:rsid w:val="004D3666"/>
    <w:rsid w:val="004D374D"/>
    <w:rsid w:val="004D39A5"/>
    <w:rsid w:val="004D44CF"/>
    <w:rsid w:val="004D468C"/>
    <w:rsid w:val="004D4746"/>
    <w:rsid w:val="004D4ABD"/>
    <w:rsid w:val="004D654D"/>
    <w:rsid w:val="004D6C66"/>
    <w:rsid w:val="004D6EEA"/>
    <w:rsid w:val="004D7760"/>
    <w:rsid w:val="004D7A33"/>
    <w:rsid w:val="004D7B0A"/>
    <w:rsid w:val="004E00C6"/>
    <w:rsid w:val="004E1443"/>
    <w:rsid w:val="004E2039"/>
    <w:rsid w:val="004E2907"/>
    <w:rsid w:val="004E2D85"/>
    <w:rsid w:val="004E3397"/>
    <w:rsid w:val="004E4294"/>
    <w:rsid w:val="004E4770"/>
    <w:rsid w:val="004E4B64"/>
    <w:rsid w:val="004E5B8E"/>
    <w:rsid w:val="004E613A"/>
    <w:rsid w:val="004E6A18"/>
    <w:rsid w:val="004E71B8"/>
    <w:rsid w:val="004E7699"/>
    <w:rsid w:val="004E77FA"/>
    <w:rsid w:val="004E7969"/>
    <w:rsid w:val="004E79B3"/>
    <w:rsid w:val="004E7A54"/>
    <w:rsid w:val="004E7BA1"/>
    <w:rsid w:val="004F194F"/>
    <w:rsid w:val="004F1AAE"/>
    <w:rsid w:val="004F281B"/>
    <w:rsid w:val="004F29FE"/>
    <w:rsid w:val="004F3528"/>
    <w:rsid w:val="004F3DFD"/>
    <w:rsid w:val="004F4876"/>
    <w:rsid w:val="004F5677"/>
    <w:rsid w:val="004F6299"/>
    <w:rsid w:val="005005C0"/>
    <w:rsid w:val="00500A5B"/>
    <w:rsid w:val="00500BC4"/>
    <w:rsid w:val="0050140B"/>
    <w:rsid w:val="005019D8"/>
    <w:rsid w:val="00502508"/>
    <w:rsid w:val="00502584"/>
    <w:rsid w:val="005029B5"/>
    <w:rsid w:val="0050314C"/>
    <w:rsid w:val="005034FF"/>
    <w:rsid w:val="005037E4"/>
    <w:rsid w:val="005037F3"/>
    <w:rsid w:val="00505CBC"/>
    <w:rsid w:val="00505CBE"/>
    <w:rsid w:val="005062A2"/>
    <w:rsid w:val="00506AD6"/>
    <w:rsid w:val="00506EED"/>
    <w:rsid w:val="005079B4"/>
    <w:rsid w:val="00507B7F"/>
    <w:rsid w:val="00511108"/>
    <w:rsid w:val="00511BCE"/>
    <w:rsid w:val="00511E62"/>
    <w:rsid w:val="00512972"/>
    <w:rsid w:val="00512CC5"/>
    <w:rsid w:val="005139AC"/>
    <w:rsid w:val="00513B3E"/>
    <w:rsid w:val="00514153"/>
    <w:rsid w:val="005148B3"/>
    <w:rsid w:val="00515120"/>
    <w:rsid w:val="005151D7"/>
    <w:rsid w:val="00515BC7"/>
    <w:rsid w:val="00516A2E"/>
    <w:rsid w:val="00516F1C"/>
    <w:rsid w:val="005201E6"/>
    <w:rsid w:val="00520278"/>
    <w:rsid w:val="0052063C"/>
    <w:rsid w:val="00520BBC"/>
    <w:rsid w:val="00521263"/>
    <w:rsid w:val="00521529"/>
    <w:rsid w:val="005218B5"/>
    <w:rsid w:val="00521ADF"/>
    <w:rsid w:val="00521BA7"/>
    <w:rsid w:val="00521D91"/>
    <w:rsid w:val="0052236F"/>
    <w:rsid w:val="00523007"/>
    <w:rsid w:val="00523027"/>
    <w:rsid w:val="00523A40"/>
    <w:rsid w:val="00524324"/>
    <w:rsid w:val="00526F82"/>
    <w:rsid w:val="0052734D"/>
    <w:rsid w:val="0052739B"/>
    <w:rsid w:val="00527DB4"/>
    <w:rsid w:val="00531139"/>
    <w:rsid w:val="00531353"/>
    <w:rsid w:val="005322A4"/>
    <w:rsid w:val="00533F6C"/>
    <w:rsid w:val="00534679"/>
    <w:rsid w:val="005348C1"/>
    <w:rsid w:val="00534B96"/>
    <w:rsid w:val="00534C5D"/>
    <w:rsid w:val="005363C5"/>
    <w:rsid w:val="00536FEF"/>
    <w:rsid w:val="005377CD"/>
    <w:rsid w:val="00537D52"/>
    <w:rsid w:val="00537DE5"/>
    <w:rsid w:val="00537E4F"/>
    <w:rsid w:val="005404BF"/>
    <w:rsid w:val="005415E6"/>
    <w:rsid w:val="00541624"/>
    <w:rsid w:val="005420DF"/>
    <w:rsid w:val="005423A9"/>
    <w:rsid w:val="0054318F"/>
    <w:rsid w:val="005442AF"/>
    <w:rsid w:val="005444D4"/>
    <w:rsid w:val="00544884"/>
    <w:rsid w:val="005459B6"/>
    <w:rsid w:val="00545AD3"/>
    <w:rsid w:val="00545EE5"/>
    <w:rsid w:val="005462A0"/>
    <w:rsid w:val="005463F0"/>
    <w:rsid w:val="005473F3"/>
    <w:rsid w:val="0054759E"/>
    <w:rsid w:val="00547705"/>
    <w:rsid w:val="00550288"/>
    <w:rsid w:val="005537A1"/>
    <w:rsid w:val="00554308"/>
    <w:rsid w:val="00554702"/>
    <w:rsid w:val="005558AB"/>
    <w:rsid w:val="0056088B"/>
    <w:rsid w:val="00560F5C"/>
    <w:rsid w:val="0056174B"/>
    <w:rsid w:val="00561C3E"/>
    <w:rsid w:val="00561F6C"/>
    <w:rsid w:val="005625A7"/>
    <w:rsid w:val="00562682"/>
    <w:rsid w:val="00563D6D"/>
    <w:rsid w:val="00563D71"/>
    <w:rsid w:val="00563E9A"/>
    <w:rsid w:val="00563EDA"/>
    <w:rsid w:val="00566DE7"/>
    <w:rsid w:val="00567827"/>
    <w:rsid w:val="0057026D"/>
    <w:rsid w:val="0057027A"/>
    <w:rsid w:val="005702A4"/>
    <w:rsid w:val="00570A46"/>
    <w:rsid w:val="00570CD3"/>
    <w:rsid w:val="0057131A"/>
    <w:rsid w:val="005720FD"/>
    <w:rsid w:val="0057227C"/>
    <w:rsid w:val="00572647"/>
    <w:rsid w:val="00572AC5"/>
    <w:rsid w:val="00572EE0"/>
    <w:rsid w:val="005743BB"/>
    <w:rsid w:val="00574907"/>
    <w:rsid w:val="00576152"/>
    <w:rsid w:val="0057669D"/>
    <w:rsid w:val="00577D85"/>
    <w:rsid w:val="0058103D"/>
    <w:rsid w:val="005811E7"/>
    <w:rsid w:val="00581947"/>
    <w:rsid w:val="00581A84"/>
    <w:rsid w:val="00582DE4"/>
    <w:rsid w:val="0058398E"/>
    <w:rsid w:val="00583B65"/>
    <w:rsid w:val="00583BBA"/>
    <w:rsid w:val="00584B47"/>
    <w:rsid w:val="00584ECD"/>
    <w:rsid w:val="0058511C"/>
    <w:rsid w:val="00585433"/>
    <w:rsid w:val="0058570C"/>
    <w:rsid w:val="00585852"/>
    <w:rsid w:val="00586877"/>
    <w:rsid w:val="00586B0A"/>
    <w:rsid w:val="005871D0"/>
    <w:rsid w:val="00590274"/>
    <w:rsid w:val="00590BAE"/>
    <w:rsid w:val="005911AB"/>
    <w:rsid w:val="00591580"/>
    <w:rsid w:val="00591FB1"/>
    <w:rsid w:val="005925E8"/>
    <w:rsid w:val="00592CCF"/>
    <w:rsid w:val="00593A27"/>
    <w:rsid w:val="00593C88"/>
    <w:rsid w:val="00593E35"/>
    <w:rsid w:val="005942C1"/>
    <w:rsid w:val="00595B2C"/>
    <w:rsid w:val="00596CDC"/>
    <w:rsid w:val="005971A6"/>
    <w:rsid w:val="0059727A"/>
    <w:rsid w:val="00597D9D"/>
    <w:rsid w:val="00597F83"/>
    <w:rsid w:val="005A0B69"/>
    <w:rsid w:val="005A17AB"/>
    <w:rsid w:val="005A1D72"/>
    <w:rsid w:val="005A3351"/>
    <w:rsid w:val="005A39A9"/>
    <w:rsid w:val="005A4936"/>
    <w:rsid w:val="005A493D"/>
    <w:rsid w:val="005A499C"/>
    <w:rsid w:val="005A5011"/>
    <w:rsid w:val="005A50FF"/>
    <w:rsid w:val="005A602A"/>
    <w:rsid w:val="005A65B3"/>
    <w:rsid w:val="005A6F0D"/>
    <w:rsid w:val="005A77E2"/>
    <w:rsid w:val="005A7C17"/>
    <w:rsid w:val="005B0578"/>
    <w:rsid w:val="005B0C9C"/>
    <w:rsid w:val="005B1210"/>
    <w:rsid w:val="005B1BE5"/>
    <w:rsid w:val="005B4793"/>
    <w:rsid w:val="005B54B3"/>
    <w:rsid w:val="005B6562"/>
    <w:rsid w:val="005B659E"/>
    <w:rsid w:val="005B66BD"/>
    <w:rsid w:val="005B6F07"/>
    <w:rsid w:val="005B7A6E"/>
    <w:rsid w:val="005B7C70"/>
    <w:rsid w:val="005B7E04"/>
    <w:rsid w:val="005C086E"/>
    <w:rsid w:val="005C122C"/>
    <w:rsid w:val="005C3F71"/>
    <w:rsid w:val="005C54D8"/>
    <w:rsid w:val="005C56F6"/>
    <w:rsid w:val="005C5738"/>
    <w:rsid w:val="005C726B"/>
    <w:rsid w:val="005C741D"/>
    <w:rsid w:val="005C7805"/>
    <w:rsid w:val="005D1943"/>
    <w:rsid w:val="005D2616"/>
    <w:rsid w:val="005D294E"/>
    <w:rsid w:val="005D381F"/>
    <w:rsid w:val="005D4007"/>
    <w:rsid w:val="005D42EE"/>
    <w:rsid w:val="005D695D"/>
    <w:rsid w:val="005D6C7D"/>
    <w:rsid w:val="005D6DFE"/>
    <w:rsid w:val="005D7F96"/>
    <w:rsid w:val="005E080D"/>
    <w:rsid w:val="005E1054"/>
    <w:rsid w:val="005E22E7"/>
    <w:rsid w:val="005E2302"/>
    <w:rsid w:val="005E3988"/>
    <w:rsid w:val="005E4122"/>
    <w:rsid w:val="005E4F85"/>
    <w:rsid w:val="005E4F92"/>
    <w:rsid w:val="005E5862"/>
    <w:rsid w:val="005E5D12"/>
    <w:rsid w:val="005E60CD"/>
    <w:rsid w:val="005F055A"/>
    <w:rsid w:val="005F0F96"/>
    <w:rsid w:val="005F1574"/>
    <w:rsid w:val="005F1743"/>
    <w:rsid w:val="005F1E4D"/>
    <w:rsid w:val="005F1F22"/>
    <w:rsid w:val="005F232F"/>
    <w:rsid w:val="005F2694"/>
    <w:rsid w:val="005F292E"/>
    <w:rsid w:val="005F36C6"/>
    <w:rsid w:val="005F44D9"/>
    <w:rsid w:val="005F4838"/>
    <w:rsid w:val="005F4868"/>
    <w:rsid w:val="005F4DB5"/>
    <w:rsid w:val="005F502D"/>
    <w:rsid w:val="005F520B"/>
    <w:rsid w:val="005F5B37"/>
    <w:rsid w:val="005F6129"/>
    <w:rsid w:val="005F7490"/>
    <w:rsid w:val="005F7577"/>
    <w:rsid w:val="006012AE"/>
    <w:rsid w:val="00601358"/>
    <w:rsid w:val="006016DD"/>
    <w:rsid w:val="006020E2"/>
    <w:rsid w:val="0060239F"/>
    <w:rsid w:val="0060251C"/>
    <w:rsid w:val="00602FDF"/>
    <w:rsid w:val="006035D2"/>
    <w:rsid w:val="00603EE7"/>
    <w:rsid w:val="00604249"/>
    <w:rsid w:val="0060547C"/>
    <w:rsid w:val="0060756F"/>
    <w:rsid w:val="00611263"/>
    <w:rsid w:val="00613A70"/>
    <w:rsid w:val="00613F3F"/>
    <w:rsid w:val="006140E4"/>
    <w:rsid w:val="00614A0F"/>
    <w:rsid w:val="00614C7E"/>
    <w:rsid w:val="00614D27"/>
    <w:rsid w:val="00614E09"/>
    <w:rsid w:val="00617560"/>
    <w:rsid w:val="00620616"/>
    <w:rsid w:val="0062124E"/>
    <w:rsid w:val="006212FF"/>
    <w:rsid w:val="00621EFC"/>
    <w:rsid w:val="00623227"/>
    <w:rsid w:val="006240BE"/>
    <w:rsid w:val="0062534D"/>
    <w:rsid w:val="006254F0"/>
    <w:rsid w:val="006255BD"/>
    <w:rsid w:val="0062586D"/>
    <w:rsid w:val="00627612"/>
    <w:rsid w:val="006277F0"/>
    <w:rsid w:val="006277FB"/>
    <w:rsid w:val="0063158C"/>
    <w:rsid w:val="006319B5"/>
    <w:rsid w:val="00632A70"/>
    <w:rsid w:val="00632D27"/>
    <w:rsid w:val="00632DD1"/>
    <w:rsid w:val="006334DB"/>
    <w:rsid w:val="00633BED"/>
    <w:rsid w:val="006341FB"/>
    <w:rsid w:val="006347E5"/>
    <w:rsid w:val="006348EB"/>
    <w:rsid w:val="006360F1"/>
    <w:rsid w:val="006368AE"/>
    <w:rsid w:val="00636B9A"/>
    <w:rsid w:val="00637571"/>
    <w:rsid w:val="0063776E"/>
    <w:rsid w:val="00637E63"/>
    <w:rsid w:val="00641435"/>
    <w:rsid w:val="006419CC"/>
    <w:rsid w:val="00641CEB"/>
    <w:rsid w:val="00641D3A"/>
    <w:rsid w:val="006422D9"/>
    <w:rsid w:val="00643067"/>
    <w:rsid w:val="006432C8"/>
    <w:rsid w:val="006434A9"/>
    <w:rsid w:val="00643914"/>
    <w:rsid w:val="00643FDA"/>
    <w:rsid w:val="00644184"/>
    <w:rsid w:val="00644280"/>
    <w:rsid w:val="00644723"/>
    <w:rsid w:val="00644B51"/>
    <w:rsid w:val="00644EA8"/>
    <w:rsid w:val="0064673A"/>
    <w:rsid w:val="006469CA"/>
    <w:rsid w:val="00646BA3"/>
    <w:rsid w:val="00647E82"/>
    <w:rsid w:val="006505B8"/>
    <w:rsid w:val="00650FFD"/>
    <w:rsid w:val="006522E4"/>
    <w:rsid w:val="006523C8"/>
    <w:rsid w:val="006550E0"/>
    <w:rsid w:val="006552A8"/>
    <w:rsid w:val="00655684"/>
    <w:rsid w:val="006559DD"/>
    <w:rsid w:val="00655FCE"/>
    <w:rsid w:val="00656B3B"/>
    <w:rsid w:val="00656BCD"/>
    <w:rsid w:val="00657597"/>
    <w:rsid w:val="0066005F"/>
    <w:rsid w:val="00660634"/>
    <w:rsid w:val="006626C7"/>
    <w:rsid w:val="006629BA"/>
    <w:rsid w:val="00662CBE"/>
    <w:rsid w:val="00664185"/>
    <w:rsid w:val="00666A16"/>
    <w:rsid w:val="00667840"/>
    <w:rsid w:val="006678D1"/>
    <w:rsid w:val="00667AC5"/>
    <w:rsid w:val="00667B6C"/>
    <w:rsid w:val="006703CB"/>
    <w:rsid w:val="006707DB"/>
    <w:rsid w:val="006725B3"/>
    <w:rsid w:val="00672E34"/>
    <w:rsid w:val="006734D7"/>
    <w:rsid w:val="0067507D"/>
    <w:rsid w:val="00675649"/>
    <w:rsid w:val="00675E5A"/>
    <w:rsid w:val="00675E6E"/>
    <w:rsid w:val="00676A2B"/>
    <w:rsid w:val="00680C1E"/>
    <w:rsid w:val="00680CCE"/>
    <w:rsid w:val="00681C58"/>
    <w:rsid w:val="00682770"/>
    <w:rsid w:val="00683075"/>
    <w:rsid w:val="00683703"/>
    <w:rsid w:val="00683A5F"/>
    <w:rsid w:val="00683AD8"/>
    <w:rsid w:val="00683D98"/>
    <w:rsid w:val="006843A8"/>
    <w:rsid w:val="00684B4D"/>
    <w:rsid w:val="00684B7C"/>
    <w:rsid w:val="00685141"/>
    <w:rsid w:val="00685512"/>
    <w:rsid w:val="00685976"/>
    <w:rsid w:val="00685D18"/>
    <w:rsid w:val="00685D47"/>
    <w:rsid w:val="00686A84"/>
    <w:rsid w:val="00686D84"/>
    <w:rsid w:val="0068716B"/>
    <w:rsid w:val="006928B6"/>
    <w:rsid w:val="006940AD"/>
    <w:rsid w:val="00694BB6"/>
    <w:rsid w:val="00694BC0"/>
    <w:rsid w:val="00694E88"/>
    <w:rsid w:val="006955D2"/>
    <w:rsid w:val="00695EF5"/>
    <w:rsid w:val="00696897"/>
    <w:rsid w:val="0069706A"/>
    <w:rsid w:val="006A0A76"/>
    <w:rsid w:val="006A1187"/>
    <w:rsid w:val="006A14BF"/>
    <w:rsid w:val="006A15BC"/>
    <w:rsid w:val="006A205D"/>
    <w:rsid w:val="006A23E3"/>
    <w:rsid w:val="006A24B2"/>
    <w:rsid w:val="006A25DF"/>
    <w:rsid w:val="006A3891"/>
    <w:rsid w:val="006A5969"/>
    <w:rsid w:val="006A6086"/>
    <w:rsid w:val="006A7A29"/>
    <w:rsid w:val="006B1110"/>
    <w:rsid w:val="006B152B"/>
    <w:rsid w:val="006B1DD7"/>
    <w:rsid w:val="006B2628"/>
    <w:rsid w:val="006B2FEF"/>
    <w:rsid w:val="006B32FA"/>
    <w:rsid w:val="006B390F"/>
    <w:rsid w:val="006B3F9F"/>
    <w:rsid w:val="006B41B8"/>
    <w:rsid w:val="006B5ECC"/>
    <w:rsid w:val="006B74BB"/>
    <w:rsid w:val="006C019B"/>
    <w:rsid w:val="006C02A5"/>
    <w:rsid w:val="006C037F"/>
    <w:rsid w:val="006C04E8"/>
    <w:rsid w:val="006C14D1"/>
    <w:rsid w:val="006C2535"/>
    <w:rsid w:val="006C383E"/>
    <w:rsid w:val="006C4E77"/>
    <w:rsid w:val="006C4F61"/>
    <w:rsid w:val="006C5194"/>
    <w:rsid w:val="006C5218"/>
    <w:rsid w:val="006C538F"/>
    <w:rsid w:val="006C584A"/>
    <w:rsid w:val="006C724B"/>
    <w:rsid w:val="006C7AB2"/>
    <w:rsid w:val="006D016E"/>
    <w:rsid w:val="006D03D2"/>
    <w:rsid w:val="006D08AE"/>
    <w:rsid w:val="006D174C"/>
    <w:rsid w:val="006D25BC"/>
    <w:rsid w:val="006D2893"/>
    <w:rsid w:val="006D2A50"/>
    <w:rsid w:val="006D2AB5"/>
    <w:rsid w:val="006D3107"/>
    <w:rsid w:val="006D39D8"/>
    <w:rsid w:val="006D47CC"/>
    <w:rsid w:val="006D6345"/>
    <w:rsid w:val="006D656D"/>
    <w:rsid w:val="006D6BC3"/>
    <w:rsid w:val="006D732C"/>
    <w:rsid w:val="006D76E0"/>
    <w:rsid w:val="006D7981"/>
    <w:rsid w:val="006D7F33"/>
    <w:rsid w:val="006E0321"/>
    <w:rsid w:val="006E0F3B"/>
    <w:rsid w:val="006E20A4"/>
    <w:rsid w:val="006E2350"/>
    <w:rsid w:val="006E2CE1"/>
    <w:rsid w:val="006E319B"/>
    <w:rsid w:val="006E31D2"/>
    <w:rsid w:val="006E4152"/>
    <w:rsid w:val="006E50B4"/>
    <w:rsid w:val="006E5304"/>
    <w:rsid w:val="006E57BD"/>
    <w:rsid w:val="006E5B28"/>
    <w:rsid w:val="006E5C2F"/>
    <w:rsid w:val="006E6764"/>
    <w:rsid w:val="006F0FD9"/>
    <w:rsid w:val="006F139F"/>
    <w:rsid w:val="006F17B9"/>
    <w:rsid w:val="006F1839"/>
    <w:rsid w:val="006F18BF"/>
    <w:rsid w:val="006F1903"/>
    <w:rsid w:val="006F2456"/>
    <w:rsid w:val="006F2D24"/>
    <w:rsid w:val="006F36E1"/>
    <w:rsid w:val="006F3CED"/>
    <w:rsid w:val="006F4BAC"/>
    <w:rsid w:val="006F6A0A"/>
    <w:rsid w:val="006F773F"/>
    <w:rsid w:val="006F7CB5"/>
    <w:rsid w:val="0070001D"/>
    <w:rsid w:val="007021C9"/>
    <w:rsid w:val="00702324"/>
    <w:rsid w:val="0070251E"/>
    <w:rsid w:val="00703267"/>
    <w:rsid w:val="00705118"/>
    <w:rsid w:val="0070585A"/>
    <w:rsid w:val="00705A12"/>
    <w:rsid w:val="00705A8D"/>
    <w:rsid w:val="00705D2E"/>
    <w:rsid w:val="00705FC3"/>
    <w:rsid w:val="0070614F"/>
    <w:rsid w:val="00706328"/>
    <w:rsid w:val="00706C56"/>
    <w:rsid w:val="007072DD"/>
    <w:rsid w:val="00707762"/>
    <w:rsid w:val="00707A7B"/>
    <w:rsid w:val="00711119"/>
    <w:rsid w:val="007113C5"/>
    <w:rsid w:val="00712BDA"/>
    <w:rsid w:val="0071309C"/>
    <w:rsid w:val="007139D9"/>
    <w:rsid w:val="0071500B"/>
    <w:rsid w:val="007159C5"/>
    <w:rsid w:val="00715DA8"/>
    <w:rsid w:val="007161F9"/>
    <w:rsid w:val="007165CE"/>
    <w:rsid w:val="007167F7"/>
    <w:rsid w:val="007169E0"/>
    <w:rsid w:val="00717743"/>
    <w:rsid w:val="00717C1F"/>
    <w:rsid w:val="00720753"/>
    <w:rsid w:val="00720762"/>
    <w:rsid w:val="007212C5"/>
    <w:rsid w:val="007230A9"/>
    <w:rsid w:val="00723E17"/>
    <w:rsid w:val="00724263"/>
    <w:rsid w:val="0072456F"/>
    <w:rsid w:val="007249D0"/>
    <w:rsid w:val="0072596C"/>
    <w:rsid w:val="00726463"/>
    <w:rsid w:val="00726DFC"/>
    <w:rsid w:val="00727290"/>
    <w:rsid w:val="0072738B"/>
    <w:rsid w:val="00727C8B"/>
    <w:rsid w:val="007306B2"/>
    <w:rsid w:val="00730D00"/>
    <w:rsid w:val="00734368"/>
    <w:rsid w:val="007343C5"/>
    <w:rsid w:val="007344C1"/>
    <w:rsid w:val="00734C75"/>
    <w:rsid w:val="00735AC6"/>
    <w:rsid w:val="00735EC1"/>
    <w:rsid w:val="0074118C"/>
    <w:rsid w:val="00741541"/>
    <w:rsid w:val="007416B7"/>
    <w:rsid w:val="00741A9C"/>
    <w:rsid w:val="00742C25"/>
    <w:rsid w:val="007439F4"/>
    <w:rsid w:val="00743DE5"/>
    <w:rsid w:val="0074426B"/>
    <w:rsid w:val="00745C04"/>
    <w:rsid w:val="00745E46"/>
    <w:rsid w:val="007460D8"/>
    <w:rsid w:val="0074662C"/>
    <w:rsid w:val="00746DD4"/>
    <w:rsid w:val="00746F4D"/>
    <w:rsid w:val="007475C5"/>
    <w:rsid w:val="007508FF"/>
    <w:rsid w:val="007525B2"/>
    <w:rsid w:val="00753551"/>
    <w:rsid w:val="00754367"/>
    <w:rsid w:val="00754B36"/>
    <w:rsid w:val="00754FDB"/>
    <w:rsid w:val="00755906"/>
    <w:rsid w:val="00755B3A"/>
    <w:rsid w:val="0075670A"/>
    <w:rsid w:val="007567B5"/>
    <w:rsid w:val="00757322"/>
    <w:rsid w:val="00757C56"/>
    <w:rsid w:val="00760824"/>
    <w:rsid w:val="00760869"/>
    <w:rsid w:val="00761134"/>
    <w:rsid w:val="00761316"/>
    <w:rsid w:val="00761484"/>
    <w:rsid w:val="00761CD2"/>
    <w:rsid w:val="00761FE0"/>
    <w:rsid w:val="00762864"/>
    <w:rsid w:val="00762E8F"/>
    <w:rsid w:val="00762FB8"/>
    <w:rsid w:val="00763634"/>
    <w:rsid w:val="00763C0C"/>
    <w:rsid w:val="00763EAB"/>
    <w:rsid w:val="007643D8"/>
    <w:rsid w:val="0076486B"/>
    <w:rsid w:val="00764A59"/>
    <w:rsid w:val="00765863"/>
    <w:rsid w:val="00766682"/>
    <w:rsid w:val="00766717"/>
    <w:rsid w:val="00766719"/>
    <w:rsid w:val="00766803"/>
    <w:rsid w:val="0076781C"/>
    <w:rsid w:val="00767F24"/>
    <w:rsid w:val="00767F5E"/>
    <w:rsid w:val="00770526"/>
    <w:rsid w:val="0077068C"/>
    <w:rsid w:val="00771373"/>
    <w:rsid w:val="00772D22"/>
    <w:rsid w:val="007737D6"/>
    <w:rsid w:val="00774033"/>
    <w:rsid w:val="007740EB"/>
    <w:rsid w:val="007747F5"/>
    <w:rsid w:val="00775741"/>
    <w:rsid w:val="00775D7E"/>
    <w:rsid w:val="00775F57"/>
    <w:rsid w:val="00776E76"/>
    <w:rsid w:val="0077711A"/>
    <w:rsid w:val="00777184"/>
    <w:rsid w:val="007776DC"/>
    <w:rsid w:val="007779E9"/>
    <w:rsid w:val="00777C04"/>
    <w:rsid w:val="00780F49"/>
    <w:rsid w:val="00781693"/>
    <w:rsid w:val="0078216C"/>
    <w:rsid w:val="007821D6"/>
    <w:rsid w:val="00782650"/>
    <w:rsid w:val="0078297D"/>
    <w:rsid w:val="00782F2A"/>
    <w:rsid w:val="0078333F"/>
    <w:rsid w:val="0078397C"/>
    <w:rsid w:val="00783D5B"/>
    <w:rsid w:val="00783F19"/>
    <w:rsid w:val="0078618B"/>
    <w:rsid w:val="00786705"/>
    <w:rsid w:val="007868C3"/>
    <w:rsid w:val="00787AF5"/>
    <w:rsid w:val="00787C08"/>
    <w:rsid w:val="0079016C"/>
    <w:rsid w:val="007904DB"/>
    <w:rsid w:val="007904FD"/>
    <w:rsid w:val="0079052E"/>
    <w:rsid w:val="007911E7"/>
    <w:rsid w:val="007928C9"/>
    <w:rsid w:val="00793279"/>
    <w:rsid w:val="007937AD"/>
    <w:rsid w:val="0079386A"/>
    <w:rsid w:val="00793A86"/>
    <w:rsid w:val="00793C14"/>
    <w:rsid w:val="007942B1"/>
    <w:rsid w:val="00794ADA"/>
    <w:rsid w:val="0079500B"/>
    <w:rsid w:val="007954B8"/>
    <w:rsid w:val="007954DD"/>
    <w:rsid w:val="00797DC1"/>
    <w:rsid w:val="007A0099"/>
    <w:rsid w:val="007A0BEE"/>
    <w:rsid w:val="007A1CE0"/>
    <w:rsid w:val="007A2F3D"/>
    <w:rsid w:val="007A3A8C"/>
    <w:rsid w:val="007A43EE"/>
    <w:rsid w:val="007A4E14"/>
    <w:rsid w:val="007A5393"/>
    <w:rsid w:val="007A6350"/>
    <w:rsid w:val="007A7257"/>
    <w:rsid w:val="007B08E5"/>
    <w:rsid w:val="007B10F1"/>
    <w:rsid w:val="007B22FD"/>
    <w:rsid w:val="007B2387"/>
    <w:rsid w:val="007B2533"/>
    <w:rsid w:val="007B2652"/>
    <w:rsid w:val="007B319F"/>
    <w:rsid w:val="007B4048"/>
    <w:rsid w:val="007B4441"/>
    <w:rsid w:val="007B5530"/>
    <w:rsid w:val="007B563B"/>
    <w:rsid w:val="007B5B94"/>
    <w:rsid w:val="007B70F2"/>
    <w:rsid w:val="007B7480"/>
    <w:rsid w:val="007C1A38"/>
    <w:rsid w:val="007C26E6"/>
    <w:rsid w:val="007C317E"/>
    <w:rsid w:val="007C31EB"/>
    <w:rsid w:val="007C376E"/>
    <w:rsid w:val="007C37CB"/>
    <w:rsid w:val="007C3954"/>
    <w:rsid w:val="007C4B90"/>
    <w:rsid w:val="007C4FF9"/>
    <w:rsid w:val="007C64D1"/>
    <w:rsid w:val="007C6AB8"/>
    <w:rsid w:val="007C6FDA"/>
    <w:rsid w:val="007C7639"/>
    <w:rsid w:val="007C7D70"/>
    <w:rsid w:val="007D0121"/>
    <w:rsid w:val="007D0731"/>
    <w:rsid w:val="007D089C"/>
    <w:rsid w:val="007D1244"/>
    <w:rsid w:val="007D1F15"/>
    <w:rsid w:val="007D290B"/>
    <w:rsid w:val="007D338D"/>
    <w:rsid w:val="007D4C33"/>
    <w:rsid w:val="007D57C1"/>
    <w:rsid w:val="007D6122"/>
    <w:rsid w:val="007D66B6"/>
    <w:rsid w:val="007D67F5"/>
    <w:rsid w:val="007D7294"/>
    <w:rsid w:val="007D745A"/>
    <w:rsid w:val="007D7D51"/>
    <w:rsid w:val="007E04F5"/>
    <w:rsid w:val="007E0BDA"/>
    <w:rsid w:val="007E22D6"/>
    <w:rsid w:val="007E3F0F"/>
    <w:rsid w:val="007E42A1"/>
    <w:rsid w:val="007E4725"/>
    <w:rsid w:val="007E5807"/>
    <w:rsid w:val="007E67FE"/>
    <w:rsid w:val="007E6854"/>
    <w:rsid w:val="007E72C3"/>
    <w:rsid w:val="007E7DD4"/>
    <w:rsid w:val="007F093E"/>
    <w:rsid w:val="007F1294"/>
    <w:rsid w:val="007F15D3"/>
    <w:rsid w:val="007F1AD5"/>
    <w:rsid w:val="007F1F70"/>
    <w:rsid w:val="007F274D"/>
    <w:rsid w:val="007F27DD"/>
    <w:rsid w:val="007F33BA"/>
    <w:rsid w:val="007F48BB"/>
    <w:rsid w:val="007F48DB"/>
    <w:rsid w:val="007F582B"/>
    <w:rsid w:val="007F6FE2"/>
    <w:rsid w:val="008017D6"/>
    <w:rsid w:val="008019C0"/>
    <w:rsid w:val="00801EAC"/>
    <w:rsid w:val="00802375"/>
    <w:rsid w:val="00802A9D"/>
    <w:rsid w:val="0080334F"/>
    <w:rsid w:val="00803B72"/>
    <w:rsid w:val="00803C26"/>
    <w:rsid w:val="00804040"/>
    <w:rsid w:val="00804BD0"/>
    <w:rsid w:val="00805A1D"/>
    <w:rsid w:val="00806231"/>
    <w:rsid w:val="008069E8"/>
    <w:rsid w:val="00811503"/>
    <w:rsid w:val="00811722"/>
    <w:rsid w:val="0081183E"/>
    <w:rsid w:val="008120A8"/>
    <w:rsid w:val="00813E8A"/>
    <w:rsid w:val="008141EA"/>
    <w:rsid w:val="008146D9"/>
    <w:rsid w:val="00814C46"/>
    <w:rsid w:val="008156E4"/>
    <w:rsid w:val="00815A6E"/>
    <w:rsid w:val="00815D34"/>
    <w:rsid w:val="00817464"/>
    <w:rsid w:val="00817AD8"/>
    <w:rsid w:val="00817D6E"/>
    <w:rsid w:val="00817DD8"/>
    <w:rsid w:val="00821002"/>
    <w:rsid w:val="008214A5"/>
    <w:rsid w:val="008214B3"/>
    <w:rsid w:val="0082154C"/>
    <w:rsid w:val="00821A2C"/>
    <w:rsid w:val="008223DF"/>
    <w:rsid w:val="00822573"/>
    <w:rsid w:val="00822B9D"/>
    <w:rsid w:val="00823630"/>
    <w:rsid w:val="00824B2B"/>
    <w:rsid w:val="00824DDC"/>
    <w:rsid w:val="00824F09"/>
    <w:rsid w:val="0082584B"/>
    <w:rsid w:val="00825C2B"/>
    <w:rsid w:val="00825FC8"/>
    <w:rsid w:val="0083030F"/>
    <w:rsid w:val="00830322"/>
    <w:rsid w:val="00830334"/>
    <w:rsid w:val="00830600"/>
    <w:rsid w:val="008308F2"/>
    <w:rsid w:val="008313B1"/>
    <w:rsid w:val="00831588"/>
    <w:rsid w:val="00831EED"/>
    <w:rsid w:val="008323F3"/>
    <w:rsid w:val="00832831"/>
    <w:rsid w:val="0083337D"/>
    <w:rsid w:val="00833F7F"/>
    <w:rsid w:val="0083410F"/>
    <w:rsid w:val="00834408"/>
    <w:rsid w:val="0083467B"/>
    <w:rsid w:val="0083532B"/>
    <w:rsid w:val="008355C1"/>
    <w:rsid w:val="008356DC"/>
    <w:rsid w:val="00836458"/>
    <w:rsid w:val="008369B0"/>
    <w:rsid w:val="008371A4"/>
    <w:rsid w:val="00837260"/>
    <w:rsid w:val="00837317"/>
    <w:rsid w:val="00837386"/>
    <w:rsid w:val="00841274"/>
    <w:rsid w:val="008423AC"/>
    <w:rsid w:val="00842998"/>
    <w:rsid w:val="00842E33"/>
    <w:rsid w:val="00843204"/>
    <w:rsid w:val="00844981"/>
    <w:rsid w:val="008461FF"/>
    <w:rsid w:val="008462A1"/>
    <w:rsid w:val="00847C81"/>
    <w:rsid w:val="008504E6"/>
    <w:rsid w:val="008505E5"/>
    <w:rsid w:val="00851966"/>
    <w:rsid w:val="00851D59"/>
    <w:rsid w:val="0085291F"/>
    <w:rsid w:val="00852DD4"/>
    <w:rsid w:val="008544D7"/>
    <w:rsid w:val="00854886"/>
    <w:rsid w:val="00854D47"/>
    <w:rsid w:val="008554C7"/>
    <w:rsid w:val="00855EA9"/>
    <w:rsid w:val="00856265"/>
    <w:rsid w:val="0085637E"/>
    <w:rsid w:val="00860E5C"/>
    <w:rsid w:val="008618CF"/>
    <w:rsid w:val="008626E1"/>
    <w:rsid w:val="00862AEC"/>
    <w:rsid w:val="00862E5D"/>
    <w:rsid w:val="008636B8"/>
    <w:rsid w:val="00864C27"/>
    <w:rsid w:val="00865419"/>
    <w:rsid w:val="008667A8"/>
    <w:rsid w:val="008668A7"/>
    <w:rsid w:val="008677B0"/>
    <w:rsid w:val="008678F6"/>
    <w:rsid w:val="00867F5A"/>
    <w:rsid w:val="008706D5"/>
    <w:rsid w:val="00871625"/>
    <w:rsid w:val="0087232C"/>
    <w:rsid w:val="00873108"/>
    <w:rsid w:val="008732E7"/>
    <w:rsid w:val="008733BB"/>
    <w:rsid w:val="0087401C"/>
    <w:rsid w:val="008753C6"/>
    <w:rsid w:val="00875622"/>
    <w:rsid w:val="008757F0"/>
    <w:rsid w:val="00875AE3"/>
    <w:rsid w:val="00876B21"/>
    <w:rsid w:val="00876EBC"/>
    <w:rsid w:val="008770DE"/>
    <w:rsid w:val="00877278"/>
    <w:rsid w:val="008777C5"/>
    <w:rsid w:val="0088037D"/>
    <w:rsid w:val="00880BF8"/>
    <w:rsid w:val="00880D4B"/>
    <w:rsid w:val="00880EAF"/>
    <w:rsid w:val="00880FD2"/>
    <w:rsid w:val="00880FDD"/>
    <w:rsid w:val="008811D8"/>
    <w:rsid w:val="00881B23"/>
    <w:rsid w:val="00881E70"/>
    <w:rsid w:val="008828C7"/>
    <w:rsid w:val="00882F13"/>
    <w:rsid w:val="00883F58"/>
    <w:rsid w:val="008849A4"/>
    <w:rsid w:val="008851C4"/>
    <w:rsid w:val="008856BA"/>
    <w:rsid w:val="00885A33"/>
    <w:rsid w:val="00886179"/>
    <w:rsid w:val="00886FD5"/>
    <w:rsid w:val="00887D0E"/>
    <w:rsid w:val="00890364"/>
    <w:rsid w:val="00891782"/>
    <w:rsid w:val="00891F60"/>
    <w:rsid w:val="00892A10"/>
    <w:rsid w:val="0089304D"/>
    <w:rsid w:val="0089585B"/>
    <w:rsid w:val="008959FD"/>
    <w:rsid w:val="00896493"/>
    <w:rsid w:val="008964A9"/>
    <w:rsid w:val="00896B5B"/>
    <w:rsid w:val="008A1522"/>
    <w:rsid w:val="008A1D35"/>
    <w:rsid w:val="008A1ECC"/>
    <w:rsid w:val="008A20EB"/>
    <w:rsid w:val="008A2D34"/>
    <w:rsid w:val="008A34C8"/>
    <w:rsid w:val="008A3877"/>
    <w:rsid w:val="008A61A9"/>
    <w:rsid w:val="008A6728"/>
    <w:rsid w:val="008A6CEF"/>
    <w:rsid w:val="008A76A8"/>
    <w:rsid w:val="008B0233"/>
    <w:rsid w:val="008B03AD"/>
    <w:rsid w:val="008B0527"/>
    <w:rsid w:val="008B0C03"/>
    <w:rsid w:val="008B13F1"/>
    <w:rsid w:val="008B2065"/>
    <w:rsid w:val="008B3E5C"/>
    <w:rsid w:val="008B4838"/>
    <w:rsid w:val="008B4F1C"/>
    <w:rsid w:val="008B68E9"/>
    <w:rsid w:val="008B6D62"/>
    <w:rsid w:val="008B787D"/>
    <w:rsid w:val="008C0EBF"/>
    <w:rsid w:val="008C1CA3"/>
    <w:rsid w:val="008C2D6C"/>
    <w:rsid w:val="008C360E"/>
    <w:rsid w:val="008C3A1F"/>
    <w:rsid w:val="008C50DC"/>
    <w:rsid w:val="008C5425"/>
    <w:rsid w:val="008C6099"/>
    <w:rsid w:val="008C6430"/>
    <w:rsid w:val="008C7B4E"/>
    <w:rsid w:val="008C7C08"/>
    <w:rsid w:val="008D138E"/>
    <w:rsid w:val="008D1659"/>
    <w:rsid w:val="008D1AEE"/>
    <w:rsid w:val="008D34A0"/>
    <w:rsid w:val="008D4926"/>
    <w:rsid w:val="008D5FB6"/>
    <w:rsid w:val="008D67E7"/>
    <w:rsid w:val="008D6808"/>
    <w:rsid w:val="008D6BEC"/>
    <w:rsid w:val="008D705A"/>
    <w:rsid w:val="008D71E4"/>
    <w:rsid w:val="008D76D2"/>
    <w:rsid w:val="008D7FD8"/>
    <w:rsid w:val="008E122F"/>
    <w:rsid w:val="008E23ED"/>
    <w:rsid w:val="008E4A53"/>
    <w:rsid w:val="008E4F4C"/>
    <w:rsid w:val="008E6028"/>
    <w:rsid w:val="008E7447"/>
    <w:rsid w:val="008F097E"/>
    <w:rsid w:val="008F1AB3"/>
    <w:rsid w:val="008F1CE3"/>
    <w:rsid w:val="008F2295"/>
    <w:rsid w:val="008F22F7"/>
    <w:rsid w:val="008F27C8"/>
    <w:rsid w:val="008F29FF"/>
    <w:rsid w:val="008F2A88"/>
    <w:rsid w:val="008F2F4F"/>
    <w:rsid w:val="008F3150"/>
    <w:rsid w:val="008F3644"/>
    <w:rsid w:val="008F3C10"/>
    <w:rsid w:val="008F3DA2"/>
    <w:rsid w:val="008F4B59"/>
    <w:rsid w:val="008F4B8C"/>
    <w:rsid w:val="008F5086"/>
    <w:rsid w:val="008F55AC"/>
    <w:rsid w:val="008F575E"/>
    <w:rsid w:val="008F5C2C"/>
    <w:rsid w:val="008F6090"/>
    <w:rsid w:val="008F616E"/>
    <w:rsid w:val="008F637B"/>
    <w:rsid w:val="008F63A3"/>
    <w:rsid w:val="008F6DB0"/>
    <w:rsid w:val="008F70AC"/>
    <w:rsid w:val="008F76AF"/>
    <w:rsid w:val="00901883"/>
    <w:rsid w:val="00902650"/>
    <w:rsid w:val="00903486"/>
    <w:rsid w:val="009036F1"/>
    <w:rsid w:val="00903CA3"/>
    <w:rsid w:val="00903CB5"/>
    <w:rsid w:val="0090440B"/>
    <w:rsid w:val="009047FB"/>
    <w:rsid w:val="0090486D"/>
    <w:rsid w:val="009058EB"/>
    <w:rsid w:val="0090605E"/>
    <w:rsid w:val="009065C4"/>
    <w:rsid w:val="009067F2"/>
    <w:rsid w:val="00906FD7"/>
    <w:rsid w:val="00910841"/>
    <w:rsid w:val="00910AC8"/>
    <w:rsid w:val="00910D28"/>
    <w:rsid w:val="009117E0"/>
    <w:rsid w:val="00912911"/>
    <w:rsid w:val="0091307C"/>
    <w:rsid w:val="009130DF"/>
    <w:rsid w:val="0091340C"/>
    <w:rsid w:val="00913DEA"/>
    <w:rsid w:val="00915536"/>
    <w:rsid w:val="00916DF6"/>
    <w:rsid w:val="00917A75"/>
    <w:rsid w:val="00920BBE"/>
    <w:rsid w:val="00921C34"/>
    <w:rsid w:val="009221CB"/>
    <w:rsid w:val="00922DBA"/>
    <w:rsid w:val="0092311F"/>
    <w:rsid w:val="009239DC"/>
    <w:rsid w:val="00923AB2"/>
    <w:rsid w:val="00923B68"/>
    <w:rsid w:val="00923C74"/>
    <w:rsid w:val="00923FA9"/>
    <w:rsid w:val="00924A30"/>
    <w:rsid w:val="00924EC3"/>
    <w:rsid w:val="00925492"/>
    <w:rsid w:val="0092572B"/>
    <w:rsid w:val="00926772"/>
    <w:rsid w:val="00926EC7"/>
    <w:rsid w:val="0092778F"/>
    <w:rsid w:val="00927BAC"/>
    <w:rsid w:val="009302C0"/>
    <w:rsid w:val="00930CA0"/>
    <w:rsid w:val="0093197F"/>
    <w:rsid w:val="00931D3F"/>
    <w:rsid w:val="0093205D"/>
    <w:rsid w:val="0093272A"/>
    <w:rsid w:val="0093424F"/>
    <w:rsid w:val="0093425E"/>
    <w:rsid w:val="009356A8"/>
    <w:rsid w:val="00935753"/>
    <w:rsid w:val="00936581"/>
    <w:rsid w:val="0093685A"/>
    <w:rsid w:val="0093689A"/>
    <w:rsid w:val="009375E9"/>
    <w:rsid w:val="00937AE8"/>
    <w:rsid w:val="00937CC4"/>
    <w:rsid w:val="009404CB"/>
    <w:rsid w:val="00940F63"/>
    <w:rsid w:val="00941786"/>
    <w:rsid w:val="00942B84"/>
    <w:rsid w:val="00943122"/>
    <w:rsid w:val="00943364"/>
    <w:rsid w:val="00944504"/>
    <w:rsid w:val="00945554"/>
    <w:rsid w:val="00945B30"/>
    <w:rsid w:val="00945C1B"/>
    <w:rsid w:val="00946518"/>
    <w:rsid w:val="0094660B"/>
    <w:rsid w:val="00947170"/>
    <w:rsid w:val="009472AE"/>
    <w:rsid w:val="00947A38"/>
    <w:rsid w:val="00950202"/>
    <w:rsid w:val="0095173E"/>
    <w:rsid w:val="00951F2B"/>
    <w:rsid w:val="009526C7"/>
    <w:rsid w:val="00954756"/>
    <w:rsid w:val="00954E6E"/>
    <w:rsid w:val="00955161"/>
    <w:rsid w:val="00955684"/>
    <w:rsid w:val="00955862"/>
    <w:rsid w:val="009558B6"/>
    <w:rsid w:val="009570BD"/>
    <w:rsid w:val="009571BF"/>
    <w:rsid w:val="0096022A"/>
    <w:rsid w:val="009604EA"/>
    <w:rsid w:val="00960B2F"/>
    <w:rsid w:val="00961671"/>
    <w:rsid w:val="00963B71"/>
    <w:rsid w:val="00964DD5"/>
    <w:rsid w:val="0096516C"/>
    <w:rsid w:val="009653CF"/>
    <w:rsid w:val="00965914"/>
    <w:rsid w:val="00966851"/>
    <w:rsid w:val="00970328"/>
    <w:rsid w:val="00970F38"/>
    <w:rsid w:val="00971101"/>
    <w:rsid w:val="009715D6"/>
    <w:rsid w:val="00971C22"/>
    <w:rsid w:val="00972011"/>
    <w:rsid w:val="009727FC"/>
    <w:rsid w:val="0097302D"/>
    <w:rsid w:val="0097483A"/>
    <w:rsid w:val="0097526F"/>
    <w:rsid w:val="00975C17"/>
    <w:rsid w:val="00975C8D"/>
    <w:rsid w:val="00975DCD"/>
    <w:rsid w:val="009763AE"/>
    <w:rsid w:val="00976C3C"/>
    <w:rsid w:val="0097765D"/>
    <w:rsid w:val="00977A54"/>
    <w:rsid w:val="00977AD2"/>
    <w:rsid w:val="00980044"/>
    <w:rsid w:val="009808F5"/>
    <w:rsid w:val="00980F3F"/>
    <w:rsid w:val="00981954"/>
    <w:rsid w:val="00982284"/>
    <w:rsid w:val="009829CF"/>
    <w:rsid w:val="00982A01"/>
    <w:rsid w:val="00982DCA"/>
    <w:rsid w:val="00983245"/>
    <w:rsid w:val="00983F13"/>
    <w:rsid w:val="009858E1"/>
    <w:rsid w:val="00985B35"/>
    <w:rsid w:val="00986449"/>
    <w:rsid w:val="0098693B"/>
    <w:rsid w:val="009869F5"/>
    <w:rsid w:val="0098705D"/>
    <w:rsid w:val="00987C84"/>
    <w:rsid w:val="00987FB5"/>
    <w:rsid w:val="009917CA"/>
    <w:rsid w:val="00991CB4"/>
    <w:rsid w:val="00992CFA"/>
    <w:rsid w:val="009931A8"/>
    <w:rsid w:val="0099331F"/>
    <w:rsid w:val="009942AE"/>
    <w:rsid w:val="00995FA6"/>
    <w:rsid w:val="00996F52"/>
    <w:rsid w:val="009979E4"/>
    <w:rsid w:val="00997A7F"/>
    <w:rsid w:val="00997D37"/>
    <w:rsid w:val="009A0A6A"/>
    <w:rsid w:val="009A131A"/>
    <w:rsid w:val="009A1988"/>
    <w:rsid w:val="009A1D30"/>
    <w:rsid w:val="009A1FD3"/>
    <w:rsid w:val="009A1FDD"/>
    <w:rsid w:val="009A2D02"/>
    <w:rsid w:val="009A3C99"/>
    <w:rsid w:val="009A3F94"/>
    <w:rsid w:val="009A4BC8"/>
    <w:rsid w:val="009A4CA5"/>
    <w:rsid w:val="009A5663"/>
    <w:rsid w:val="009A5687"/>
    <w:rsid w:val="009A64D0"/>
    <w:rsid w:val="009A6769"/>
    <w:rsid w:val="009A6BB5"/>
    <w:rsid w:val="009A6C90"/>
    <w:rsid w:val="009A76AB"/>
    <w:rsid w:val="009B0093"/>
    <w:rsid w:val="009B05E5"/>
    <w:rsid w:val="009B0E3A"/>
    <w:rsid w:val="009B1318"/>
    <w:rsid w:val="009B3653"/>
    <w:rsid w:val="009B3D72"/>
    <w:rsid w:val="009B475D"/>
    <w:rsid w:val="009B4AE9"/>
    <w:rsid w:val="009B5861"/>
    <w:rsid w:val="009B6CD7"/>
    <w:rsid w:val="009C03FB"/>
    <w:rsid w:val="009C0ABC"/>
    <w:rsid w:val="009C1DA0"/>
    <w:rsid w:val="009C2B21"/>
    <w:rsid w:val="009C3850"/>
    <w:rsid w:val="009C3D37"/>
    <w:rsid w:val="009C6579"/>
    <w:rsid w:val="009C7F0D"/>
    <w:rsid w:val="009D01A8"/>
    <w:rsid w:val="009D0F69"/>
    <w:rsid w:val="009D11A1"/>
    <w:rsid w:val="009D1625"/>
    <w:rsid w:val="009D1F16"/>
    <w:rsid w:val="009D2271"/>
    <w:rsid w:val="009D2E4F"/>
    <w:rsid w:val="009D550E"/>
    <w:rsid w:val="009D5E75"/>
    <w:rsid w:val="009D60D1"/>
    <w:rsid w:val="009D6B87"/>
    <w:rsid w:val="009D6BB5"/>
    <w:rsid w:val="009D6DDC"/>
    <w:rsid w:val="009D72C9"/>
    <w:rsid w:val="009E0719"/>
    <w:rsid w:val="009E119B"/>
    <w:rsid w:val="009E172E"/>
    <w:rsid w:val="009E21CC"/>
    <w:rsid w:val="009E22B7"/>
    <w:rsid w:val="009E2C28"/>
    <w:rsid w:val="009E2F45"/>
    <w:rsid w:val="009E31FD"/>
    <w:rsid w:val="009E4599"/>
    <w:rsid w:val="009E4AED"/>
    <w:rsid w:val="009E5179"/>
    <w:rsid w:val="009E5180"/>
    <w:rsid w:val="009E6026"/>
    <w:rsid w:val="009E6101"/>
    <w:rsid w:val="009E7450"/>
    <w:rsid w:val="009E7825"/>
    <w:rsid w:val="009E791B"/>
    <w:rsid w:val="009F0007"/>
    <w:rsid w:val="009F0619"/>
    <w:rsid w:val="009F0B0D"/>
    <w:rsid w:val="009F10E9"/>
    <w:rsid w:val="009F1173"/>
    <w:rsid w:val="009F317D"/>
    <w:rsid w:val="009F5465"/>
    <w:rsid w:val="009F5C9B"/>
    <w:rsid w:val="009F5D52"/>
    <w:rsid w:val="009F5FAC"/>
    <w:rsid w:val="009F5FE0"/>
    <w:rsid w:val="009F6211"/>
    <w:rsid w:val="009F6652"/>
    <w:rsid w:val="009F6ABA"/>
    <w:rsid w:val="009F71E6"/>
    <w:rsid w:val="009F7F66"/>
    <w:rsid w:val="00A00548"/>
    <w:rsid w:val="00A00B02"/>
    <w:rsid w:val="00A01595"/>
    <w:rsid w:val="00A0175B"/>
    <w:rsid w:val="00A017DE"/>
    <w:rsid w:val="00A02494"/>
    <w:rsid w:val="00A02C7A"/>
    <w:rsid w:val="00A02EF0"/>
    <w:rsid w:val="00A03F66"/>
    <w:rsid w:val="00A063D4"/>
    <w:rsid w:val="00A064CD"/>
    <w:rsid w:val="00A07189"/>
    <w:rsid w:val="00A073C9"/>
    <w:rsid w:val="00A10F1E"/>
    <w:rsid w:val="00A11560"/>
    <w:rsid w:val="00A11800"/>
    <w:rsid w:val="00A1305B"/>
    <w:rsid w:val="00A14340"/>
    <w:rsid w:val="00A14F2F"/>
    <w:rsid w:val="00A15242"/>
    <w:rsid w:val="00A1528F"/>
    <w:rsid w:val="00A156C9"/>
    <w:rsid w:val="00A15EDA"/>
    <w:rsid w:val="00A16003"/>
    <w:rsid w:val="00A160BD"/>
    <w:rsid w:val="00A16159"/>
    <w:rsid w:val="00A16495"/>
    <w:rsid w:val="00A16D08"/>
    <w:rsid w:val="00A20838"/>
    <w:rsid w:val="00A20960"/>
    <w:rsid w:val="00A21CCA"/>
    <w:rsid w:val="00A220CC"/>
    <w:rsid w:val="00A221F3"/>
    <w:rsid w:val="00A22566"/>
    <w:rsid w:val="00A23793"/>
    <w:rsid w:val="00A23B03"/>
    <w:rsid w:val="00A25107"/>
    <w:rsid w:val="00A25DF5"/>
    <w:rsid w:val="00A2611D"/>
    <w:rsid w:val="00A2642E"/>
    <w:rsid w:val="00A265A1"/>
    <w:rsid w:val="00A266E1"/>
    <w:rsid w:val="00A27C6F"/>
    <w:rsid w:val="00A27F80"/>
    <w:rsid w:val="00A303AE"/>
    <w:rsid w:val="00A30644"/>
    <w:rsid w:val="00A30DC3"/>
    <w:rsid w:val="00A31D4A"/>
    <w:rsid w:val="00A336AF"/>
    <w:rsid w:val="00A34CA4"/>
    <w:rsid w:val="00A3591F"/>
    <w:rsid w:val="00A36206"/>
    <w:rsid w:val="00A3671F"/>
    <w:rsid w:val="00A36BF2"/>
    <w:rsid w:val="00A371D6"/>
    <w:rsid w:val="00A37265"/>
    <w:rsid w:val="00A37520"/>
    <w:rsid w:val="00A37690"/>
    <w:rsid w:val="00A43166"/>
    <w:rsid w:val="00A43A3E"/>
    <w:rsid w:val="00A44ABA"/>
    <w:rsid w:val="00A45241"/>
    <w:rsid w:val="00A45679"/>
    <w:rsid w:val="00A457B3"/>
    <w:rsid w:val="00A45B9B"/>
    <w:rsid w:val="00A46B24"/>
    <w:rsid w:val="00A501A8"/>
    <w:rsid w:val="00A5084E"/>
    <w:rsid w:val="00A510A5"/>
    <w:rsid w:val="00A51711"/>
    <w:rsid w:val="00A52422"/>
    <w:rsid w:val="00A52D2A"/>
    <w:rsid w:val="00A52D31"/>
    <w:rsid w:val="00A532D9"/>
    <w:rsid w:val="00A53501"/>
    <w:rsid w:val="00A55068"/>
    <w:rsid w:val="00A5548F"/>
    <w:rsid w:val="00A56299"/>
    <w:rsid w:val="00A56CBF"/>
    <w:rsid w:val="00A571CC"/>
    <w:rsid w:val="00A57904"/>
    <w:rsid w:val="00A600E4"/>
    <w:rsid w:val="00A61CD8"/>
    <w:rsid w:val="00A6273B"/>
    <w:rsid w:val="00A64466"/>
    <w:rsid w:val="00A64520"/>
    <w:rsid w:val="00A645C7"/>
    <w:rsid w:val="00A65506"/>
    <w:rsid w:val="00A663A0"/>
    <w:rsid w:val="00A663CC"/>
    <w:rsid w:val="00A66C58"/>
    <w:rsid w:val="00A677FC"/>
    <w:rsid w:val="00A67BC5"/>
    <w:rsid w:val="00A70E84"/>
    <w:rsid w:val="00A717BE"/>
    <w:rsid w:val="00A720DB"/>
    <w:rsid w:val="00A72217"/>
    <w:rsid w:val="00A72A3A"/>
    <w:rsid w:val="00A736A2"/>
    <w:rsid w:val="00A73A7F"/>
    <w:rsid w:val="00A7443C"/>
    <w:rsid w:val="00A74515"/>
    <w:rsid w:val="00A75182"/>
    <w:rsid w:val="00A75F70"/>
    <w:rsid w:val="00A76C85"/>
    <w:rsid w:val="00A80897"/>
    <w:rsid w:val="00A80A2F"/>
    <w:rsid w:val="00A80F46"/>
    <w:rsid w:val="00A81C65"/>
    <w:rsid w:val="00A82105"/>
    <w:rsid w:val="00A82269"/>
    <w:rsid w:val="00A84391"/>
    <w:rsid w:val="00A8452D"/>
    <w:rsid w:val="00A84A64"/>
    <w:rsid w:val="00A87D7D"/>
    <w:rsid w:val="00A90482"/>
    <w:rsid w:val="00A905A1"/>
    <w:rsid w:val="00A90D05"/>
    <w:rsid w:val="00A91448"/>
    <w:rsid w:val="00A92ABB"/>
    <w:rsid w:val="00A9328B"/>
    <w:rsid w:val="00A94279"/>
    <w:rsid w:val="00A95D8B"/>
    <w:rsid w:val="00A9697C"/>
    <w:rsid w:val="00A975AF"/>
    <w:rsid w:val="00AA0BA2"/>
    <w:rsid w:val="00AA0F26"/>
    <w:rsid w:val="00AA130C"/>
    <w:rsid w:val="00AA16CF"/>
    <w:rsid w:val="00AA2D28"/>
    <w:rsid w:val="00AA33BE"/>
    <w:rsid w:val="00AA33ED"/>
    <w:rsid w:val="00AA4142"/>
    <w:rsid w:val="00AA4FAE"/>
    <w:rsid w:val="00AA5195"/>
    <w:rsid w:val="00AA51BF"/>
    <w:rsid w:val="00AA63D6"/>
    <w:rsid w:val="00AA68B9"/>
    <w:rsid w:val="00AA6AA0"/>
    <w:rsid w:val="00AA6FDB"/>
    <w:rsid w:val="00AA72D0"/>
    <w:rsid w:val="00AA75B5"/>
    <w:rsid w:val="00AB0138"/>
    <w:rsid w:val="00AB0B55"/>
    <w:rsid w:val="00AB0EEE"/>
    <w:rsid w:val="00AB1D84"/>
    <w:rsid w:val="00AB25F2"/>
    <w:rsid w:val="00AB2D32"/>
    <w:rsid w:val="00AB3D92"/>
    <w:rsid w:val="00AB44BA"/>
    <w:rsid w:val="00AB466D"/>
    <w:rsid w:val="00AB473C"/>
    <w:rsid w:val="00AB47F5"/>
    <w:rsid w:val="00AB48E6"/>
    <w:rsid w:val="00AB53F6"/>
    <w:rsid w:val="00AB65D7"/>
    <w:rsid w:val="00AB7E09"/>
    <w:rsid w:val="00AC04D6"/>
    <w:rsid w:val="00AC0CCC"/>
    <w:rsid w:val="00AC0D43"/>
    <w:rsid w:val="00AC312B"/>
    <w:rsid w:val="00AC4734"/>
    <w:rsid w:val="00AC4F87"/>
    <w:rsid w:val="00AC508B"/>
    <w:rsid w:val="00AC5CD5"/>
    <w:rsid w:val="00AC67E4"/>
    <w:rsid w:val="00AC6E8F"/>
    <w:rsid w:val="00AC7328"/>
    <w:rsid w:val="00AD04BB"/>
    <w:rsid w:val="00AD0ACA"/>
    <w:rsid w:val="00AD0B71"/>
    <w:rsid w:val="00AD1BA6"/>
    <w:rsid w:val="00AD1D2A"/>
    <w:rsid w:val="00AD3176"/>
    <w:rsid w:val="00AD393E"/>
    <w:rsid w:val="00AD39F2"/>
    <w:rsid w:val="00AD3A5C"/>
    <w:rsid w:val="00AD453D"/>
    <w:rsid w:val="00AD4762"/>
    <w:rsid w:val="00AD4E31"/>
    <w:rsid w:val="00AD55EF"/>
    <w:rsid w:val="00AD6625"/>
    <w:rsid w:val="00AD7AF7"/>
    <w:rsid w:val="00AE059E"/>
    <w:rsid w:val="00AE0C7F"/>
    <w:rsid w:val="00AE1AD5"/>
    <w:rsid w:val="00AE1CD4"/>
    <w:rsid w:val="00AE2082"/>
    <w:rsid w:val="00AE212A"/>
    <w:rsid w:val="00AE2296"/>
    <w:rsid w:val="00AE2968"/>
    <w:rsid w:val="00AE38A7"/>
    <w:rsid w:val="00AE3C58"/>
    <w:rsid w:val="00AE4BED"/>
    <w:rsid w:val="00AE5C38"/>
    <w:rsid w:val="00AE6296"/>
    <w:rsid w:val="00AE6555"/>
    <w:rsid w:val="00AE6C89"/>
    <w:rsid w:val="00AE7C83"/>
    <w:rsid w:val="00AE7D93"/>
    <w:rsid w:val="00AE7D96"/>
    <w:rsid w:val="00AF09A6"/>
    <w:rsid w:val="00AF1358"/>
    <w:rsid w:val="00AF145B"/>
    <w:rsid w:val="00AF1FA5"/>
    <w:rsid w:val="00AF27BD"/>
    <w:rsid w:val="00AF2E1E"/>
    <w:rsid w:val="00AF3C8F"/>
    <w:rsid w:val="00AF3E04"/>
    <w:rsid w:val="00AF436F"/>
    <w:rsid w:val="00AF43CC"/>
    <w:rsid w:val="00AF47E6"/>
    <w:rsid w:val="00AF4CBC"/>
    <w:rsid w:val="00AF4DC7"/>
    <w:rsid w:val="00AF535D"/>
    <w:rsid w:val="00AF6096"/>
    <w:rsid w:val="00AF634E"/>
    <w:rsid w:val="00AF67BB"/>
    <w:rsid w:val="00AF6A63"/>
    <w:rsid w:val="00AF6D63"/>
    <w:rsid w:val="00AF700A"/>
    <w:rsid w:val="00AF767A"/>
    <w:rsid w:val="00AF7DB6"/>
    <w:rsid w:val="00AF7F3D"/>
    <w:rsid w:val="00B0237B"/>
    <w:rsid w:val="00B02437"/>
    <w:rsid w:val="00B0344B"/>
    <w:rsid w:val="00B0521D"/>
    <w:rsid w:val="00B05940"/>
    <w:rsid w:val="00B05B85"/>
    <w:rsid w:val="00B06CF5"/>
    <w:rsid w:val="00B104E7"/>
    <w:rsid w:val="00B10A00"/>
    <w:rsid w:val="00B115BF"/>
    <w:rsid w:val="00B1186A"/>
    <w:rsid w:val="00B13070"/>
    <w:rsid w:val="00B1314A"/>
    <w:rsid w:val="00B13788"/>
    <w:rsid w:val="00B137D4"/>
    <w:rsid w:val="00B13B37"/>
    <w:rsid w:val="00B13FFB"/>
    <w:rsid w:val="00B144B2"/>
    <w:rsid w:val="00B149B4"/>
    <w:rsid w:val="00B14D79"/>
    <w:rsid w:val="00B15D97"/>
    <w:rsid w:val="00B16204"/>
    <w:rsid w:val="00B17A80"/>
    <w:rsid w:val="00B2002F"/>
    <w:rsid w:val="00B21B62"/>
    <w:rsid w:val="00B21C34"/>
    <w:rsid w:val="00B22E3A"/>
    <w:rsid w:val="00B23B36"/>
    <w:rsid w:val="00B25D50"/>
    <w:rsid w:val="00B260E7"/>
    <w:rsid w:val="00B26821"/>
    <w:rsid w:val="00B26DEF"/>
    <w:rsid w:val="00B27563"/>
    <w:rsid w:val="00B275B0"/>
    <w:rsid w:val="00B276DD"/>
    <w:rsid w:val="00B27A64"/>
    <w:rsid w:val="00B27A99"/>
    <w:rsid w:val="00B3098E"/>
    <w:rsid w:val="00B31466"/>
    <w:rsid w:val="00B31F1A"/>
    <w:rsid w:val="00B332D4"/>
    <w:rsid w:val="00B3449C"/>
    <w:rsid w:val="00B34750"/>
    <w:rsid w:val="00B357AA"/>
    <w:rsid w:val="00B37459"/>
    <w:rsid w:val="00B40D83"/>
    <w:rsid w:val="00B4243C"/>
    <w:rsid w:val="00B43368"/>
    <w:rsid w:val="00B4391E"/>
    <w:rsid w:val="00B447D0"/>
    <w:rsid w:val="00B4484C"/>
    <w:rsid w:val="00B44CD5"/>
    <w:rsid w:val="00B45C94"/>
    <w:rsid w:val="00B46A94"/>
    <w:rsid w:val="00B46F60"/>
    <w:rsid w:val="00B47257"/>
    <w:rsid w:val="00B474DE"/>
    <w:rsid w:val="00B50E24"/>
    <w:rsid w:val="00B5157E"/>
    <w:rsid w:val="00B51E99"/>
    <w:rsid w:val="00B52527"/>
    <w:rsid w:val="00B5290D"/>
    <w:rsid w:val="00B53109"/>
    <w:rsid w:val="00B53606"/>
    <w:rsid w:val="00B53C2E"/>
    <w:rsid w:val="00B5482A"/>
    <w:rsid w:val="00B55A80"/>
    <w:rsid w:val="00B57EC2"/>
    <w:rsid w:val="00B57FCB"/>
    <w:rsid w:val="00B60831"/>
    <w:rsid w:val="00B61DE2"/>
    <w:rsid w:val="00B61F6C"/>
    <w:rsid w:val="00B6212B"/>
    <w:rsid w:val="00B6217B"/>
    <w:rsid w:val="00B62F2E"/>
    <w:rsid w:val="00B63BB7"/>
    <w:rsid w:val="00B64A98"/>
    <w:rsid w:val="00B652A3"/>
    <w:rsid w:val="00B65575"/>
    <w:rsid w:val="00B6643D"/>
    <w:rsid w:val="00B66A7D"/>
    <w:rsid w:val="00B66BB2"/>
    <w:rsid w:val="00B700BC"/>
    <w:rsid w:val="00B70298"/>
    <w:rsid w:val="00B70333"/>
    <w:rsid w:val="00B705CC"/>
    <w:rsid w:val="00B70884"/>
    <w:rsid w:val="00B71D6E"/>
    <w:rsid w:val="00B72654"/>
    <w:rsid w:val="00B73694"/>
    <w:rsid w:val="00B737F4"/>
    <w:rsid w:val="00B738BE"/>
    <w:rsid w:val="00B73B5F"/>
    <w:rsid w:val="00B74123"/>
    <w:rsid w:val="00B74864"/>
    <w:rsid w:val="00B7528F"/>
    <w:rsid w:val="00B75780"/>
    <w:rsid w:val="00B75FED"/>
    <w:rsid w:val="00B7654B"/>
    <w:rsid w:val="00B76ADC"/>
    <w:rsid w:val="00B76FDE"/>
    <w:rsid w:val="00B77AC4"/>
    <w:rsid w:val="00B77AC5"/>
    <w:rsid w:val="00B80474"/>
    <w:rsid w:val="00B8087E"/>
    <w:rsid w:val="00B81456"/>
    <w:rsid w:val="00B81D07"/>
    <w:rsid w:val="00B8210A"/>
    <w:rsid w:val="00B82847"/>
    <w:rsid w:val="00B8348A"/>
    <w:rsid w:val="00B84967"/>
    <w:rsid w:val="00B84A0F"/>
    <w:rsid w:val="00B84D74"/>
    <w:rsid w:val="00B86763"/>
    <w:rsid w:val="00B90693"/>
    <w:rsid w:val="00B90C1D"/>
    <w:rsid w:val="00B9142A"/>
    <w:rsid w:val="00B92794"/>
    <w:rsid w:val="00B93A77"/>
    <w:rsid w:val="00B960BB"/>
    <w:rsid w:val="00B9713C"/>
    <w:rsid w:val="00BA0192"/>
    <w:rsid w:val="00BA1260"/>
    <w:rsid w:val="00BA1BE6"/>
    <w:rsid w:val="00BA1D94"/>
    <w:rsid w:val="00BA2EEF"/>
    <w:rsid w:val="00BA30C5"/>
    <w:rsid w:val="00BA3154"/>
    <w:rsid w:val="00BA31AE"/>
    <w:rsid w:val="00BA3D20"/>
    <w:rsid w:val="00BA400A"/>
    <w:rsid w:val="00BA45F9"/>
    <w:rsid w:val="00BA4648"/>
    <w:rsid w:val="00BA52F4"/>
    <w:rsid w:val="00BA53C8"/>
    <w:rsid w:val="00BA5BC1"/>
    <w:rsid w:val="00BA6009"/>
    <w:rsid w:val="00BA60C9"/>
    <w:rsid w:val="00BB0114"/>
    <w:rsid w:val="00BB0362"/>
    <w:rsid w:val="00BB03E4"/>
    <w:rsid w:val="00BB03E7"/>
    <w:rsid w:val="00BB10D1"/>
    <w:rsid w:val="00BB17C2"/>
    <w:rsid w:val="00BB2070"/>
    <w:rsid w:val="00BB2F27"/>
    <w:rsid w:val="00BB33FE"/>
    <w:rsid w:val="00BB3402"/>
    <w:rsid w:val="00BB395E"/>
    <w:rsid w:val="00BB3B0C"/>
    <w:rsid w:val="00BB3DFC"/>
    <w:rsid w:val="00BB509C"/>
    <w:rsid w:val="00BB6F46"/>
    <w:rsid w:val="00BB727A"/>
    <w:rsid w:val="00BB7697"/>
    <w:rsid w:val="00BB7BDE"/>
    <w:rsid w:val="00BC02F3"/>
    <w:rsid w:val="00BC073A"/>
    <w:rsid w:val="00BC0C2F"/>
    <w:rsid w:val="00BC0E99"/>
    <w:rsid w:val="00BC23C5"/>
    <w:rsid w:val="00BC2795"/>
    <w:rsid w:val="00BC2ADE"/>
    <w:rsid w:val="00BC39D1"/>
    <w:rsid w:val="00BC3F62"/>
    <w:rsid w:val="00BC4E60"/>
    <w:rsid w:val="00BC5135"/>
    <w:rsid w:val="00BC5415"/>
    <w:rsid w:val="00BC5F8E"/>
    <w:rsid w:val="00BC6E74"/>
    <w:rsid w:val="00BC6F61"/>
    <w:rsid w:val="00BD0AE8"/>
    <w:rsid w:val="00BD1171"/>
    <w:rsid w:val="00BD2AB7"/>
    <w:rsid w:val="00BD3218"/>
    <w:rsid w:val="00BD35D7"/>
    <w:rsid w:val="00BD3735"/>
    <w:rsid w:val="00BD3FB3"/>
    <w:rsid w:val="00BD4541"/>
    <w:rsid w:val="00BD48AA"/>
    <w:rsid w:val="00BD5A8C"/>
    <w:rsid w:val="00BD5FA5"/>
    <w:rsid w:val="00BD6776"/>
    <w:rsid w:val="00BD6AA7"/>
    <w:rsid w:val="00BD7297"/>
    <w:rsid w:val="00BD7594"/>
    <w:rsid w:val="00BE0390"/>
    <w:rsid w:val="00BE1457"/>
    <w:rsid w:val="00BE1992"/>
    <w:rsid w:val="00BE1B1A"/>
    <w:rsid w:val="00BE1B5C"/>
    <w:rsid w:val="00BE31B8"/>
    <w:rsid w:val="00BE3980"/>
    <w:rsid w:val="00BE3FC2"/>
    <w:rsid w:val="00BE40A6"/>
    <w:rsid w:val="00BE40B4"/>
    <w:rsid w:val="00BE5366"/>
    <w:rsid w:val="00BE5391"/>
    <w:rsid w:val="00BE5E7D"/>
    <w:rsid w:val="00BE7377"/>
    <w:rsid w:val="00BE79B3"/>
    <w:rsid w:val="00BE7DD1"/>
    <w:rsid w:val="00BF069E"/>
    <w:rsid w:val="00BF0A79"/>
    <w:rsid w:val="00BF1584"/>
    <w:rsid w:val="00BF26E8"/>
    <w:rsid w:val="00BF276D"/>
    <w:rsid w:val="00BF2942"/>
    <w:rsid w:val="00BF2F44"/>
    <w:rsid w:val="00BF3174"/>
    <w:rsid w:val="00BF39A8"/>
    <w:rsid w:val="00BF3ABF"/>
    <w:rsid w:val="00BF4A71"/>
    <w:rsid w:val="00BF6B9A"/>
    <w:rsid w:val="00BF6F92"/>
    <w:rsid w:val="00BF72C1"/>
    <w:rsid w:val="00BF7949"/>
    <w:rsid w:val="00C01ABD"/>
    <w:rsid w:val="00C01AFD"/>
    <w:rsid w:val="00C039EC"/>
    <w:rsid w:val="00C03C31"/>
    <w:rsid w:val="00C05A37"/>
    <w:rsid w:val="00C05BC3"/>
    <w:rsid w:val="00C062D0"/>
    <w:rsid w:val="00C07515"/>
    <w:rsid w:val="00C076FE"/>
    <w:rsid w:val="00C107F9"/>
    <w:rsid w:val="00C10A52"/>
    <w:rsid w:val="00C11035"/>
    <w:rsid w:val="00C12149"/>
    <w:rsid w:val="00C123AF"/>
    <w:rsid w:val="00C1368D"/>
    <w:rsid w:val="00C14FA7"/>
    <w:rsid w:val="00C15240"/>
    <w:rsid w:val="00C15452"/>
    <w:rsid w:val="00C15625"/>
    <w:rsid w:val="00C1562F"/>
    <w:rsid w:val="00C158E2"/>
    <w:rsid w:val="00C15A19"/>
    <w:rsid w:val="00C15D1E"/>
    <w:rsid w:val="00C15E10"/>
    <w:rsid w:val="00C16682"/>
    <w:rsid w:val="00C171A2"/>
    <w:rsid w:val="00C202EC"/>
    <w:rsid w:val="00C2057B"/>
    <w:rsid w:val="00C20D17"/>
    <w:rsid w:val="00C215DA"/>
    <w:rsid w:val="00C24159"/>
    <w:rsid w:val="00C2468E"/>
    <w:rsid w:val="00C246D3"/>
    <w:rsid w:val="00C2491D"/>
    <w:rsid w:val="00C25C28"/>
    <w:rsid w:val="00C26C22"/>
    <w:rsid w:val="00C26E1C"/>
    <w:rsid w:val="00C26F81"/>
    <w:rsid w:val="00C272D5"/>
    <w:rsid w:val="00C2790B"/>
    <w:rsid w:val="00C27D29"/>
    <w:rsid w:val="00C27F02"/>
    <w:rsid w:val="00C30486"/>
    <w:rsid w:val="00C30D74"/>
    <w:rsid w:val="00C32E87"/>
    <w:rsid w:val="00C331F8"/>
    <w:rsid w:val="00C3329F"/>
    <w:rsid w:val="00C346F3"/>
    <w:rsid w:val="00C34C35"/>
    <w:rsid w:val="00C35C9D"/>
    <w:rsid w:val="00C35FB1"/>
    <w:rsid w:val="00C36171"/>
    <w:rsid w:val="00C36556"/>
    <w:rsid w:val="00C37104"/>
    <w:rsid w:val="00C429EA"/>
    <w:rsid w:val="00C43013"/>
    <w:rsid w:val="00C43517"/>
    <w:rsid w:val="00C43641"/>
    <w:rsid w:val="00C43865"/>
    <w:rsid w:val="00C43FA3"/>
    <w:rsid w:val="00C4427C"/>
    <w:rsid w:val="00C44E15"/>
    <w:rsid w:val="00C4501A"/>
    <w:rsid w:val="00C45270"/>
    <w:rsid w:val="00C45649"/>
    <w:rsid w:val="00C46B39"/>
    <w:rsid w:val="00C46BFF"/>
    <w:rsid w:val="00C46D3E"/>
    <w:rsid w:val="00C505CF"/>
    <w:rsid w:val="00C5087B"/>
    <w:rsid w:val="00C50A0B"/>
    <w:rsid w:val="00C50E14"/>
    <w:rsid w:val="00C50EB2"/>
    <w:rsid w:val="00C51076"/>
    <w:rsid w:val="00C516D4"/>
    <w:rsid w:val="00C51FAF"/>
    <w:rsid w:val="00C524CD"/>
    <w:rsid w:val="00C52578"/>
    <w:rsid w:val="00C54335"/>
    <w:rsid w:val="00C543F0"/>
    <w:rsid w:val="00C552C4"/>
    <w:rsid w:val="00C5742E"/>
    <w:rsid w:val="00C5744D"/>
    <w:rsid w:val="00C57E8C"/>
    <w:rsid w:val="00C60442"/>
    <w:rsid w:val="00C6200C"/>
    <w:rsid w:val="00C62C71"/>
    <w:rsid w:val="00C631DE"/>
    <w:rsid w:val="00C63315"/>
    <w:rsid w:val="00C636F2"/>
    <w:rsid w:val="00C63DB5"/>
    <w:rsid w:val="00C63F92"/>
    <w:rsid w:val="00C6425C"/>
    <w:rsid w:val="00C646C4"/>
    <w:rsid w:val="00C65529"/>
    <w:rsid w:val="00C7024F"/>
    <w:rsid w:val="00C70DEE"/>
    <w:rsid w:val="00C7188A"/>
    <w:rsid w:val="00C71EA5"/>
    <w:rsid w:val="00C72065"/>
    <w:rsid w:val="00C7251C"/>
    <w:rsid w:val="00C732D0"/>
    <w:rsid w:val="00C74088"/>
    <w:rsid w:val="00C74ECC"/>
    <w:rsid w:val="00C75AEA"/>
    <w:rsid w:val="00C77443"/>
    <w:rsid w:val="00C7759D"/>
    <w:rsid w:val="00C778F7"/>
    <w:rsid w:val="00C80191"/>
    <w:rsid w:val="00C80757"/>
    <w:rsid w:val="00C80A51"/>
    <w:rsid w:val="00C80AB0"/>
    <w:rsid w:val="00C81400"/>
    <w:rsid w:val="00C816FE"/>
    <w:rsid w:val="00C8191B"/>
    <w:rsid w:val="00C81CDF"/>
    <w:rsid w:val="00C8204C"/>
    <w:rsid w:val="00C82343"/>
    <w:rsid w:val="00C824AB"/>
    <w:rsid w:val="00C825FE"/>
    <w:rsid w:val="00C82AAB"/>
    <w:rsid w:val="00C82B03"/>
    <w:rsid w:val="00C835A4"/>
    <w:rsid w:val="00C848FA"/>
    <w:rsid w:val="00C84B4F"/>
    <w:rsid w:val="00C850F7"/>
    <w:rsid w:val="00C85637"/>
    <w:rsid w:val="00C85683"/>
    <w:rsid w:val="00C85CB9"/>
    <w:rsid w:val="00C86145"/>
    <w:rsid w:val="00C8626D"/>
    <w:rsid w:val="00C86A42"/>
    <w:rsid w:val="00C86BE2"/>
    <w:rsid w:val="00C86F05"/>
    <w:rsid w:val="00C87EFF"/>
    <w:rsid w:val="00C87F26"/>
    <w:rsid w:val="00C907DB"/>
    <w:rsid w:val="00C90C0D"/>
    <w:rsid w:val="00C91D2D"/>
    <w:rsid w:val="00C92ADB"/>
    <w:rsid w:val="00C92C99"/>
    <w:rsid w:val="00C92FEE"/>
    <w:rsid w:val="00C93240"/>
    <w:rsid w:val="00C93730"/>
    <w:rsid w:val="00C937B4"/>
    <w:rsid w:val="00C94066"/>
    <w:rsid w:val="00C9418D"/>
    <w:rsid w:val="00C944EF"/>
    <w:rsid w:val="00C947C5"/>
    <w:rsid w:val="00C94A1B"/>
    <w:rsid w:val="00C94A7E"/>
    <w:rsid w:val="00CA048C"/>
    <w:rsid w:val="00CA1082"/>
    <w:rsid w:val="00CA11A5"/>
    <w:rsid w:val="00CA25E9"/>
    <w:rsid w:val="00CA2D20"/>
    <w:rsid w:val="00CA587A"/>
    <w:rsid w:val="00CA631C"/>
    <w:rsid w:val="00CB0329"/>
    <w:rsid w:val="00CB04A8"/>
    <w:rsid w:val="00CB04EA"/>
    <w:rsid w:val="00CB07EA"/>
    <w:rsid w:val="00CB1482"/>
    <w:rsid w:val="00CB1586"/>
    <w:rsid w:val="00CB1DD4"/>
    <w:rsid w:val="00CB335B"/>
    <w:rsid w:val="00CB377F"/>
    <w:rsid w:val="00CB4087"/>
    <w:rsid w:val="00CB4655"/>
    <w:rsid w:val="00CB4E3A"/>
    <w:rsid w:val="00CB58CC"/>
    <w:rsid w:val="00CB593F"/>
    <w:rsid w:val="00CB6FA9"/>
    <w:rsid w:val="00CB748E"/>
    <w:rsid w:val="00CC05E4"/>
    <w:rsid w:val="00CC0711"/>
    <w:rsid w:val="00CC2D93"/>
    <w:rsid w:val="00CC340E"/>
    <w:rsid w:val="00CC4BF3"/>
    <w:rsid w:val="00CC4E0D"/>
    <w:rsid w:val="00CC53F6"/>
    <w:rsid w:val="00CC5840"/>
    <w:rsid w:val="00CC596B"/>
    <w:rsid w:val="00CC5FC4"/>
    <w:rsid w:val="00CC6888"/>
    <w:rsid w:val="00CC695B"/>
    <w:rsid w:val="00CC6C71"/>
    <w:rsid w:val="00CC6D21"/>
    <w:rsid w:val="00CC6E42"/>
    <w:rsid w:val="00CD178A"/>
    <w:rsid w:val="00CD1B08"/>
    <w:rsid w:val="00CD3E61"/>
    <w:rsid w:val="00CD427E"/>
    <w:rsid w:val="00CD5C39"/>
    <w:rsid w:val="00CD5E0F"/>
    <w:rsid w:val="00CD7B41"/>
    <w:rsid w:val="00CD7CDC"/>
    <w:rsid w:val="00CE0336"/>
    <w:rsid w:val="00CE04E7"/>
    <w:rsid w:val="00CE113B"/>
    <w:rsid w:val="00CE20FD"/>
    <w:rsid w:val="00CE2121"/>
    <w:rsid w:val="00CE27EE"/>
    <w:rsid w:val="00CE3BAE"/>
    <w:rsid w:val="00CE465D"/>
    <w:rsid w:val="00CE63D5"/>
    <w:rsid w:val="00CE6E38"/>
    <w:rsid w:val="00CE7CA2"/>
    <w:rsid w:val="00CF0192"/>
    <w:rsid w:val="00CF046B"/>
    <w:rsid w:val="00CF0E9C"/>
    <w:rsid w:val="00CF1817"/>
    <w:rsid w:val="00CF43A1"/>
    <w:rsid w:val="00CF4B47"/>
    <w:rsid w:val="00CF4B5E"/>
    <w:rsid w:val="00CF4FF7"/>
    <w:rsid w:val="00CF5140"/>
    <w:rsid w:val="00CF5581"/>
    <w:rsid w:val="00CF5B51"/>
    <w:rsid w:val="00CF5D5D"/>
    <w:rsid w:val="00CF62E7"/>
    <w:rsid w:val="00CF6FA9"/>
    <w:rsid w:val="00CF7111"/>
    <w:rsid w:val="00CF744D"/>
    <w:rsid w:val="00CF7A95"/>
    <w:rsid w:val="00D017CD"/>
    <w:rsid w:val="00D02296"/>
    <w:rsid w:val="00D02758"/>
    <w:rsid w:val="00D0297D"/>
    <w:rsid w:val="00D03002"/>
    <w:rsid w:val="00D03440"/>
    <w:rsid w:val="00D034C0"/>
    <w:rsid w:val="00D04026"/>
    <w:rsid w:val="00D04EB4"/>
    <w:rsid w:val="00D051E5"/>
    <w:rsid w:val="00D051F9"/>
    <w:rsid w:val="00D056A4"/>
    <w:rsid w:val="00D05D5C"/>
    <w:rsid w:val="00D05E6E"/>
    <w:rsid w:val="00D072FC"/>
    <w:rsid w:val="00D073B8"/>
    <w:rsid w:val="00D07C77"/>
    <w:rsid w:val="00D07DD2"/>
    <w:rsid w:val="00D117FD"/>
    <w:rsid w:val="00D125E0"/>
    <w:rsid w:val="00D128E1"/>
    <w:rsid w:val="00D12A75"/>
    <w:rsid w:val="00D130F5"/>
    <w:rsid w:val="00D13808"/>
    <w:rsid w:val="00D141FE"/>
    <w:rsid w:val="00D14448"/>
    <w:rsid w:val="00D14A3A"/>
    <w:rsid w:val="00D14F61"/>
    <w:rsid w:val="00D15E54"/>
    <w:rsid w:val="00D1626A"/>
    <w:rsid w:val="00D168DA"/>
    <w:rsid w:val="00D16AEF"/>
    <w:rsid w:val="00D179E4"/>
    <w:rsid w:val="00D17B5C"/>
    <w:rsid w:val="00D17F75"/>
    <w:rsid w:val="00D22011"/>
    <w:rsid w:val="00D223E4"/>
    <w:rsid w:val="00D2256C"/>
    <w:rsid w:val="00D2264C"/>
    <w:rsid w:val="00D22DD5"/>
    <w:rsid w:val="00D22EB1"/>
    <w:rsid w:val="00D23028"/>
    <w:rsid w:val="00D23214"/>
    <w:rsid w:val="00D2337B"/>
    <w:rsid w:val="00D23FC7"/>
    <w:rsid w:val="00D240EF"/>
    <w:rsid w:val="00D24336"/>
    <w:rsid w:val="00D247B4"/>
    <w:rsid w:val="00D24A97"/>
    <w:rsid w:val="00D24D35"/>
    <w:rsid w:val="00D26D34"/>
    <w:rsid w:val="00D30AB6"/>
    <w:rsid w:val="00D3273E"/>
    <w:rsid w:val="00D337E7"/>
    <w:rsid w:val="00D33DDB"/>
    <w:rsid w:val="00D35064"/>
    <w:rsid w:val="00D36AA8"/>
    <w:rsid w:val="00D37343"/>
    <w:rsid w:val="00D374F5"/>
    <w:rsid w:val="00D40503"/>
    <w:rsid w:val="00D40A46"/>
    <w:rsid w:val="00D40C7C"/>
    <w:rsid w:val="00D40E6D"/>
    <w:rsid w:val="00D41BD4"/>
    <w:rsid w:val="00D41EBC"/>
    <w:rsid w:val="00D42577"/>
    <w:rsid w:val="00D42B92"/>
    <w:rsid w:val="00D42E07"/>
    <w:rsid w:val="00D43593"/>
    <w:rsid w:val="00D43878"/>
    <w:rsid w:val="00D4433E"/>
    <w:rsid w:val="00D44801"/>
    <w:rsid w:val="00D45F3C"/>
    <w:rsid w:val="00D46A11"/>
    <w:rsid w:val="00D51DFC"/>
    <w:rsid w:val="00D5388C"/>
    <w:rsid w:val="00D538E9"/>
    <w:rsid w:val="00D53962"/>
    <w:rsid w:val="00D53AD2"/>
    <w:rsid w:val="00D5464D"/>
    <w:rsid w:val="00D55CA3"/>
    <w:rsid w:val="00D56638"/>
    <w:rsid w:val="00D56778"/>
    <w:rsid w:val="00D56794"/>
    <w:rsid w:val="00D5698F"/>
    <w:rsid w:val="00D5702C"/>
    <w:rsid w:val="00D60DCC"/>
    <w:rsid w:val="00D613A8"/>
    <w:rsid w:val="00D61410"/>
    <w:rsid w:val="00D61E28"/>
    <w:rsid w:val="00D62419"/>
    <w:rsid w:val="00D630DF"/>
    <w:rsid w:val="00D63746"/>
    <w:rsid w:val="00D642D0"/>
    <w:rsid w:val="00D648B0"/>
    <w:rsid w:val="00D64CD4"/>
    <w:rsid w:val="00D65665"/>
    <w:rsid w:val="00D65F1A"/>
    <w:rsid w:val="00D66588"/>
    <w:rsid w:val="00D6734A"/>
    <w:rsid w:val="00D67817"/>
    <w:rsid w:val="00D67838"/>
    <w:rsid w:val="00D67E30"/>
    <w:rsid w:val="00D7275B"/>
    <w:rsid w:val="00D72E48"/>
    <w:rsid w:val="00D73235"/>
    <w:rsid w:val="00D73561"/>
    <w:rsid w:val="00D73651"/>
    <w:rsid w:val="00D736E8"/>
    <w:rsid w:val="00D75C77"/>
    <w:rsid w:val="00D76910"/>
    <w:rsid w:val="00D77E8E"/>
    <w:rsid w:val="00D8070A"/>
    <w:rsid w:val="00D80BFC"/>
    <w:rsid w:val="00D80C91"/>
    <w:rsid w:val="00D80F84"/>
    <w:rsid w:val="00D819EE"/>
    <w:rsid w:val="00D81F0B"/>
    <w:rsid w:val="00D82206"/>
    <w:rsid w:val="00D823F0"/>
    <w:rsid w:val="00D82AB5"/>
    <w:rsid w:val="00D851A4"/>
    <w:rsid w:val="00D856D3"/>
    <w:rsid w:val="00D861A6"/>
    <w:rsid w:val="00D87CAA"/>
    <w:rsid w:val="00D90100"/>
    <w:rsid w:val="00D9058B"/>
    <w:rsid w:val="00D90D7A"/>
    <w:rsid w:val="00D90E90"/>
    <w:rsid w:val="00D9179A"/>
    <w:rsid w:val="00D9232F"/>
    <w:rsid w:val="00D923B2"/>
    <w:rsid w:val="00D938F8"/>
    <w:rsid w:val="00D93BF5"/>
    <w:rsid w:val="00D943C0"/>
    <w:rsid w:val="00D94D81"/>
    <w:rsid w:val="00D95944"/>
    <w:rsid w:val="00D97141"/>
    <w:rsid w:val="00D977D1"/>
    <w:rsid w:val="00D97A90"/>
    <w:rsid w:val="00D97EF9"/>
    <w:rsid w:val="00DA0D07"/>
    <w:rsid w:val="00DA144C"/>
    <w:rsid w:val="00DA1871"/>
    <w:rsid w:val="00DA27E9"/>
    <w:rsid w:val="00DA29DE"/>
    <w:rsid w:val="00DA2E36"/>
    <w:rsid w:val="00DA446C"/>
    <w:rsid w:val="00DA4A8B"/>
    <w:rsid w:val="00DA4C01"/>
    <w:rsid w:val="00DA4C0B"/>
    <w:rsid w:val="00DA59AF"/>
    <w:rsid w:val="00DA62B1"/>
    <w:rsid w:val="00DA70D8"/>
    <w:rsid w:val="00DB040C"/>
    <w:rsid w:val="00DB0990"/>
    <w:rsid w:val="00DB100E"/>
    <w:rsid w:val="00DB16EA"/>
    <w:rsid w:val="00DB2C00"/>
    <w:rsid w:val="00DB4074"/>
    <w:rsid w:val="00DB4563"/>
    <w:rsid w:val="00DB4598"/>
    <w:rsid w:val="00DB4DD9"/>
    <w:rsid w:val="00DB64BC"/>
    <w:rsid w:val="00DB65B3"/>
    <w:rsid w:val="00DB6889"/>
    <w:rsid w:val="00DB6C4A"/>
    <w:rsid w:val="00DC069B"/>
    <w:rsid w:val="00DC0855"/>
    <w:rsid w:val="00DC0F4C"/>
    <w:rsid w:val="00DC1E01"/>
    <w:rsid w:val="00DC23AB"/>
    <w:rsid w:val="00DC25DF"/>
    <w:rsid w:val="00DC36D8"/>
    <w:rsid w:val="00DC4452"/>
    <w:rsid w:val="00DC4562"/>
    <w:rsid w:val="00DC4BFC"/>
    <w:rsid w:val="00DC5303"/>
    <w:rsid w:val="00DC5818"/>
    <w:rsid w:val="00DC5BD9"/>
    <w:rsid w:val="00DC6155"/>
    <w:rsid w:val="00DC6C27"/>
    <w:rsid w:val="00DC7951"/>
    <w:rsid w:val="00DD007E"/>
    <w:rsid w:val="00DD008E"/>
    <w:rsid w:val="00DD0F13"/>
    <w:rsid w:val="00DD1138"/>
    <w:rsid w:val="00DD19B2"/>
    <w:rsid w:val="00DD1ECB"/>
    <w:rsid w:val="00DD29EB"/>
    <w:rsid w:val="00DD361D"/>
    <w:rsid w:val="00DD639C"/>
    <w:rsid w:val="00DD63F0"/>
    <w:rsid w:val="00DD6CCC"/>
    <w:rsid w:val="00DD6F95"/>
    <w:rsid w:val="00DD7657"/>
    <w:rsid w:val="00DE1119"/>
    <w:rsid w:val="00DE1A9E"/>
    <w:rsid w:val="00DE336C"/>
    <w:rsid w:val="00DE3A68"/>
    <w:rsid w:val="00DE47BB"/>
    <w:rsid w:val="00DE4AA4"/>
    <w:rsid w:val="00DE75BC"/>
    <w:rsid w:val="00DF11CD"/>
    <w:rsid w:val="00DF18ED"/>
    <w:rsid w:val="00DF35AF"/>
    <w:rsid w:val="00DF4735"/>
    <w:rsid w:val="00DF48ED"/>
    <w:rsid w:val="00DF541B"/>
    <w:rsid w:val="00DF54A7"/>
    <w:rsid w:val="00DF5BF0"/>
    <w:rsid w:val="00DF5F8B"/>
    <w:rsid w:val="00DF6DDE"/>
    <w:rsid w:val="00DF7E43"/>
    <w:rsid w:val="00DF7E6D"/>
    <w:rsid w:val="00E014A1"/>
    <w:rsid w:val="00E02C4D"/>
    <w:rsid w:val="00E03235"/>
    <w:rsid w:val="00E05364"/>
    <w:rsid w:val="00E059E8"/>
    <w:rsid w:val="00E07164"/>
    <w:rsid w:val="00E07221"/>
    <w:rsid w:val="00E112D5"/>
    <w:rsid w:val="00E115FB"/>
    <w:rsid w:val="00E116E4"/>
    <w:rsid w:val="00E119BB"/>
    <w:rsid w:val="00E11C6D"/>
    <w:rsid w:val="00E1227D"/>
    <w:rsid w:val="00E126EB"/>
    <w:rsid w:val="00E12F29"/>
    <w:rsid w:val="00E13FD6"/>
    <w:rsid w:val="00E144AB"/>
    <w:rsid w:val="00E14A4B"/>
    <w:rsid w:val="00E15E98"/>
    <w:rsid w:val="00E2117E"/>
    <w:rsid w:val="00E225D6"/>
    <w:rsid w:val="00E25645"/>
    <w:rsid w:val="00E25D5C"/>
    <w:rsid w:val="00E26C78"/>
    <w:rsid w:val="00E279E5"/>
    <w:rsid w:val="00E27CBB"/>
    <w:rsid w:val="00E30ECD"/>
    <w:rsid w:val="00E312E4"/>
    <w:rsid w:val="00E316D1"/>
    <w:rsid w:val="00E31B97"/>
    <w:rsid w:val="00E34783"/>
    <w:rsid w:val="00E349BC"/>
    <w:rsid w:val="00E34D28"/>
    <w:rsid w:val="00E35326"/>
    <w:rsid w:val="00E35B68"/>
    <w:rsid w:val="00E36543"/>
    <w:rsid w:val="00E365FF"/>
    <w:rsid w:val="00E36718"/>
    <w:rsid w:val="00E36725"/>
    <w:rsid w:val="00E36F5C"/>
    <w:rsid w:val="00E37A3D"/>
    <w:rsid w:val="00E37FE1"/>
    <w:rsid w:val="00E420DD"/>
    <w:rsid w:val="00E423C9"/>
    <w:rsid w:val="00E43D9D"/>
    <w:rsid w:val="00E454BC"/>
    <w:rsid w:val="00E4590A"/>
    <w:rsid w:val="00E45F08"/>
    <w:rsid w:val="00E45F0B"/>
    <w:rsid w:val="00E46300"/>
    <w:rsid w:val="00E46716"/>
    <w:rsid w:val="00E46B48"/>
    <w:rsid w:val="00E50953"/>
    <w:rsid w:val="00E51EC0"/>
    <w:rsid w:val="00E526E6"/>
    <w:rsid w:val="00E52847"/>
    <w:rsid w:val="00E52E96"/>
    <w:rsid w:val="00E5320B"/>
    <w:rsid w:val="00E53837"/>
    <w:rsid w:val="00E53852"/>
    <w:rsid w:val="00E53F22"/>
    <w:rsid w:val="00E54B82"/>
    <w:rsid w:val="00E54E9B"/>
    <w:rsid w:val="00E55696"/>
    <w:rsid w:val="00E609AA"/>
    <w:rsid w:val="00E61B70"/>
    <w:rsid w:val="00E6224E"/>
    <w:rsid w:val="00E627AC"/>
    <w:rsid w:val="00E62AF6"/>
    <w:rsid w:val="00E63BFA"/>
    <w:rsid w:val="00E63CC6"/>
    <w:rsid w:val="00E63E46"/>
    <w:rsid w:val="00E6575B"/>
    <w:rsid w:val="00E65BEC"/>
    <w:rsid w:val="00E65FD6"/>
    <w:rsid w:val="00E660CD"/>
    <w:rsid w:val="00E664D0"/>
    <w:rsid w:val="00E7061B"/>
    <w:rsid w:val="00E70810"/>
    <w:rsid w:val="00E70D60"/>
    <w:rsid w:val="00E72BED"/>
    <w:rsid w:val="00E72FD2"/>
    <w:rsid w:val="00E742E1"/>
    <w:rsid w:val="00E74724"/>
    <w:rsid w:val="00E74BFF"/>
    <w:rsid w:val="00E759D1"/>
    <w:rsid w:val="00E75F5D"/>
    <w:rsid w:val="00E76AA3"/>
    <w:rsid w:val="00E80971"/>
    <w:rsid w:val="00E81A63"/>
    <w:rsid w:val="00E82243"/>
    <w:rsid w:val="00E8240B"/>
    <w:rsid w:val="00E82A70"/>
    <w:rsid w:val="00E83BA2"/>
    <w:rsid w:val="00E84EA3"/>
    <w:rsid w:val="00E85290"/>
    <w:rsid w:val="00E8745F"/>
    <w:rsid w:val="00E878A1"/>
    <w:rsid w:val="00E87BF9"/>
    <w:rsid w:val="00E9101F"/>
    <w:rsid w:val="00E91817"/>
    <w:rsid w:val="00E91B81"/>
    <w:rsid w:val="00E91C46"/>
    <w:rsid w:val="00E922D5"/>
    <w:rsid w:val="00E92388"/>
    <w:rsid w:val="00E9286A"/>
    <w:rsid w:val="00E92D27"/>
    <w:rsid w:val="00E93A99"/>
    <w:rsid w:val="00E93FCF"/>
    <w:rsid w:val="00E941FD"/>
    <w:rsid w:val="00E94922"/>
    <w:rsid w:val="00E94BF9"/>
    <w:rsid w:val="00E95114"/>
    <w:rsid w:val="00E95286"/>
    <w:rsid w:val="00E974A4"/>
    <w:rsid w:val="00EA00A3"/>
    <w:rsid w:val="00EA123C"/>
    <w:rsid w:val="00EA1A87"/>
    <w:rsid w:val="00EA1CC0"/>
    <w:rsid w:val="00EA2D5D"/>
    <w:rsid w:val="00EA5660"/>
    <w:rsid w:val="00EA569D"/>
    <w:rsid w:val="00EA6BC0"/>
    <w:rsid w:val="00EA6BD5"/>
    <w:rsid w:val="00EA6E4F"/>
    <w:rsid w:val="00EA7017"/>
    <w:rsid w:val="00EB100E"/>
    <w:rsid w:val="00EB1A77"/>
    <w:rsid w:val="00EB2F2A"/>
    <w:rsid w:val="00EB345F"/>
    <w:rsid w:val="00EB5B78"/>
    <w:rsid w:val="00EB61BB"/>
    <w:rsid w:val="00EB66EA"/>
    <w:rsid w:val="00EB6CA6"/>
    <w:rsid w:val="00EB6D9C"/>
    <w:rsid w:val="00EB76DF"/>
    <w:rsid w:val="00EB7BA7"/>
    <w:rsid w:val="00EC003F"/>
    <w:rsid w:val="00EC1EB6"/>
    <w:rsid w:val="00EC1EE4"/>
    <w:rsid w:val="00EC2106"/>
    <w:rsid w:val="00EC52CE"/>
    <w:rsid w:val="00EC54C2"/>
    <w:rsid w:val="00EC572F"/>
    <w:rsid w:val="00EC5950"/>
    <w:rsid w:val="00EC633A"/>
    <w:rsid w:val="00EC67DA"/>
    <w:rsid w:val="00EC698F"/>
    <w:rsid w:val="00EC70E8"/>
    <w:rsid w:val="00ED04C2"/>
    <w:rsid w:val="00ED0870"/>
    <w:rsid w:val="00ED1D20"/>
    <w:rsid w:val="00ED1E3A"/>
    <w:rsid w:val="00ED20C0"/>
    <w:rsid w:val="00ED20CA"/>
    <w:rsid w:val="00ED3C8F"/>
    <w:rsid w:val="00ED45FD"/>
    <w:rsid w:val="00ED4B10"/>
    <w:rsid w:val="00ED5B37"/>
    <w:rsid w:val="00ED68E3"/>
    <w:rsid w:val="00ED68E9"/>
    <w:rsid w:val="00ED7141"/>
    <w:rsid w:val="00EE17F8"/>
    <w:rsid w:val="00EE263C"/>
    <w:rsid w:val="00EE2738"/>
    <w:rsid w:val="00EE47EC"/>
    <w:rsid w:val="00EE4DD1"/>
    <w:rsid w:val="00EE55AF"/>
    <w:rsid w:val="00EE56A5"/>
    <w:rsid w:val="00EE58D8"/>
    <w:rsid w:val="00EE6125"/>
    <w:rsid w:val="00EE6320"/>
    <w:rsid w:val="00EE6A67"/>
    <w:rsid w:val="00EE7063"/>
    <w:rsid w:val="00EE75E1"/>
    <w:rsid w:val="00EE772E"/>
    <w:rsid w:val="00EE7D82"/>
    <w:rsid w:val="00EE7E44"/>
    <w:rsid w:val="00EF12CE"/>
    <w:rsid w:val="00EF16CD"/>
    <w:rsid w:val="00EF2D22"/>
    <w:rsid w:val="00EF3BF0"/>
    <w:rsid w:val="00EF3C6D"/>
    <w:rsid w:val="00EF4E13"/>
    <w:rsid w:val="00EF5235"/>
    <w:rsid w:val="00EF574C"/>
    <w:rsid w:val="00EF6DC2"/>
    <w:rsid w:val="00EF74F3"/>
    <w:rsid w:val="00EF78C7"/>
    <w:rsid w:val="00EF7E0F"/>
    <w:rsid w:val="00F00C9A"/>
    <w:rsid w:val="00F0131E"/>
    <w:rsid w:val="00F02F08"/>
    <w:rsid w:val="00F0336F"/>
    <w:rsid w:val="00F03E58"/>
    <w:rsid w:val="00F04B36"/>
    <w:rsid w:val="00F04E6D"/>
    <w:rsid w:val="00F057B3"/>
    <w:rsid w:val="00F05DA1"/>
    <w:rsid w:val="00F05FC6"/>
    <w:rsid w:val="00F063FB"/>
    <w:rsid w:val="00F065E3"/>
    <w:rsid w:val="00F0786C"/>
    <w:rsid w:val="00F1020A"/>
    <w:rsid w:val="00F11340"/>
    <w:rsid w:val="00F113B9"/>
    <w:rsid w:val="00F113F6"/>
    <w:rsid w:val="00F11A99"/>
    <w:rsid w:val="00F11C4B"/>
    <w:rsid w:val="00F1257B"/>
    <w:rsid w:val="00F127B1"/>
    <w:rsid w:val="00F12EE2"/>
    <w:rsid w:val="00F1366F"/>
    <w:rsid w:val="00F1384F"/>
    <w:rsid w:val="00F142B0"/>
    <w:rsid w:val="00F147D9"/>
    <w:rsid w:val="00F14AEC"/>
    <w:rsid w:val="00F15586"/>
    <w:rsid w:val="00F15C90"/>
    <w:rsid w:val="00F166D7"/>
    <w:rsid w:val="00F1742A"/>
    <w:rsid w:val="00F17476"/>
    <w:rsid w:val="00F21B42"/>
    <w:rsid w:val="00F241E1"/>
    <w:rsid w:val="00F246C6"/>
    <w:rsid w:val="00F253A6"/>
    <w:rsid w:val="00F26620"/>
    <w:rsid w:val="00F26856"/>
    <w:rsid w:val="00F27320"/>
    <w:rsid w:val="00F276BB"/>
    <w:rsid w:val="00F2785A"/>
    <w:rsid w:val="00F30039"/>
    <w:rsid w:val="00F30CC4"/>
    <w:rsid w:val="00F30D6F"/>
    <w:rsid w:val="00F31C75"/>
    <w:rsid w:val="00F32936"/>
    <w:rsid w:val="00F33141"/>
    <w:rsid w:val="00F33239"/>
    <w:rsid w:val="00F33479"/>
    <w:rsid w:val="00F33B9E"/>
    <w:rsid w:val="00F340F7"/>
    <w:rsid w:val="00F34559"/>
    <w:rsid w:val="00F34F95"/>
    <w:rsid w:val="00F35B03"/>
    <w:rsid w:val="00F36A09"/>
    <w:rsid w:val="00F36D4D"/>
    <w:rsid w:val="00F37F44"/>
    <w:rsid w:val="00F413AA"/>
    <w:rsid w:val="00F41D7F"/>
    <w:rsid w:val="00F43EB6"/>
    <w:rsid w:val="00F454AA"/>
    <w:rsid w:val="00F4560E"/>
    <w:rsid w:val="00F4655E"/>
    <w:rsid w:val="00F47136"/>
    <w:rsid w:val="00F50E3F"/>
    <w:rsid w:val="00F513EB"/>
    <w:rsid w:val="00F52571"/>
    <w:rsid w:val="00F53612"/>
    <w:rsid w:val="00F5481D"/>
    <w:rsid w:val="00F55221"/>
    <w:rsid w:val="00F556EB"/>
    <w:rsid w:val="00F559FF"/>
    <w:rsid w:val="00F56838"/>
    <w:rsid w:val="00F572EB"/>
    <w:rsid w:val="00F575C1"/>
    <w:rsid w:val="00F579C2"/>
    <w:rsid w:val="00F57EB0"/>
    <w:rsid w:val="00F62A6C"/>
    <w:rsid w:val="00F63744"/>
    <w:rsid w:val="00F64188"/>
    <w:rsid w:val="00F66270"/>
    <w:rsid w:val="00F6660E"/>
    <w:rsid w:val="00F66C99"/>
    <w:rsid w:val="00F67548"/>
    <w:rsid w:val="00F677C8"/>
    <w:rsid w:val="00F67D11"/>
    <w:rsid w:val="00F70341"/>
    <w:rsid w:val="00F70C38"/>
    <w:rsid w:val="00F70DE5"/>
    <w:rsid w:val="00F70EC6"/>
    <w:rsid w:val="00F719C1"/>
    <w:rsid w:val="00F727DB"/>
    <w:rsid w:val="00F72E92"/>
    <w:rsid w:val="00F72EFE"/>
    <w:rsid w:val="00F72FF6"/>
    <w:rsid w:val="00F73208"/>
    <w:rsid w:val="00F7340B"/>
    <w:rsid w:val="00F74DA4"/>
    <w:rsid w:val="00F75EF4"/>
    <w:rsid w:val="00F75EFA"/>
    <w:rsid w:val="00F77F1C"/>
    <w:rsid w:val="00F81260"/>
    <w:rsid w:val="00F81C4E"/>
    <w:rsid w:val="00F831A9"/>
    <w:rsid w:val="00F8340B"/>
    <w:rsid w:val="00F83E4D"/>
    <w:rsid w:val="00F84DF0"/>
    <w:rsid w:val="00F84FBF"/>
    <w:rsid w:val="00F84FFF"/>
    <w:rsid w:val="00F8528F"/>
    <w:rsid w:val="00F864A5"/>
    <w:rsid w:val="00F86B42"/>
    <w:rsid w:val="00F86B70"/>
    <w:rsid w:val="00F875E9"/>
    <w:rsid w:val="00F90C11"/>
    <w:rsid w:val="00F90D96"/>
    <w:rsid w:val="00F91F7B"/>
    <w:rsid w:val="00F92756"/>
    <w:rsid w:val="00F93CE2"/>
    <w:rsid w:val="00F95506"/>
    <w:rsid w:val="00F9699E"/>
    <w:rsid w:val="00F97643"/>
    <w:rsid w:val="00F9768C"/>
    <w:rsid w:val="00F97768"/>
    <w:rsid w:val="00F97A36"/>
    <w:rsid w:val="00FA033F"/>
    <w:rsid w:val="00FA0AE6"/>
    <w:rsid w:val="00FA0DF1"/>
    <w:rsid w:val="00FA255C"/>
    <w:rsid w:val="00FA29E2"/>
    <w:rsid w:val="00FA44F3"/>
    <w:rsid w:val="00FA465F"/>
    <w:rsid w:val="00FA5161"/>
    <w:rsid w:val="00FA53AD"/>
    <w:rsid w:val="00FA5E10"/>
    <w:rsid w:val="00FA5E50"/>
    <w:rsid w:val="00FA6448"/>
    <w:rsid w:val="00FA6E89"/>
    <w:rsid w:val="00FA75C6"/>
    <w:rsid w:val="00FB04D6"/>
    <w:rsid w:val="00FB1870"/>
    <w:rsid w:val="00FB1895"/>
    <w:rsid w:val="00FB192A"/>
    <w:rsid w:val="00FB1FBF"/>
    <w:rsid w:val="00FB381A"/>
    <w:rsid w:val="00FB3E57"/>
    <w:rsid w:val="00FB42E3"/>
    <w:rsid w:val="00FB4FCA"/>
    <w:rsid w:val="00FB555F"/>
    <w:rsid w:val="00FB5615"/>
    <w:rsid w:val="00FB5983"/>
    <w:rsid w:val="00FB5FA0"/>
    <w:rsid w:val="00FB6353"/>
    <w:rsid w:val="00FB67C3"/>
    <w:rsid w:val="00FB76F3"/>
    <w:rsid w:val="00FB7AAC"/>
    <w:rsid w:val="00FB7B27"/>
    <w:rsid w:val="00FB7E77"/>
    <w:rsid w:val="00FB7E8D"/>
    <w:rsid w:val="00FC07F1"/>
    <w:rsid w:val="00FC10D1"/>
    <w:rsid w:val="00FC17FD"/>
    <w:rsid w:val="00FC1D40"/>
    <w:rsid w:val="00FC1DD2"/>
    <w:rsid w:val="00FC21F7"/>
    <w:rsid w:val="00FC253A"/>
    <w:rsid w:val="00FC2823"/>
    <w:rsid w:val="00FC3073"/>
    <w:rsid w:val="00FC40B7"/>
    <w:rsid w:val="00FC4FE0"/>
    <w:rsid w:val="00FC5EC2"/>
    <w:rsid w:val="00FC5FF2"/>
    <w:rsid w:val="00FD1DC4"/>
    <w:rsid w:val="00FD25AE"/>
    <w:rsid w:val="00FD4526"/>
    <w:rsid w:val="00FD5A41"/>
    <w:rsid w:val="00FD7506"/>
    <w:rsid w:val="00FD78A2"/>
    <w:rsid w:val="00FD7A0B"/>
    <w:rsid w:val="00FE0B38"/>
    <w:rsid w:val="00FE1803"/>
    <w:rsid w:val="00FE269A"/>
    <w:rsid w:val="00FE2E07"/>
    <w:rsid w:val="00FE2F50"/>
    <w:rsid w:val="00FE3016"/>
    <w:rsid w:val="00FE3366"/>
    <w:rsid w:val="00FE36D7"/>
    <w:rsid w:val="00FE4000"/>
    <w:rsid w:val="00FE4DE4"/>
    <w:rsid w:val="00FE5020"/>
    <w:rsid w:val="00FE5B8A"/>
    <w:rsid w:val="00FE6357"/>
    <w:rsid w:val="00FE6FEC"/>
    <w:rsid w:val="00FE7489"/>
    <w:rsid w:val="00FE7572"/>
    <w:rsid w:val="00FE7661"/>
    <w:rsid w:val="00FF0629"/>
    <w:rsid w:val="00FF0784"/>
    <w:rsid w:val="00FF08CD"/>
    <w:rsid w:val="00FF0FEE"/>
    <w:rsid w:val="00FF10CF"/>
    <w:rsid w:val="00FF236B"/>
    <w:rsid w:val="00FF2436"/>
    <w:rsid w:val="00FF3054"/>
    <w:rsid w:val="00FF3BC6"/>
    <w:rsid w:val="00FF3C8D"/>
    <w:rsid w:val="00FF3CA4"/>
    <w:rsid w:val="00FF53B4"/>
    <w:rsid w:val="00FF55E7"/>
    <w:rsid w:val="00FF6EB0"/>
    <w:rsid w:val="00FF722D"/>
    <w:rsid w:val="00FF7AA9"/>
    <w:rsid w:val="00FF7DF8"/>
    <w:rsid w:val="010E7CB2"/>
    <w:rsid w:val="01173927"/>
    <w:rsid w:val="01186EE0"/>
    <w:rsid w:val="01477F85"/>
    <w:rsid w:val="014B45D5"/>
    <w:rsid w:val="014D2132"/>
    <w:rsid w:val="0156588F"/>
    <w:rsid w:val="018D302D"/>
    <w:rsid w:val="01921F5F"/>
    <w:rsid w:val="01C90203"/>
    <w:rsid w:val="01D72237"/>
    <w:rsid w:val="01DC4AE3"/>
    <w:rsid w:val="01E55C4D"/>
    <w:rsid w:val="01E9190B"/>
    <w:rsid w:val="01F53F09"/>
    <w:rsid w:val="01F8047B"/>
    <w:rsid w:val="02093578"/>
    <w:rsid w:val="020F3DE1"/>
    <w:rsid w:val="021426BF"/>
    <w:rsid w:val="021A59E8"/>
    <w:rsid w:val="021C1F77"/>
    <w:rsid w:val="02272253"/>
    <w:rsid w:val="02301F51"/>
    <w:rsid w:val="02751611"/>
    <w:rsid w:val="02760D46"/>
    <w:rsid w:val="027C505A"/>
    <w:rsid w:val="02805E07"/>
    <w:rsid w:val="028637E4"/>
    <w:rsid w:val="02AE7247"/>
    <w:rsid w:val="02C32DE7"/>
    <w:rsid w:val="02D66B12"/>
    <w:rsid w:val="02D826BF"/>
    <w:rsid w:val="02F72039"/>
    <w:rsid w:val="0314369E"/>
    <w:rsid w:val="033F37F5"/>
    <w:rsid w:val="034A3A2A"/>
    <w:rsid w:val="037914B9"/>
    <w:rsid w:val="037C0C14"/>
    <w:rsid w:val="03CE255B"/>
    <w:rsid w:val="03E72E29"/>
    <w:rsid w:val="03F7382B"/>
    <w:rsid w:val="04096F16"/>
    <w:rsid w:val="04706187"/>
    <w:rsid w:val="0475602F"/>
    <w:rsid w:val="049B2A33"/>
    <w:rsid w:val="04A54D69"/>
    <w:rsid w:val="04CC7837"/>
    <w:rsid w:val="04EC00DD"/>
    <w:rsid w:val="051720BB"/>
    <w:rsid w:val="051D4F39"/>
    <w:rsid w:val="052F496B"/>
    <w:rsid w:val="05327CC2"/>
    <w:rsid w:val="05417406"/>
    <w:rsid w:val="054951CF"/>
    <w:rsid w:val="055814C7"/>
    <w:rsid w:val="056D2B70"/>
    <w:rsid w:val="058225C8"/>
    <w:rsid w:val="05A45934"/>
    <w:rsid w:val="05AB7BCE"/>
    <w:rsid w:val="05B52452"/>
    <w:rsid w:val="05BF4CC7"/>
    <w:rsid w:val="05EE6BEB"/>
    <w:rsid w:val="064B5F70"/>
    <w:rsid w:val="065211D8"/>
    <w:rsid w:val="065F40F7"/>
    <w:rsid w:val="067E55C6"/>
    <w:rsid w:val="0694561B"/>
    <w:rsid w:val="06955BC4"/>
    <w:rsid w:val="06B63468"/>
    <w:rsid w:val="06C741D2"/>
    <w:rsid w:val="06D67037"/>
    <w:rsid w:val="06DB5753"/>
    <w:rsid w:val="06DD10CB"/>
    <w:rsid w:val="06DE7B2C"/>
    <w:rsid w:val="06E07714"/>
    <w:rsid w:val="070209EF"/>
    <w:rsid w:val="07046848"/>
    <w:rsid w:val="070B22D7"/>
    <w:rsid w:val="0723358C"/>
    <w:rsid w:val="07351192"/>
    <w:rsid w:val="0739340A"/>
    <w:rsid w:val="0744074D"/>
    <w:rsid w:val="074E2693"/>
    <w:rsid w:val="076707F4"/>
    <w:rsid w:val="076F159E"/>
    <w:rsid w:val="07A70E73"/>
    <w:rsid w:val="07AC6446"/>
    <w:rsid w:val="07CD6362"/>
    <w:rsid w:val="07CE70CD"/>
    <w:rsid w:val="07D0440A"/>
    <w:rsid w:val="07DB3AA8"/>
    <w:rsid w:val="08077EBD"/>
    <w:rsid w:val="081849CF"/>
    <w:rsid w:val="08382B48"/>
    <w:rsid w:val="08516094"/>
    <w:rsid w:val="086F67D0"/>
    <w:rsid w:val="0870444A"/>
    <w:rsid w:val="08715EFB"/>
    <w:rsid w:val="08892A55"/>
    <w:rsid w:val="08B74F9A"/>
    <w:rsid w:val="08B77F3D"/>
    <w:rsid w:val="08C14C12"/>
    <w:rsid w:val="08F44059"/>
    <w:rsid w:val="08FA05C3"/>
    <w:rsid w:val="08FB1A2C"/>
    <w:rsid w:val="090A5CF7"/>
    <w:rsid w:val="09187FB1"/>
    <w:rsid w:val="091A18C6"/>
    <w:rsid w:val="093D7A96"/>
    <w:rsid w:val="095447E6"/>
    <w:rsid w:val="096C49AA"/>
    <w:rsid w:val="09734E5C"/>
    <w:rsid w:val="097749FE"/>
    <w:rsid w:val="0987438F"/>
    <w:rsid w:val="09886F32"/>
    <w:rsid w:val="09A709F2"/>
    <w:rsid w:val="09AA4F21"/>
    <w:rsid w:val="09AF0F01"/>
    <w:rsid w:val="09C57079"/>
    <w:rsid w:val="09C95807"/>
    <w:rsid w:val="09CE663A"/>
    <w:rsid w:val="09F80D9E"/>
    <w:rsid w:val="0A4B3D2A"/>
    <w:rsid w:val="0A7E7E19"/>
    <w:rsid w:val="0AB640BC"/>
    <w:rsid w:val="0ABA0A91"/>
    <w:rsid w:val="0AE63C1F"/>
    <w:rsid w:val="0AF86075"/>
    <w:rsid w:val="0B030A3D"/>
    <w:rsid w:val="0B052E61"/>
    <w:rsid w:val="0B4F49B0"/>
    <w:rsid w:val="0B51004B"/>
    <w:rsid w:val="0B600381"/>
    <w:rsid w:val="0B7428D3"/>
    <w:rsid w:val="0B8231B8"/>
    <w:rsid w:val="0B894C47"/>
    <w:rsid w:val="0B8E13A1"/>
    <w:rsid w:val="0B9A360A"/>
    <w:rsid w:val="0BAE27C8"/>
    <w:rsid w:val="0BD20447"/>
    <w:rsid w:val="0BE6621E"/>
    <w:rsid w:val="0BF24F0C"/>
    <w:rsid w:val="0C114F65"/>
    <w:rsid w:val="0C21219A"/>
    <w:rsid w:val="0C23315A"/>
    <w:rsid w:val="0C3151EC"/>
    <w:rsid w:val="0C683CB0"/>
    <w:rsid w:val="0C7F56B2"/>
    <w:rsid w:val="0C931084"/>
    <w:rsid w:val="0C934518"/>
    <w:rsid w:val="0C9A400C"/>
    <w:rsid w:val="0CA63853"/>
    <w:rsid w:val="0CF84802"/>
    <w:rsid w:val="0D1D5DF0"/>
    <w:rsid w:val="0D2272F5"/>
    <w:rsid w:val="0D444143"/>
    <w:rsid w:val="0D464E7E"/>
    <w:rsid w:val="0D5078C6"/>
    <w:rsid w:val="0D6E1886"/>
    <w:rsid w:val="0D762892"/>
    <w:rsid w:val="0DAB584D"/>
    <w:rsid w:val="0DAF7F33"/>
    <w:rsid w:val="0DB2269B"/>
    <w:rsid w:val="0DDF3CE9"/>
    <w:rsid w:val="0DF96285"/>
    <w:rsid w:val="0E17476C"/>
    <w:rsid w:val="0E23030D"/>
    <w:rsid w:val="0E3C023F"/>
    <w:rsid w:val="0E491140"/>
    <w:rsid w:val="0E6511E2"/>
    <w:rsid w:val="0E7C0E21"/>
    <w:rsid w:val="0E855529"/>
    <w:rsid w:val="0EA12414"/>
    <w:rsid w:val="0EA66735"/>
    <w:rsid w:val="0ECA5BBA"/>
    <w:rsid w:val="0EED643B"/>
    <w:rsid w:val="0EF057C0"/>
    <w:rsid w:val="0EFE3542"/>
    <w:rsid w:val="0F1133CD"/>
    <w:rsid w:val="0F117A2D"/>
    <w:rsid w:val="0F18395F"/>
    <w:rsid w:val="0F1B7513"/>
    <w:rsid w:val="0F1D7781"/>
    <w:rsid w:val="0F2E4BCA"/>
    <w:rsid w:val="0F4776F0"/>
    <w:rsid w:val="0F4D12EF"/>
    <w:rsid w:val="0F7A64FB"/>
    <w:rsid w:val="0F817039"/>
    <w:rsid w:val="0F9E497F"/>
    <w:rsid w:val="0FC97E13"/>
    <w:rsid w:val="0FCC313A"/>
    <w:rsid w:val="0FDA72B4"/>
    <w:rsid w:val="0FF2662E"/>
    <w:rsid w:val="10195214"/>
    <w:rsid w:val="10241C0C"/>
    <w:rsid w:val="10390FF2"/>
    <w:rsid w:val="104B5AEC"/>
    <w:rsid w:val="10546F42"/>
    <w:rsid w:val="105F1628"/>
    <w:rsid w:val="1067759F"/>
    <w:rsid w:val="10802423"/>
    <w:rsid w:val="108D5304"/>
    <w:rsid w:val="10991C7D"/>
    <w:rsid w:val="109E2043"/>
    <w:rsid w:val="10A32B8F"/>
    <w:rsid w:val="10B91C56"/>
    <w:rsid w:val="10F02F86"/>
    <w:rsid w:val="10FB039C"/>
    <w:rsid w:val="10FC7CF6"/>
    <w:rsid w:val="111067A3"/>
    <w:rsid w:val="114B07BA"/>
    <w:rsid w:val="116A2DBB"/>
    <w:rsid w:val="116D1C54"/>
    <w:rsid w:val="119F7380"/>
    <w:rsid w:val="11A86CC1"/>
    <w:rsid w:val="11AF041F"/>
    <w:rsid w:val="11B2109B"/>
    <w:rsid w:val="11CD4E80"/>
    <w:rsid w:val="11CE4D21"/>
    <w:rsid w:val="11D56425"/>
    <w:rsid w:val="11EA4A85"/>
    <w:rsid w:val="11FE0C09"/>
    <w:rsid w:val="120466BB"/>
    <w:rsid w:val="12080576"/>
    <w:rsid w:val="12100E9B"/>
    <w:rsid w:val="123466C3"/>
    <w:rsid w:val="124B20F7"/>
    <w:rsid w:val="125321F6"/>
    <w:rsid w:val="125E1777"/>
    <w:rsid w:val="126E4F14"/>
    <w:rsid w:val="12944ED1"/>
    <w:rsid w:val="12E8106A"/>
    <w:rsid w:val="130C4F9C"/>
    <w:rsid w:val="131A452B"/>
    <w:rsid w:val="133B73D9"/>
    <w:rsid w:val="13423B36"/>
    <w:rsid w:val="13473FBB"/>
    <w:rsid w:val="13685C41"/>
    <w:rsid w:val="136C227C"/>
    <w:rsid w:val="137407FF"/>
    <w:rsid w:val="13846003"/>
    <w:rsid w:val="13A3623B"/>
    <w:rsid w:val="13F72882"/>
    <w:rsid w:val="14056398"/>
    <w:rsid w:val="142F5B9C"/>
    <w:rsid w:val="143819A7"/>
    <w:rsid w:val="143A6968"/>
    <w:rsid w:val="14873BCA"/>
    <w:rsid w:val="14AB1FAB"/>
    <w:rsid w:val="14B0732E"/>
    <w:rsid w:val="14C845DC"/>
    <w:rsid w:val="14C9737C"/>
    <w:rsid w:val="14CE3610"/>
    <w:rsid w:val="14D161A6"/>
    <w:rsid w:val="14E55DF4"/>
    <w:rsid w:val="14E9084B"/>
    <w:rsid w:val="14F44D4D"/>
    <w:rsid w:val="15066FBB"/>
    <w:rsid w:val="150E3A45"/>
    <w:rsid w:val="151461CD"/>
    <w:rsid w:val="152A5FC4"/>
    <w:rsid w:val="15393395"/>
    <w:rsid w:val="154E4D06"/>
    <w:rsid w:val="155D0E9C"/>
    <w:rsid w:val="155D6A48"/>
    <w:rsid w:val="1563302E"/>
    <w:rsid w:val="156B552F"/>
    <w:rsid w:val="156F3EDE"/>
    <w:rsid w:val="157035C4"/>
    <w:rsid w:val="15792FAD"/>
    <w:rsid w:val="1579348D"/>
    <w:rsid w:val="158C101A"/>
    <w:rsid w:val="158E5AA6"/>
    <w:rsid w:val="15CC1D3C"/>
    <w:rsid w:val="15CD4A10"/>
    <w:rsid w:val="15DD3C65"/>
    <w:rsid w:val="15E0341B"/>
    <w:rsid w:val="15EB1078"/>
    <w:rsid w:val="15F46154"/>
    <w:rsid w:val="15F836DD"/>
    <w:rsid w:val="161260ED"/>
    <w:rsid w:val="162503BF"/>
    <w:rsid w:val="163A66AA"/>
    <w:rsid w:val="16404DF4"/>
    <w:rsid w:val="16815E63"/>
    <w:rsid w:val="16821154"/>
    <w:rsid w:val="168F4901"/>
    <w:rsid w:val="169975A6"/>
    <w:rsid w:val="16A4616E"/>
    <w:rsid w:val="16AD3658"/>
    <w:rsid w:val="16B67C4C"/>
    <w:rsid w:val="16E169DB"/>
    <w:rsid w:val="16F057EB"/>
    <w:rsid w:val="16F33E93"/>
    <w:rsid w:val="16FF6179"/>
    <w:rsid w:val="170157C6"/>
    <w:rsid w:val="17016BF4"/>
    <w:rsid w:val="1708409D"/>
    <w:rsid w:val="17440168"/>
    <w:rsid w:val="17455BB5"/>
    <w:rsid w:val="175E7731"/>
    <w:rsid w:val="17A07731"/>
    <w:rsid w:val="17A223FA"/>
    <w:rsid w:val="17A70AF8"/>
    <w:rsid w:val="17DA5D59"/>
    <w:rsid w:val="17DC7EC5"/>
    <w:rsid w:val="17EB6DD2"/>
    <w:rsid w:val="17FE2898"/>
    <w:rsid w:val="18033966"/>
    <w:rsid w:val="18041300"/>
    <w:rsid w:val="1817419B"/>
    <w:rsid w:val="18216547"/>
    <w:rsid w:val="184D063E"/>
    <w:rsid w:val="184F1B8C"/>
    <w:rsid w:val="185A77DF"/>
    <w:rsid w:val="186965AD"/>
    <w:rsid w:val="188031AC"/>
    <w:rsid w:val="18890CFB"/>
    <w:rsid w:val="188A7FF7"/>
    <w:rsid w:val="18A0028F"/>
    <w:rsid w:val="18B92470"/>
    <w:rsid w:val="18D47664"/>
    <w:rsid w:val="193C73B9"/>
    <w:rsid w:val="19401DB6"/>
    <w:rsid w:val="19457DA5"/>
    <w:rsid w:val="1949286F"/>
    <w:rsid w:val="194C2D8B"/>
    <w:rsid w:val="195239EA"/>
    <w:rsid w:val="195951A5"/>
    <w:rsid w:val="195A6F6D"/>
    <w:rsid w:val="195D3DD4"/>
    <w:rsid w:val="19644EBC"/>
    <w:rsid w:val="19774DB4"/>
    <w:rsid w:val="19A13A93"/>
    <w:rsid w:val="19CD7374"/>
    <w:rsid w:val="19DD5B47"/>
    <w:rsid w:val="19E9734A"/>
    <w:rsid w:val="19EA72DB"/>
    <w:rsid w:val="19F836DF"/>
    <w:rsid w:val="1A0314E0"/>
    <w:rsid w:val="1A1B5534"/>
    <w:rsid w:val="1A2E6F4E"/>
    <w:rsid w:val="1A4B47AB"/>
    <w:rsid w:val="1A6E1981"/>
    <w:rsid w:val="1AB379A7"/>
    <w:rsid w:val="1AB9355E"/>
    <w:rsid w:val="1AD323FF"/>
    <w:rsid w:val="1B341997"/>
    <w:rsid w:val="1B3A2B72"/>
    <w:rsid w:val="1B897946"/>
    <w:rsid w:val="1B944A71"/>
    <w:rsid w:val="1B960DF5"/>
    <w:rsid w:val="1B9C6B2E"/>
    <w:rsid w:val="1BB95CF8"/>
    <w:rsid w:val="1BDF2F7A"/>
    <w:rsid w:val="1BE34A28"/>
    <w:rsid w:val="1C1E45E6"/>
    <w:rsid w:val="1C3E73DF"/>
    <w:rsid w:val="1C474796"/>
    <w:rsid w:val="1C4F5804"/>
    <w:rsid w:val="1C5153D0"/>
    <w:rsid w:val="1C8079C2"/>
    <w:rsid w:val="1C957F9A"/>
    <w:rsid w:val="1CBF2F8A"/>
    <w:rsid w:val="1CC310FD"/>
    <w:rsid w:val="1CC43527"/>
    <w:rsid w:val="1CC663CA"/>
    <w:rsid w:val="1CDD54F1"/>
    <w:rsid w:val="1CDF4179"/>
    <w:rsid w:val="1CEA6179"/>
    <w:rsid w:val="1D145784"/>
    <w:rsid w:val="1D2E24D4"/>
    <w:rsid w:val="1D353582"/>
    <w:rsid w:val="1D602559"/>
    <w:rsid w:val="1D743D82"/>
    <w:rsid w:val="1D7F1339"/>
    <w:rsid w:val="1D8C27BF"/>
    <w:rsid w:val="1D8F232C"/>
    <w:rsid w:val="1DB14575"/>
    <w:rsid w:val="1DB5122A"/>
    <w:rsid w:val="1E063EB7"/>
    <w:rsid w:val="1E207622"/>
    <w:rsid w:val="1E532C5C"/>
    <w:rsid w:val="1E614A6B"/>
    <w:rsid w:val="1E836C9D"/>
    <w:rsid w:val="1EA56765"/>
    <w:rsid w:val="1EB26E78"/>
    <w:rsid w:val="1ECE4764"/>
    <w:rsid w:val="1EF37650"/>
    <w:rsid w:val="1F000357"/>
    <w:rsid w:val="1F2E2DA4"/>
    <w:rsid w:val="1F3C0740"/>
    <w:rsid w:val="1F7C6931"/>
    <w:rsid w:val="1F8014F5"/>
    <w:rsid w:val="1FB83F4E"/>
    <w:rsid w:val="1FBC483C"/>
    <w:rsid w:val="1FD07889"/>
    <w:rsid w:val="1FD81358"/>
    <w:rsid w:val="1FE55E38"/>
    <w:rsid w:val="20074E3C"/>
    <w:rsid w:val="200A763A"/>
    <w:rsid w:val="20174528"/>
    <w:rsid w:val="20200BDC"/>
    <w:rsid w:val="20635342"/>
    <w:rsid w:val="20636735"/>
    <w:rsid w:val="207C25EB"/>
    <w:rsid w:val="208B3C08"/>
    <w:rsid w:val="2099142C"/>
    <w:rsid w:val="20C9481A"/>
    <w:rsid w:val="20CF7058"/>
    <w:rsid w:val="20DD3AAF"/>
    <w:rsid w:val="20DF1035"/>
    <w:rsid w:val="20F21028"/>
    <w:rsid w:val="20FD68D7"/>
    <w:rsid w:val="2112271A"/>
    <w:rsid w:val="212622E4"/>
    <w:rsid w:val="21744EE0"/>
    <w:rsid w:val="218D6188"/>
    <w:rsid w:val="21A97AAF"/>
    <w:rsid w:val="21B80CFD"/>
    <w:rsid w:val="21C428B0"/>
    <w:rsid w:val="21C446C6"/>
    <w:rsid w:val="222F6145"/>
    <w:rsid w:val="22475C25"/>
    <w:rsid w:val="22735D16"/>
    <w:rsid w:val="22753EEE"/>
    <w:rsid w:val="229B0E62"/>
    <w:rsid w:val="22A24256"/>
    <w:rsid w:val="22CA6523"/>
    <w:rsid w:val="22E040C2"/>
    <w:rsid w:val="22FE0556"/>
    <w:rsid w:val="231801F8"/>
    <w:rsid w:val="231C311E"/>
    <w:rsid w:val="232F5220"/>
    <w:rsid w:val="232F7513"/>
    <w:rsid w:val="23417E59"/>
    <w:rsid w:val="23517945"/>
    <w:rsid w:val="23783186"/>
    <w:rsid w:val="23BD6A15"/>
    <w:rsid w:val="23E55603"/>
    <w:rsid w:val="23EB6FC7"/>
    <w:rsid w:val="23F82C82"/>
    <w:rsid w:val="240C6A2D"/>
    <w:rsid w:val="241E54EA"/>
    <w:rsid w:val="24283B01"/>
    <w:rsid w:val="242D5BF9"/>
    <w:rsid w:val="246C2C70"/>
    <w:rsid w:val="24772F48"/>
    <w:rsid w:val="248767EA"/>
    <w:rsid w:val="249466CE"/>
    <w:rsid w:val="249474A4"/>
    <w:rsid w:val="24BC67F2"/>
    <w:rsid w:val="24C94503"/>
    <w:rsid w:val="24CD0E0F"/>
    <w:rsid w:val="24D0540D"/>
    <w:rsid w:val="25000992"/>
    <w:rsid w:val="251C75C4"/>
    <w:rsid w:val="251E04A8"/>
    <w:rsid w:val="25556271"/>
    <w:rsid w:val="255D4D9B"/>
    <w:rsid w:val="25611A74"/>
    <w:rsid w:val="258867C7"/>
    <w:rsid w:val="25941D1E"/>
    <w:rsid w:val="259C406E"/>
    <w:rsid w:val="25B47F31"/>
    <w:rsid w:val="25CC66CC"/>
    <w:rsid w:val="25E448CC"/>
    <w:rsid w:val="25F053EE"/>
    <w:rsid w:val="25FD7499"/>
    <w:rsid w:val="264A761E"/>
    <w:rsid w:val="265013B5"/>
    <w:rsid w:val="26512776"/>
    <w:rsid w:val="26583AC3"/>
    <w:rsid w:val="268E4FB3"/>
    <w:rsid w:val="26977E9A"/>
    <w:rsid w:val="269E3FF4"/>
    <w:rsid w:val="26D7515E"/>
    <w:rsid w:val="26DE10C2"/>
    <w:rsid w:val="26F15E9F"/>
    <w:rsid w:val="26F70A96"/>
    <w:rsid w:val="27047627"/>
    <w:rsid w:val="277046AF"/>
    <w:rsid w:val="27726817"/>
    <w:rsid w:val="27D65468"/>
    <w:rsid w:val="27DB38BB"/>
    <w:rsid w:val="27E57894"/>
    <w:rsid w:val="27EB0757"/>
    <w:rsid w:val="27F136CE"/>
    <w:rsid w:val="27F319F2"/>
    <w:rsid w:val="28024267"/>
    <w:rsid w:val="28083B63"/>
    <w:rsid w:val="281838BD"/>
    <w:rsid w:val="28187F28"/>
    <w:rsid w:val="281B6E5E"/>
    <w:rsid w:val="282C0494"/>
    <w:rsid w:val="282C2143"/>
    <w:rsid w:val="28807C8D"/>
    <w:rsid w:val="28930580"/>
    <w:rsid w:val="28957F12"/>
    <w:rsid w:val="28AA7B1A"/>
    <w:rsid w:val="28BE0C25"/>
    <w:rsid w:val="28DF6464"/>
    <w:rsid w:val="28E4299E"/>
    <w:rsid w:val="28F42E33"/>
    <w:rsid w:val="290C71C7"/>
    <w:rsid w:val="29205506"/>
    <w:rsid w:val="2921353E"/>
    <w:rsid w:val="29261666"/>
    <w:rsid w:val="29261ECF"/>
    <w:rsid w:val="29317006"/>
    <w:rsid w:val="29454248"/>
    <w:rsid w:val="29655F24"/>
    <w:rsid w:val="296C5CDA"/>
    <w:rsid w:val="297C00A8"/>
    <w:rsid w:val="297D7EA3"/>
    <w:rsid w:val="29951112"/>
    <w:rsid w:val="29BC4067"/>
    <w:rsid w:val="29CD6C23"/>
    <w:rsid w:val="29DC01DE"/>
    <w:rsid w:val="29E17F4B"/>
    <w:rsid w:val="2A097732"/>
    <w:rsid w:val="2A53423F"/>
    <w:rsid w:val="2A664C45"/>
    <w:rsid w:val="2A774B80"/>
    <w:rsid w:val="2A811F2E"/>
    <w:rsid w:val="2AA24B0B"/>
    <w:rsid w:val="2AAB34CA"/>
    <w:rsid w:val="2ABA6E0F"/>
    <w:rsid w:val="2AD41D03"/>
    <w:rsid w:val="2AE27CED"/>
    <w:rsid w:val="2AF40420"/>
    <w:rsid w:val="2AF54483"/>
    <w:rsid w:val="2B0B1CFA"/>
    <w:rsid w:val="2B2C681D"/>
    <w:rsid w:val="2B2F2356"/>
    <w:rsid w:val="2B431F07"/>
    <w:rsid w:val="2B5B1CE4"/>
    <w:rsid w:val="2B966978"/>
    <w:rsid w:val="2BC74847"/>
    <w:rsid w:val="2BCF5135"/>
    <w:rsid w:val="2BD05B25"/>
    <w:rsid w:val="2BD65786"/>
    <w:rsid w:val="2BE8387F"/>
    <w:rsid w:val="2BFD3963"/>
    <w:rsid w:val="2C0D5940"/>
    <w:rsid w:val="2C422C87"/>
    <w:rsid w:val="2C56575E"/>
    <w:rsid w:val="2C5F515C"/>
    <w:rsid w:val="2C9C0D82"/>
    <w:rsid w:val="2CA37294"/>
    <w:rsid w:val="2CA854DE"/>
    <w:rsid w:val="2CBD0365"/>
    <w:rsid w:val="2D033399"/>
    <w:rsid w:val="2D034F7E"/>
    <w:rsid w:val="2D16715F"/>
    <w:rsid w:val="2D4655D2"/>
    <w:rsid w:val="2D5D0DC0"/>
    <w:rsid w:val="2DA921DC"/>
    <w:rsid w:val="2DB35529"/>
    <w:rsid w:val="2DB8153A"/>
    <w:rsid w:val="2DBA2870"/>
    <w:rsid w:val="2DC42B45"/>
    <w:rsid w:val="2DC80671"/>
    <w:rsid w:val="2DD620E4"/>
    <w:rsid w:val="2DEE0929"/>
    <w:rsid w:val="2DF11CB5"/>
    <w:rsid w:val="2DF65F93"/>
    <w:rsid w:val="2DF81A42"/>
    <w:rsid w:val="2E2C0D91"/>
    <w:rsid w:val="2E3805A0"/>
    <w:rsid w:val="2E4317D7"/>
    <w:rsid w:val="2E4F051D"/>
    <w:rsid w:val="2E530E02"/>
    <w:rsid w:val="2EA2414A"/>
    <w:rsid w:val="2EA53D99"/>
    <w:rsid w:val="2EA9352A"/>
    <w:rsid w:val="2EAC56FD"/>
    <w:rsid w:val="2EC93159"/>
    <w:rsid w:val="2EED758A"/>
    <w:rsid w:val="2EEF4B31"/>
    <w:rsid w:val="2EF713D4"/>
    <w:rsid w:val="2F1C3354"/>
    <w:rsid w:val="2F1E7B00"/>
    <w:rsid w:val="2F220327"/>
    <w:rsid w:val="2F5A418B"/>
    <w:rsid w:val="2F7E7CCF"/>
    <w:rsid w:val="2F9D5BBC"/>
    <w:rsid w:val="2FC349E5"/>
    <w:rsid w:val="2FCE0333"/>
    <w:rsid w:val="2FEB22CB"/>
    <w:rsid w:val="30470D9D"/>
    <w:rsid w:val="306F6758"/>
    <w:rsid w:val="30716A0B"/>
    <w:rsid w:val="30753CDF"/>
    <w:rsid w:val="30795BA8"/>
    <w:rsid w:val="30A74B30"/>
    <w:rsid w:val="30AC70E6"/>
    <w:rsid w:val="30AE4C50"/>
    <w:rsid w:val="30B16395"/>
    <w:rsid w:val="30B353F9"/>
    <w:rsid w:val="30D435A6"/>
    <w:rsid w:val="30EA2FE9"/>
    <w:rsid w:val="30F00079"/>
    <w:rsid w:val="31004A6D"/>
    <w:rsid w:val="3128394C"/>
    <w:rsid w:val="313351D7"/>
    <w:rsid w:val="315036B7"/>
    <w:rsid w:val="315F2933"/>
    <w:rsid w:val="31935275"/>
    <w:rsid w:val="31B757A2"/>
    <w:rsid w:val="31B92CDE"/>
    <w:rsid w:val="31C52D3B"/>
    <w:rsid w:val="31E91804"/>
    <w:rsid w:val="31F6255B"/>
    <w:rsid w:val="320A6034"/>
    <w:rsid w:val="321B459A"/>
    <w:rsid w:val="321E42AE"/>
    <w:rsid w:val="323257BF"/>
    <w:rsid w:val="323D52E1"/>
    <w:rsid w:val="324B388C"/>
    <w:rsid w:val="325D59D1"/>
    <w:rsid w:val="32607DFB"/>
    <w:rsid w:val="32665757"/>
    <w:rsid w:val="326E5F28"/>
    <w:rsid w:val="32747A8D"/>
    <w:rsid w:val="32826E17"/>
    <w:rsid w:val="32AC3FF9"/>
    <w:rsid w:val="32B33A76"/>
    <w:rsid w:val="32BA6D4A"/>
    <w:rsid w:val="32C55D97"/>
    <w:rsid w:val="32DA3F1D"/>
    <w:rsid w:val="32FA53AB"/>
    <w:rsid w:val="335D2AFB"/>
    <w:rsid w:val="335F12E5"/>
    <w:rsid w:val="3388262E"/>
    <w:rsid w:val="339D3708"/>
    <w:rsid w:val="33A7564A"/>
    <w:rsid w:val="33A94094"/>
    <w:rsid w:val="33E43269"/>
    <w:rsid w:val="33E76239"/>
    <w:rsid w:val="33EC4DF5"/>
    <w:rsid w:val="340A622D"/>
    <w:rsid w:val="34144608"/>
    <w:rsid w:val="341A4AEB"/>
    <w:rsid w:val="34232E1D"/>
    <w:rsid w:val="342433D9"/>
    <w:rsid w:val="3445795D"/>
    <w:rsid w:val="345325A5"/>
    <w:rsid w:val="345E4145"/>
    <w:rsid w:val="347A75F4"/>
    <w:rsid w:val="348E0BA6"/>
    <w:rsid w:val="34973AF1"/>
    <w:rsid w:val="34986E92"/>
    <w:rsid w:val="349B76F1"/>
    <w:rsid w:val="34A06585"/>
    <w:rsid w:val="34B5377C"/>
    <w:rsid w:val="34BC4298"/>
    <w:rsid w:val="34CA7894"/>
    <w:rsid w:val="34D43639"/>
    <w:rsid w:val="3504314B"/>
    <w:rsid w:val="352648DB"/>
    <w:rsid w:val="352936D1"/>
    <w:rsid w:val="35381660"/>
    <w:rsid w:val="353D2A57"/>
    <w:rsid w:val="3552051B"/>
    <w:rsid w:val="3554339E"/>
    <w:rsid w:val="357E2495"/>
    <w:rsid w:val="35805D3B"/>
    <w:rsid w:val="358C724F"/>
    <w:rsid w:val="35A328B2"/>
    <w:rsid w:val="35CE500E"/>
    <w:rsid w:val="361E20DA"/>
    <w:rsid w:val="362000C4"/>
    <w:rsid w:val="3631779A"/>
    <w:rsid w:val="36353F56"/>
    <w:rsid w:val="3637214A"/>
    <w:rsid w:val="36376950"/>
    <w:rsid w:val="367A6670"/>
    <w:rsid w:val="367A686C"/>
    <w:rsid w:val="36C64619"/>
    <w:rsid w:val="36CA76BF"/>
    <w:rsid w:val="36F30B27"/>
    <w:rsid w:val="37467DE2"/>
    <w:rsid w:val="374E19C3"/>
    <w:rsid w:val="378527A1"/>
    <w:rsid w:val="37AD2DA9"/>
    <w:rsid w:val="37B00866"/>
    <w:rsid w:val="37CD425B"/>
    <w:rsid w:val="37E750D7"/>
    <w:rsid w:val="37F628E1"/>
    <w:rsid w:val="380C4AA4"/>
    <w:rsid w:val="383E255F"/>
    <w:rsid w:val="38846D01"/>
    <w:rsid w:val="389E142E"/>
    <w:rsid w:val="38A016C0"/>
    <w:rsid w:val="38BD7473"/>
    <w:rsid w:val="38F609CA"/>
    <w:rsid w:val="392250A1"/>
    <w:rsid w:val="392C7CD4"/>
    <w:rsid w:val="3944688D"/>
    <w:rsid w:val="394C3CD2"/>
    <w:rsid w:val="395C4950"/>
    <w:rsid w:val="3960528C"/>
    <w:rsid w:val="39690760"/>
    <w:rsid w:val="396A21ED"/>
    <w:rsid w:val="399705DD"/>
    <w:rsid w:val="399B53BE"/>
    <w:rsid w:val="39B66DF1"/>
    <w:rsid w:val="39BF16E6"/>
    <w:rsid w:val="39EF1620"/>
    <w:rsid w:val="3A15554F"/>
    <w:rsid w:val="3A1B635D"/>
    <w:rsid w:val="3A1E5D1B"/>
    <w:rsid w:val="3A365680"/>
    <w:rsid w:val="3A563977"/>
    <w:rsid w:val="3A5B7AA4"/>
    <w:rsid w:val="3A68431E"/>
    <w:rsid w:val="3A70347B"/>
    <w:rsid w:val="3A8147C7"/>
    <w:rsid w:val="3A861824"/>
    <w:rsid w:val="3AAD6489"/>
    <w:rsid w:val="3ABD3068"/>
    <w:rsid w:val="3AE82B90"/>
    <w:rsid w:val="3AEE7136"/>
    <w:rsid w:val="3AF42EF6"/>
    <w:rsid w:val="3AFB639E"/>
    <w:rsid w:val="3AFC6CCC"/>
    <w:rsid w:val="3B2B413E"/>
    <w:rsid w:val="3B531BE1"/>
    <w:rsid w:val="3B6D0EE6"/>
    <w:rsid w:val="3B9A64A4"/>
    <w:rsid w:val="3BA347B7"/>
    <w:rsid w:val="3BB51812"/>
    <w:rsid w:val="3C201689"/>
    <w:rsid w:val="3C402A18"/>
    <w:rsid w:val="3C52238F"/>
    <w:rsid w:val="3C6018AB"/>
    <w:rsid w:val="3C75257F"/>
    <w:rsid w:val="3C965F9E"/>
    <w:rsid w:val="3C981496"/>
    <w:rsid w:val="3CA02824"/>
    <w:rsid w:val="3CFA439B"/>
    <w:rsid w:val="3CFE3755"/>
    <w:rsid w:val="3D167BB6"/>
    <w:rsid w:val="3D1C0E89"/>
    <w:rsid w:val="3D2E0747"/>
    <w:rsid w:val="3D2E223A"/>
    <w:rsid w:val="3D3D73E1"/>
    <w:rsid w:val="3DA66406"/>
    <w:rsid w:val="3DD71448"/>
    <w:rsid w:val="3DDC5A8B"/>
    <w:rsid w:val="3DE95229"/>
    <w:rsid w:val="3DFC7AA4"/>
    <w:rsid w:val="3E1B036E"/>
    <w:rsid w:val="3E2C2124"/>
    <w:rsid w:val="3E3B681F"/>
    <w:rsid w:val="3E3E28E9"/>
    <w:rsid w:val="3E6B4F1A"/>
    <w:rsid w:val="3E9E5859"/>
    <w:rsid w:val="3ECF1D27"/>
    <w:rsid w:val="3EF82114"/>
    <w:rsid w:val="3F1519F4"/>
    <w:rsid w:val="3F1C36FF"/>
    <w:rsid w:val="3F352ADB"/>
    <w:rsid w:val="3F44726E"/>
    <w:rsid w:val="3F4C285D"/>
    <w:rsid w:val="3F690015"/>
    <w:rsid w:val="3F84066B"/>
    <w:rsid w:val="3F860308"/>
    <w:rsid w:val="3F9866DB"/>
    <w:rsid w:val="3F9A2E3E"/>
    <w:rsid w:val="3FA63519"/>
    <w:rsid w:val="3FA86278"/>
    <w:rsid w:val="40021A42"/>
    <w:rsid w:val="402F7A88"/>
    <w:rsid w:val="40315A29"/>
    <w:rsid w:val="40377E58"/>
    <w:rsid w:val="40550963"/>
    <w:rsid w:val="40644183"/>
    <w:rsid w:val="406445DB"/>
    <w:rsid w:val="40701001"/>
    <w:rsid w:val="408879B2"/>
    <w:rsid w:val="40BD12EA"/>
    <w:rsid w:val="40DB428B"/>
    <w:rsid w:val="40DF2342"/>
    <w:rsid w:val="40F2646B"/>
    <w:rsid w:val="41035D94"/>
    <w:rsid w:val="41075A40"/>
    <w:rsid w:val="411A0EFB"/>
    <w:rsid w:val="41384602"/>
    <w:rsid w:val="41944DE5"/>
    <w:rsid w:val="41B91F3F"/>
    <w:rsid w:val="41C21B76"/>
    <w:rsid w:val="41C86C71"/>
    <w:rsid w:val="41CA274C"/>
    <w:rsid w:val="420D6DA3"/>
    <w:rsid w:val="42106FC8"/>
    <w:rsid w:val="422C0C15"/>
    <w:rsid w:val="42344C40"/>
    <w:rsid w:val="4234569A"/>
    <w:rsid w:val="42393377"/>
    <w:rsid w:val="4262431A"/>
    <w:rsid w:val="42631EEE"/>
    <w:rsid w:val="4266481C"/>
    <w:rsid w:val="427F5A61"/>
    <w:rsid w:val="42837D3D"/>
    <w:rsid w:val="42902169"/>
    <w:rsid w:val="429A1D3F"/>
    <w:rsid w:val="42A57497"/>
    <w:rsid w:val="42BA6128"/>
    <w:rsid w:val="42C84156"/>
    <w:rsid w:val="42DB32CB"/>
    <w:rsid w:val="42E538EB"/>
    <w:rsid w:val="42F47D42"/>
    <w:rsid w:val="430D6F1D"/>
    <w:rsid w:val="432F1D30"/>
    <w:rsid w:val="43341DF8"/>
    <w:rsid w:val="43345A2D"/>
    <w:rsid w:val="43433238"/>
    <w:rsid w:val="43647FEB"/>
    <w:rsid w:val="436A5AAC"/>
    <w:rsid w:val="43706C32"/>
    <w:rsid w:val="438638EA"/>
    <w:rsid w:val="43AC54E8"/>
    <w:rsid w:val="43C66E3F"/>
    <w:rsid w:val="43DA2AEC"/>
    <w:rsid w:val="43F87741"/>
    <w:rsid w:val="44006D3C"/>
    <w:rsid w:val="443A244E"/>
    <w:rsid w:val="444F40C9"/>
    <w:rsid w:val="445E48FF"/>
    <w:rsid w:val="44690A18"/>
    <w:rsid w:val="448B3DA1"/>
    <w:rsid w:val="44BC7C88"/>
    <w:rsid w:val="44C004E3"/>
    <w:rsid w:val="44D74134"/>
    <w:rsid w:val="44DA6EEC"/>
    <w:rsid w:val="44DF5963"/>
    <w:rsid w:val="44EF3C41"/>
    <w:rsid w:val="44F97548"/>
    <w:rsid w:val="450C7A60"/>
    <w:rsid w:val="45112AFC"/>
    <w:rsid w:val="451623D7"/>
    <w:rsid w:val="4517104F"/>
    <w:rsid w:val="452B1854"/>
    <w:rsid w:val="45494530"/>
    <w:rsid w:val="454B5497"/>
    <w:rsid w:val="454F4958"/>
    <w:rsid w:val="45810D87"/>
    <w:rsid w:val="45B626CD"/>
    <w:rsid w:val="45C24569"/>
    <w:rsid w:val="45D318D7"/>
    <w:rsid w:val="45D82F82"/>
    <w:rsid w:val="45F66D38"/>
    <w:rsid w:val="46020C4E"/>
    <w:rsid w:val="461F0C54"/>
    <w:rsid w:val="46257E7F"/>
    <w:rsid w:val="463450C9"/>
    <w:rsid w:val="463D7E94"/>
    <w:rsid w:val="46572F93"/>
    <w:rsid w:val="465F6B0C"/>
    <w:rsid w:val="46613B00"/>
    <w:rsid w:val="46621E55"/>
    <w:rsid w:val="466935DD"/>
    <w:rsid w:val="46C76F1C"/>
    <w:rsid w:val="46CC6439"/>
    <w:rsid w:val="46FB0F89"/>
    <w:rsid w:val="47080039"/>
    <w:rsid w:val="470E3B7D"/>
    <w:rsid w:val="473363A2"/>
    <w:rsid w:val="475F357A"/>
    <w:rsid w:val="477169F8"/>
    <w:rsid w:val="47B772E4"/>
    <w:rsid w:val="47BE0CBD"/>
    <w:rsid w:val="47C62FFD"/>
    <w:rsid w:val="47CA25DF"/>
    <w:rsid w:val="47CB5F58"/>
    <w:rsid w:val="47CD1C1D"/>
    <w:rsid w:val="47E03C9E"/>
    <w:rsid w:val="482A140F"/>
    <w:rsid w:val="483316B1"/>
    <w:rsid w:val="484A503A"/>
    <w:rsid w:val="48521138"/>
    <w:rsid w:val="48564359"/>
    <w:rsid w:val="4872588D"/>
    <w:rsid w:val="487C2293"/>
    <w:rsid w:val="488325F3"/>
    <w:rsid w:val="488B530A"/>
    <w:rsid w:val="489638BB"/>
    <w:rsid w:val="48CB1703"/>
    <w:rsid w:val="48DA3EAF"/>
    <w:rsid w:val="49044A7F"/>
    <w:rsid w:val="492179F5"/>
    <w:rsid w:val="49286E92"/>
    <w:rsid w:val="494E7FD8"/>
    <w:rsid w:val="49716643"/>
    <w:rsid w:val="49766550"/>
    <w:rsid w:val="497E2A29"/>
    <w:rsid w:val="497F7BAD"/>
    <w:rsid w:val="498717A8"/>
    <w:rsid w:val="499B43BD"/>
    <w:rsid w:val="49B96AF3"/>
    <w:rsid w:val="49CC161F"/>
    <w:rsid w:val="49D00A13"/>
    <w:rsid w:val="49E43146"/>
    <w:rsid w:val="4A4219B9"/>
    <w:rsid w:val="4A4845BE"/>
    <w:rsid w:val="4A62240F"/>
    <w:rsid w:val="4A8F4169"/>
    <w:rsid w:val="4AA47769"/>
    <w:rsid w:val="4AB64210"/>
    <w:rsid w:val="4ABA474C"/>
    <w:rsid w:val="4AC84178"/>
    <w:rsid w:val="4AD345D5"/>
    <w:rsid w:val="4ADD02E2"/>
    <w:rsid w:val="4AFE14DF"/>
    <w:rsid w:val="4B026C8D"/>
    <w:rsid w:val="4B0432CC"/>
    <w:rsid w:val="4B235E92"/>
    <w:rsid w:val="4B507BC1"/>
    <w:rsid w:val="4B5C3E55"/>
    <w:rsid w:val="4B6710C4"/>
    <w:rsid w:val="4B7914D9"/>
    <w:rsid w:val="4B866045"/>
    <w:rsid w:val="4B88100C"/>
    <w:rsid w:val="4B9D76CB"/>
    <w:rsid w:val="4BAB23F4"/>
    <w:rsid w:val="4BDF36CE"/>
    <w:rsid w:val="4BE16260"/>
    <w:rsid w:val="4C2168CA"/>
    <w:rsid w:val="4C3F7C46"/>
    <w:rsid w:val="4C4349E0"/>
    <w:rsid w:val="4C5E250A"/>
    <w:rsid w:val="4C683D53"/>
    <w:rsid w:val="4C6A4AB4"/>
    <w:rsid w:val="4C6C3A4A"/>
    <w:rsid w:val="4C814337"/>
    <w:rsid w:val="4C8506A7"/>
    <w:rsid w:val="4C931948"/>
    <w:rsid w:val="4C9C61C0"/>
    <w:rsid w:val="4CA85602"/>
    <w:rsid w:val="4CCB6666"/>
    <w:rsid w:val="4CD10947"/>
    <w:rsid w:val="4CDD13A8"/>
    <w:rsid w:val="4CF943D0"/>
    <w:rsid w:val="4D1A1DBF"/>
    <w:rsid w:val="4D1D1D64"/>
    <w:rsid w:val="4D2144F9"/>
    <w:rsid w:val="4D23361C"/>
    <w:rsid w:val="4D244CA5"/>
    <w:rsid w:val="4D24523B"/>
    <w:rsid w:val="4D2D4D38"/>
    <w:rsid w:val="4D414CC3"/>
    <w:rsid w:val="4D42358F"/>
    <w:rsid w:val="4D7017A6"/>
    <w:rsid w:val="4D8D4FB4"/>
    <w:rsid w:val="4D9321EC"/>
    <w:rsid w:val="4DA16B78"/>
    <w:rsid w:val="4DAC0016"/>
    <w:rsid w:val="4DDC1513"/>
    <w:rsid w:val="4DDF4629"/>
    <w:rsid w:val="4DFA5947"/>
    <w:rsid w:val="4DFE5857"/>
    <w:rsid w:val="4E154B83"/>
    <w:rsid w:val="4E1D7DC0"/>
    <w:rsid w:val="4E236055"/>
    <w:rsid w:val="4E2615AD"/>
    <w:rsid w:val="4E2B491A"/>
    <w:rsid w:val="4E331CC6"/>
    <w:rsid w:val="4E3645A0"/>
    <w:rsid w:val="4E404D73"/>
    <w:rsid w:val="4E466839"/>
    <w:rsid w:val="4E7E436F"/>
    <w:rsid w:val="4EAC6036"/>
    <w:rsid w:val="4EC33EFC"/>
    <w:rsid w:val="4ED803D3"/>
    <w:rsid w:val="4ED90645"/>
    <w:rsid w:val="4EE2261D"/>
    <w:rsid w:val="4EEA2661"/>
    <w:rsid w:val="4EF27636"/>
    <w:rsid w:val="4F1C1B4D"/>
    <w:rsid w:val="4F2E2C24"/>
    <w:rsid w:val="4F37022E"/>
    <w:rsid w:val="4F42675A"/>
    <w:rsid w:val="4F507381"/>
    <w:rsid w:val="4F991CFF"/>
    <w:rsid w:val="4F9D0A7D"/>
    <w:rsid w:val="4F9F4719"/>
    <w:rsid w:val="4FA97FE3"/>
    <w:rsid w:val="4FBA3288"/>
    <w:rsid w:val="4FCA2863"/>
    <w:rsid w:val="4FE9786A"/>
    <w:rsid w:val="4FFF206D"/>
    <w:rsid w:val="501C672F"/>
    <w:rsid w:val="50573E6C"/>
    <w:rsid w:val="505839FD"/>
    <w:rsid w:val="50592732"/>
    <w:rsid w:val="5061307E"/>
    <w:rsid w:val="506B39FE"/>
    <w:rsid w:val="50783694"/>
    <w:rsid w:val="507B2C8C"/>
    <w:rsid w:val="50805D38"/>
    <w:rsid w:val="50BA6430"/>
    <w:rsid w:val="50BE15C5"/>
    <w:rsid w:val="50C3323E"/>
    <w:rsid w:val="50D90778"/>
    <w:rsid w:val="50DA0F6C"/>
    <w:rsid w:val="517D3E99"/>
    <w:rsid w:val="518522B1"/>
    <w:rsid w:val="518B6931"/>
    <w:rsid w:val="51C120D5"/>
    <w:rsid w:val="51D05271"/>
    <w:rsid w:val="51DB273F"/>
    <w:rsid w:val="52022B17"/>
    <w:rsid w:val="520A7E30"/>
    <w:rsid w:val="52310DC5"/>
    <w:rsid w:val="52364174"/>
    <w:rsid w:val="52484A9B"/>
    <w:rsid w:val="527028B2"/>
    <w:rsid w:val="527D1110"/>
    <w:rsid w:val="528E4392"/>
    <w:rsid w:val="52AB323F"/>
    <w:rsid w:val="52BD3915"/>
    <w:rsid w:val="52D06B02"/>
    <w:rsid w:val="531306D8"/>
    <w:rsid w:val="53367511"/>
    <w:rsid w:val="53464441"/>
    <w:rsid w:val="534D1986"/>
    <w:rsid w:val="53597D1B"/>
    <w:rsid w:val="53973510"/>
    <w:rsid w:val="539B5E34"/>
    <w:rsid w:val="53B24842"/>
    <w:rsid w:val="53BB1DD7"/>
    <w:rsid w:val="53DD7E3F"/>
    <w:rsid w:val="53F925F1"/>
    <w:rsid w:val="54266425"/>
    <w:rsid w:val="54312B15"/>
    <w:rsid w:val="5446068A"/>
    <w:rsid w:val="545735FA"/>
    <w:rsid w:val="54635AF9"/>
    <w:rsid w:val="548F24BC"/>
    <w:rsid w:val="549162FE"/>
    <w:rsid w:val="549E6284"/>
    <w:rsid w:val="54A27C0D"/>
    <w:rsid w:val="54A55AFB"/>
    <w:rsid w:val="54C53220"/>
    <w:rsid w:val="54CA43D5"/>
    <w:rsid w:val="54E7435C"/>
    <w:rsid w:val="54E7703D"/>
    <w:rsid w:val="54E80EE5"/>
    <w:rsid w:val="54EA79FF"/>
    <w:rsid w:val="54EF74B0"/>
    <w:rsid w:val="54F54664"/>
    <w:rsid w:val="55265FF3"/>
    <w:rsid w:val="55435DE3"/>
    <w:rsid w:val="55437929"/>
    <w:rsid w:val="555570A1"/>
    <w:rsid w:val="5556733C"/>
    <w:rsid w:val="557B1696"/>
    <w:rsid w:val="558075F9"/>
    <w:rsid w:val="55921F43"/>
    <w:rsid w:val="559B4C3A"/>
    <w:rsid w:val="55A35938"/>
    <w:rsid w:val="55AF0463"/>
    <w:rsid w:val="55BE5C74"/>
    <w:rsid w:val="55C03F42"/>
    <w:rsid w:val="55CE0E15"/>
    <w:rsid w:val="55ED483F"/>
    <w:rsid w:val="55F47F4F"/>
    <w:rsid w:val="560A3FB4"/>
    <w:rsid w:val="560C156A"/>
    <w:rsid w:val="560F5454"/>
    <w:rsid w:val="561C35E2"/>
    <w:rsid w:val="56343494"/>
    <w:rsid w:val="56356136"/>
    <w:rsid w:val="56415460"/>
    <w:rsid w:val="56607747"/>
    <w:rsid w:val="56782E19"/>
    <w:rsid w:val="567C7072"/>
    <w:rsid w:val="56A85686"/>
    <w:rsid w:val="56C24872"/>
    <w:rsid w:val="56C3478C"/>
    <w:rsid w:val="56DC2048"/>
    <w:rsid w:val="57050578"/>
    <w:rsid w:val="57077237"/>
    <w:rsid w:val="570E70D9"/>
    <w:rsid w:val="57104D91"/>
    <w:rsid w:val="5772090B"/>
    <w:rsid w:val="5790790E"/>
    <w:rsid w:val="57A97904"/>
    <w:rsid w:val="57C64619"/>
    <w:rsid w:val="57EA48EB"/>
    <w:rsid w:val="58024464"/>
    <w:rsid w:val="580B2226"/>
    <w:rsid w:val="583E1CFC"/>
    <w:rsid w:val="583F05DA"/>
    <w:rsid w:val="584A6150"/>
    <w:rsid w:val="587D1DB6"/>
    <w:rsid w:val="58895001"/>
    <w:rsid w:val="589173D0"/>
    <w:rsid w:val="58BB7180"/>
    <w:rsid w:val="58BC3198"/>
    <w:rsid w:val="58BE72FA"/>
    <w:rsid w:val="58D95549"/>
    <w:rsid w:val="58DE3D9A"/>
    <w:rsid w:val="58E95C16"/>
    <w:rsid w:val="58F0162C"/>
    <w:rsid w:val="590926AD"/>
    <w:rsid w:val="59092CDF"/>
    <w:rsid w:val="59233DB4"/>
    <w:rsid w:val="59264A1C"/>
    <w:rsid w:val="59314B47"/>
    <w:rsid w:val="59553C58"/>
    <w:rsid w:val="59B55625"/>
    <w:rsid w:val="59C30824"/>
    <w:rsid w:val="59C93228"/>
    <w:rsid w:val="59ED245D"/>
    <w:rsid w:val="59FD0ACF"/>
    <w:rsid w:val="5A252179"/>
    <w:rsid w:val="5A624EA5"/>
    <w:rsid w:val="5A705D84"/>
    <w:rsid w:val="5A796A8A"/>
    <w:rsid w:val="5AB8765E"/>
    <w:rsid w:val="5AFC0EE9"/>
    <w:rsid w:val="5B573C86"/>
    <w:rsid w:val="5B5B5A0E"/>
    <w:rsid w:val="5B874C3D"/>
    <w:rsid w:val="5B931065"/>
    <w:rsid w:val="5BA71816"/>
    <w:rsid w:val="5BD709B8"/>
    <w:rsid w:val="5BDB129A"/>
    <w:rsid w:val="5BF45384"/>
    <w:rsid w:val="5BFB4DB2"/>
    <w:rsid w:val="5BFB5106"/>
    <w:rsid w:val="5C0D1ED6"/>
    <w:rsid w:val="5C2019AE"/>
    <w:rsid w:val="5C226EEC"/>
    <w:rsid w:val="5C3508B3"/>
    <w:rsid w:val="5C366427"/>
    <w:rsid w:val="5C590F3D"/>
    <w:rsid w:val="5C5A4F19"/>
    <w:rsid w:val="5C7439CB"/>
    <w:rsid w:val="5CA23E62"/>
    <w:rsid w:val="5CBD61F3"/>
    <w:rsid w:val="5CCF5D95"/>
    <w:rsid w:val="5CE6106E"/>
    <w:rsid w:val="5CF22D5F"/>
    <w:rsid w:val="5D061524"/>
    <w:rsid w:val="5D1A1060"/>
    <w:rsid w:val="5D406854"/>
    <w:rsid w:val="5D863310"/>
    <w:rsid w:val="5DA40D78"/>
    <w:rsid w:val="5DA44BCB"/>
    <w:rsid w:val="5DB10432"/>
    <w:rsid w:val="5E0A675B"/>
    <w:rsid w:val="5E0E2811"/>
    <w:rsid w:val="5E12376F"/>
    <w:rsid w:val="5E1F57D8"/>
    <w:rsid w:val="5E881741"/>
    <w:rsid w:val="5E892222"/>
    <w:rsid w:val="5E9B6594"/>
    <w:rsid w:val="5EA1282C"/>
    <w:rsid w:val="5EB13F4D"/>
    <w:rsid w:val="5EDA1D14"/>
    <w:rsid w:val="5F016293"/>
    <w:rsid w:val="5F440AD9"/>
    <w:rsid w:val="5F445614"/>
    <w:rsid w:val="5F52546D"/>
    <w:rsid w:val="5F7A570B"/>
    <w:rsid w:val="5F937AAC"/>
    <w:rsid w:val="5FB607E4"/>
    <w:rsid w:val="5FCA636B"/>
    <w:rsid w:val="5FD7263B"/>
    <w:rsid w:val="5FED5496"/>
    <w:rsid w:val="5FF20CBC"/>
    <w:rsid w:val="60016561"/>
    <w:rsid w:val="602A53F4"/>
    <w:rsid w:val="605863B0"/>
    <w:rsid w:val="606B3806"/>
    <w:rsid w:val="609336CC"/>
    <w:rsid w:val="60966B28"/>
    <w:rsid w:val="60980262"/>
    <w:rsid w:val="60CA0D74"/>
    <w:rsid w:val="60E10964"/>
    <w:rsid w:val="60F32E93"/>
    <w:rsid w:val="61103B12"/>
    <w:rsid w:val="611A6CE9"/>
    <w:rsid w:val="61297B5F"/>
    <w:rsid w:val="612A3D79"/>
    <w:rsid w:val="615C31D7"/>
    <w:rsid w:val="61647766"/>
    <w:rsid w:val="617D2AC2"/>
    <w:rsid w:val="61812750"/>
    <w:rsid w:val="61897D95"/>
    <w:rsid w:val="61AD35B0"/>
    <w:rsid w:val="61AF7606"/>
    <w:rsid w:val="61BC4E2F"/>
    <w:rsid w:val="61C944D8"/>
    <w:rsid w:val="61D04FF6"/>
    <w:rsid w:val="61E16AEC"/>
    <w:rsid w:val="61E96E42"/>
    <w:rsid w:val="620D4E08"/>
    <w:rsid w:val="62112239"/>
    <w:rsid w:val="6220633A"/>
    <w:rsid w:val="6225530A"/>
    <w:rsid w:val="62630FBE"/>
    <w:rsid w:val="626806A7"/>
    <w:rsid w:val="626C0011"/>
    <w:rsid w:val="62935B02"/>
    <w:rsid w:val="629574EE"/>
    <w:rsid w:val="629942EF"/>
    <w:rsid w:val="629A601E"/>
    <w:rsid w:val="62B1536D"/>
    <w:rsid w:val="62E671B7"/>
    <w:rsid w:val="62FF0748"/>
    <w:rsid w:val="63144DFE"/>
    <w:rsid w:val="63242AF1"/>
    <w:rsid w:val="633732A4"/>
    <w:rsid w:val="633C4E4D"/>
    <w:rsid w:val="63716C9D"/>
    <w:rsid w:val="63761A71"/>
    <w:rsid w:val="637A3E3F"/>
    <w:rsid w:val="63A56446"/>
    <w:rsid w:val="63B3775F"/>
    <w:rsid w:val="63CD6875"/>
    <w:rsid w:val="63D019CC"/>
    <w:rsid w:val="63E36A8C"/>
    <w:rsid w:val="641E4FB9"/>
    <w:rsid w:val="64200528"/>
    <w:rsid w:val="6447432B"/>
    <w:rsid w:val="647472D2"/>
    <w:rsid w:val="6486663F"/>
    <w:rsid w:val="64A138D6"/>
    <w:rsid w:val="64B63310"/>
    <w:rsid w:val="64CE2496"/>
    <w:rsid w:val="64EF00AD"/>
    <w:rsid w:val="65120E32"/>
    <w:rsid w:val="65375D56"/>
    <w:rsid w:val="653B6D99"/>
    <w:rsid w:val="654B273A"/>
    <w:rsid w:val="655A1CAA"/>
    <w:rsid w:val="656146A1"/>
    <w:rsid w:val="65617294"/>
    <w:rsid w:val="656649AA"/>
    <w:rsid w:val="658145D8"/>
    <w:rsid w:val="65840442"/>
    <w:rsid w:val="65941213"/>
    <w:rsid w:val="65B95727"/>
    <w:rsid w:val="65CD7A68"/>
    <w:rsid w:val="65DA705D"/>
    <w:rsid w:val="65F154CA"/>
    <w:rsid w:val="65F32BBC"/>
    <w:rsid w:val="65F441C1"/>
    <w:rsid w:val="662611B7"/>
    <w:rsid w:val="6629350B"/>
    <w:rsid w:val="669B5B92"/>
    <w:rsid w:val="66F30A4E"/>
    <w:rsid w:val="67172103"/>
    <w:rsid w:val="67305CC5"/>
    <w:rsid w:val="67435036"/>
    <w:rsid w:val="67701726"/>
    <w:rsid w:val="679C4EFE"/>
    <w:rsid w:val="67BE23A9"/>
    <w:rsid w:val="67EB2BA8"/>
    <w:rsid w:val="67EB5941"/>
    <w:rsid w:val="67F0545D"/>
    <w:rsid w:val="67FB5E60"/>
    <w:rsid w:val="67FD5AB4"/>
    <w:rsid w:val="680C239F"/>
    <w:rsid w:val="680D1AED"/>
    <w:rsid w:val="680F44F9"/>
    <w:rsid w:val="680F5254"/>
    <w:rsid w:val="68140BF0"/>
    <w:rsid w:val="68150ED0"/>
    <w:rsid w:val="682420AA"/>
    <w:rsid w:val="68654036"/>
    <w:rsid w:val="68883F34"/>
    <w:rsid w:val="68BD062F"/>
    <w:rsid w:val="68C458BF"/>
    <w:rsid w:val="68C830DA"/>
    <w:rsid w:val="68D74770"/>
    <w:rsid w:val="69002CF7"/>
    <w:rsid w:val="69297317"/>
    <w:rsid w:val="693D1E66"/>
    <w:rsid w:val="693F480D"/>
    <w:rsid w:val="6943676E"/>
    <w:rsid w:val="695D5732"/>
    <w:rsid w:val="69600C93"/>
    <w:rsid w:val="696F3843"/>
    <w:rsid w:val="697B1744"/>
    <w:rsid w:val="698C28F9"/>
    <w:rsid w:val="69976D4F"/>
    <w:rsid w:val="69A50CA7"/>
    <w:rsid w:val="69D20E81"/>
    <w:rsid w:val="69DB2784"/>
    <w:rsid w:val="69E37D26"/>
    <w:rsid w:val="69F77C10"/>
    <w:rsid w:val="6A045919"/>
    <w:rsid w:val="6A0A05F3"/>
    <w:rsid w:val="6A464FD2"/>
    <w:rsid w:val="6A512D8C"/>
    <w:rsid w:val="6A6B01B9"/>
    <w:rsid w:val="6A8409E8"/>
    <w:rsid w:val="6A9005F9"/>
    <w:rsid w:val="6AB5096C"/>
    <w:rsid w:val="6AD200D1"/>
    <w:rsid w:val="6AD3702F"/>
    <w:rsid w:val="6AF87181"/>
    <w:rsid w:val="6B14068D"/>
    <w:rsid w:val="6B1E0FFF"/>
    <w:rsid w:val="6B2E4F14"/>
    <w:rsid w:val="6B5817C4"/>
    <w:rsid w:val="6B5E4E79"/>
    <w:rsid w:val="6B7D09FC"/>
    <w:rsid w:val="6BA370AE"/>
    <w:rsid w:val="6BA56447"/>
    <w:rsid w:val="6BC24007"/>
    <w:rsid w:val="6BD23D11"/>
    <w:rsid w:val="6BD277FB"/>
    <w:rsid w:val="6BE36652"/>
    <w:rsid w:val="6BF1579E"/>
    <w:rsid w:val="6C057130"/>
    <w:rsid w:val="6C0662FE"/>
    <w:rsid w:val="6C0930C7"/>
    <w:rsid w:val="6C2969C9"/>
    <w:rsid w:val="6C6C66A2"/>
    <w:rsid w:val="6C707EE4"/>
    <w:rsid w:val="6C7C4C31"/>
    <w:rsid w:val="6C826089"/>
    <w:rsid w:val="6C83175F"/>
    <w:rsid w:val="6CD442FC"/>
    <w:rsid w:val="6D056496"/>
    <w:rsid w:val="6D3768D8"/>
    <w:rsid w:val="6D960132"/>
    <w:rsid w:val="6DA34258"/>
    <w:rsid w:val="6DB352AA"/>
    <w:rsid w:val="6DDE5E91"/>
    <w:rsid w:val="6DEB09E1"/>
    <w:rsid w:val="6E072ABC"/>
    <w:rsid w:val="6E0925F1"/>
    <w:rsid w:val="6E2D3BC4"/>
    <w:rsid w:val="6E443281"/>
    <w:rsid w:val="6E4B3004"/>
    <w:rsid w:val="6E5207CA"/>
    <w:rsid w:val="6E685ED0"/>
    <w:rsid w:val="6EA7655B"/>
    <w:rsid w:val="6EA92BE0"/>
    <w:rsid w:val="6EC959E5"/>
    <w:rsid w:val="6ECA58EE"/>
    <w:rsid w:val="6EDA255C"/>
    <w:rsid w:val="6EE82FCE"/>
    <w:rsid w:val="6F372F02"/>
    <w:rsid w:val="6F463DC7"/>
    <w:rsid w:val="6F4D013C"/>
    <w:rsid w:val="6F503470"/>
    <w:rsid w:val="6F790289"/>
    <w:rsid w:val="6F83561B"/>
    <w:rsid w:val="6F921AB0"/>
    <w:rsid w:val="6FB22A3B"/>
    <w:rsid w:val="6FBB1843"/>
    <w:rsid w:val="6FC36338"/>
    <w:rsid w:val="6FCA7EFA"/>
    <w:rsid w:val="6FDD3EC6"/>
    <w:rsid w:val="6FEC3083"/>
    <w:rsid w:val="701C40F2"/>
    <w:rsid w:val="702831AB"/>
    <w:rsid w:val="703B6464"/>
    <w:rsid w:val="70476E18"/>
    <w:rsid w:val="7051441F"/>
    <w:rsid w:val="70740767"/>
    <w:rsid w:val="70B53C8E"/>
    <w:rsid w:val="70BA4535"/>
    <w:rsid w:val="70FD3F0A"/>
    <w:rsid w:val="7104189F"/>
    <w:rsid w:val="710564F2"/>
    <w:rsid w:val="71193BA2"/>
    <w:rsid w:val="711D3757"/>
    <w:rsid w:val="71212BA6"/>
    <w:rsid w:val="713162D2"/>
    <w:rsid w:val="713C0E4F"/>
    <w:rsid w:val="71577867"/>
    <w:rsid w:val="719B0AA4"/>
    <w:rsid w:val="71B04A1B"/>
    <w:rsid w:val="71C65FBA"/>
    <w:rsid w:val="71CA675B"/>
    <w:rsid w:val="72243A5A"/>
    <w:rsid w:val="72425978"/>
    <w:rsid w:val="72454425"/>
    <w:rsid w:val="72552A4B"/>
    <w:rsid w:val="72564409"/>
    <w:rsid w:val="727772AB"/>
    <w:rsid w:val="72AB53B2"/>
    <w:rsid w:val="72D178E3"/>
    <w:rsid w:val="72D42724"/>
    <w:rsid w:val="72D65949"/>
    <w:rsid w:val="72E261E8"/>
    <w:rsid w:val="73067716"/>
    <w:rsid w:val="73071780"/>
    <w:rsid w:val="732E2674"/>
    <w:rsid w:val="733B7D01"/>
    <w:rsid w:val="73521769"/>
    <w:rsid w:val="735F4A30"/>
    <w:rsid w:val="7370702A"/>
    <w:rsid w:val="739163A8"/>
    <w:rsid w:val="739B163A"/>
    <w:rsid w:val="73BD0874"/>
    <w:rsid w:val="73BE0B67"/>
    <w:rsid w:val="73CD046F"/>
    <w:rsid w:val="73D433ED"/>
    <w:rsid w:val="740940DD"/>
    <w:rsid w:val="740D54FF"/>
    <w:rsid w:val="74474635"/>
    <w:rsid w:val="745A4764"/>
    <w:rsid w:val="748C7E18"/>
    <w:rsid w:val="74971702"/>
    <w:rsid w:val="74A00D82"/>
    <w:rsid w:val="74A52CD3"/>
    <w:rsid w:val="74AD0BA4"/>
    <w:rsid w:val="74B93B22"/>
    <w:rsid w:val="74CC6DA7"/>
    <w:rsid w:val="74E60AB3"/>
    <w:rsid w:val="750F469C"/>
    <w:rsid w:val="751F2A18"/>
    <w:rsid w:val="7532339A"/>
    <w:rsid w:val="7537524A"/>
    <w:rsid w:val="75440FEC"/>
    <w:rsid w:val="754C5DD2"/>
    <w:rsid w:val="75566365"/>
    <w:rsid w:val="75647643"/>
    <w:rsid w:val="756E09AD"/>
    <w:rsid w:val="75870D33"/>
    <w:rsid w:val="75AA5888"/>
    <w:rsid w:val="75D473F5"/>
    <w:rsid w:val="760C5A64"/>
    <w:rsid w:val="76365C16"/>
    <w:rsid w:val="7639783E"/>
    <w:rsid w:val="76562C6C"/>
    <w:rsid w:val="766A0DB9"/>
    <w:rsid w:val="76754E6F"/>
    <w:rsid w:val="767A3D64"/>
    <w:rsid w:val="7687217A"/>
    <w:rsid w:val="768E621B"/>
    <w:rsid w:val="7693776C"/>
    <w:rsid w:val="769A2D63"/>
    <w:rsid w:val="76C2570A"/>
    <w:rsid w:val="76F94187"/>
    <w:rsid w:val="770C2F06"/>
    <w:rsid w:val="7715423E"/>
    <w:rsid w:val="771D37C3"/>
    <w:rsid w:val="77295CA0"/>
    <w:rsid w:val="77415176"/>
    <w:rsid w:val="779F43E1"/>
    <w:rsid w:val="77DB22C9"/>
    <w:rsid w:val="77E923B3"/>
    <w:rsid w:val="77F942C5"/>
    <w:rsid w:val="77F9644C"/>
    <w:rsid w:val="780815C8"/>
    <w:rsid w:val="781A71FC"/>
    <w:rsid w:val="782A637D"/>
    <w:rsid w:val="782E72A7"/>
    <w:rsid w:val="78363566"/>
    <w:rsid w:val="78831ECC"/>
    <w:rsid w:val="78AB0D92"/>
    <w:rsid w:val="78B102AA"/>
    <w:rsid w:val="78D3087D"/>
    <w:rsid w:val="7915705F"/>
    <w:rsid w:val="791A1E7D"/>
    <w:rsid w:val="791D0971"/>
    <w:rsid w:val="792F4A47"/>
    <w:rsid w:val="7939081A"/>
    <w:rsid w:val="795828C0"/>
    <w:rsid w:val="797053D6"/>
    <w:rsid w:val="797C2D0D"/>
    <w:rsid w:val="798C5352"/>
    <w:rsid w:val="79A35025"/>
    <w:rsid w:val="79CC5123"/>
    <w:rsid w:val="79DD5B61"/>
    <w:rsid w:val="79E0798C"/>
    <w:rsid w:val="79EA17F1"/>
    <w:rsid w:val="79F52ADC"/>
    <w:rsid w:val="7A0F7B2F"/>
    <w:rsid w:val="7A3B4F4E"/>
    <w:rsid w:val="7A6408DF"/>
    <w:rsid w:val="7A762661"/>
    <w:rsid w:val="7A8D709F"/>
    <w:rsid w:val="7A940BDD"/>
    <w:rsid w:val="7A9F113F"/>
    <w:rsid w:val="7AB05ADF"/>
    <w:rsid w:val="7AD76776"/>
    <w:rsid w:val="7ADE20DC"/>
    <w:rsid w:val="7AE378C6"/>
    <w:rsid w:val="7AF006A8"/>
    <w:rsid w:val="7AF03B50"/>
    <w:rsid w:val="7AFD37F7"/>
    <w:rsid w:val="7B084353"/>
    <w:rsid w:val="7B1912BD"/>
    <w:rsid w:val="7B290ADA"/>
    <w:rsid w:val="7B6D4C6D"/>
    <w:rsid w:val="7B6D634E"/>
    <w:rsid w:val="7B714172"/>
    <w:rsid w:val="7B955E29"/>
    <w:rsid w:val="7BC43BFB"/>
    <w:rsid w:val="7C023804"/>
    <w:rsid w:val="7C12724E"/>
    <w:rsid w:val="7C510EE4"/>
    <w:rsid w:val="7C785926"/>
    <w:rsid w:val="7C8D0541"/>
    <w:rsid w:val="7CD70187"/>
    <w:rsid w:val="7CE53E9B"/>
    <w:rsid w:val="7D280B24"/>
    <w:rsid w:val="7D346F88"/>
    <w:rsid w:val="7D413DEE"/>
    <w:rsid w:val="7D445E39"/>
    <w:rsid w:val="7D502C81"/>
    <w:rsid w:val="7D541BE6"/>
    <w:rsid w:val="7D6E7411"/>
    <w:rsid w:val="7D73594E"/>
    <w:rsid w:val="7D7E73AE"/>
    <w:rsid w:val="7D9227B9"/>
    <w:rsid w:val="7DCE2CE5"/>
    <w:rsid w:val="7DCE6EE1"/>
    <w:rsid w:val="7DD26580"/>
    <w:rsid w:val="7DE700C9"/>
    <w:rsid w:val="7DF211E0"/>
    <w:rsid w:val="7E1421AB"/>
    <w:rsid w:val="7E1A7ED7"/>
    <w:rsid w:val="7E3C3B89"/>
    <w:rsid w:val="7E5B2EC1"/>
    <w:rsid w:val="7E7F3E7A"/>
    <w:rsid w:val="7E857E1F"/>
    <w:rsid w:val="7EBB3B91"/>
    <w:rsid w:val="7ECE293E"/>
    <w:rsid w:val="7ED95791"/>
    <w:rsid w:val="7EE2727F"/>
    <w:rsid w:val="7EF7703C"/>
    <w:rsid w:val="7EF91271"/>
    <w:rsid w:val="7F133EEB"/>
    <w:rsid w:val="7F1E38BA"/>
    <w:rsid w:val="7F250C27"/>
    <w:rsid w:val="7F2C7C49"/>
    <w:rsid w:val="7F3212D5"/>
    <w:rsid w:val="7F400CE8"/>
    <w:rsid w:val="7F565DDC"/>
    <w:rsid w:val="7F5D7354"/>
    <w:rsid w:val="7F6E359E"/>
    <w:rsid w:val="7F85248D"/>
    <w:rsid w:val="7FA64143"/>
    <w:rsid w:val="7FB4219C"/>
    <w:rsid w:val="7FCE713F"/>
    <w:rsid w:val="7FE46255"/>
    <w:rsid w:val="7FF634AD"/>
    <w:rsid w:val="7FF6515C"/>
    <w:rsid w:val="7FFD1F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qFormat="1" w:unhideWhenUsed="0"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05"/>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106"/>
    <w:qFormat/>
    <w:uiPriority w:val="0"/>
    <w:pPr>
      <w:keepNext/>
      <w:keepLines/>
      <w:spacing w:before="340" w:after="330" w:line="578" w:lineRule="auto"/>
      <w:outlineLvl w:val="0"/>
    </w:pPr>
    <w:rPr>
      <w:rFonts w:ascii="Times New Roman" w:hAnsi="Times New Roman"/>
      <w:b/>
      <w:bCs/>
      <w:kern w:val="44"/>
      <w:sz w:val="28"/>
      <w:szCs w:val="44"/>
    </w:rPr>
  </w:style>
  <w:style w:type="paragraph" w:styleId="4">
    <w:name w:val="heading 2"/>
    <w:basedOn w:val="1"/>
    <w:next w:val="1"/>
    <w:link w:val="108"/>
    <w:qFormat/>
    <w:uiPriority w:val="0"/>
    <w:pPr>
      <w:keepNext/>
      <w:keepLines/>
      <w:spacing w:before="260" w:after="260" w:line="415" w:lineRule="auto"/>
      <w:ind w:firstLine="200" w:firstLineChars="200"/>
      <w:outlineLvl w:val="1"/>
    </w:pPr>
    <w:rPr>
      <w:rFonts w:ascii="Arial" w:hAnsi="Arial" w:eastAsia="黑体"/>
      <w:b/>
      <w:bCs/>
      <w:sz w:val="32"/>
      <w:szCs w:val="32"/>
    </w:rPr>
  </w:style>
  <w:style w:type="paragraph" w:styleId="5">
    <w:name w:val="heading 3"/>
    <w:basedOn w:val="1"/>
    <w:next w:val="1"/>
    <w:link w:val="43"/>
    <w:qFormat/>
    <w:uiPriority w:val="0"/>
    <w:pPr>
      <w:keepNext/>
      <w:keepLines/>
      <w:spacing w:before="260" w:after="260" w:line="415" w:lineRule="auto"/>
      <w:ind w:firstLine="200" w:firstLineChars="200"/>
      <w:outlineLvl w:val="2"/>
    </w:pPr>
    <w:rPr>
      <w:b/>
      <w:bCs/>
      <w:sz w:val="32"/>
      <w:szCs w:val="32"/>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link w:val="36"/>
    <w:qFormat/>
    <w:uiPriority w:val="0"/>
    <w:pPr>
      <w:ind w:firstLine="420" w:firstLineChars="200"/>
    </w:pPr>
  </w:style>
  <w:style w:type="paragraph" w:styleId="6">
    <w:name w:val="Document Map"/>
    <w:basedOn w:val="1"/>
    <w:semiHidden/>
    <w:qFormat/>
    <w:uiPriority w:val="0"/>
    <w:pPr>
      <w:shd w:val="clear" w:color="auto" w:fill="000080"/>
    </w:pPr>
  </w:style>
  <w:style w:type="paragraph" w:styleId="7">
    <w:name w:val="annotation text"/>
    <w:basedOn w:val="1"/>
    <w:link w:val="97"/>
    <w:qFormat/>
    <w:uiPriority w:val="99"/>
    <w:pPr>
      <w:jc w:val="left"/>
    </w:pPr>
  </w:style>
  <w:style w:type="paragraph" w:styleId="8">
    <w:name w:val="Body Text 3"/>
    <w:basedOn w:val="1"/>
    <w:qFormat/>
    <w:uiPriority w:val="0"/>
    <w:rPr>
      <w:rFonts w:eastAsia="仿宋_GB2312"/>
    </w:rPr>
  </w:style>
  <w:style w:type="paragraph" w:styleId="9">
    <w:name w:val="Body Text"/>
    <w:basedOn w:val="1"/>
    <w:link w:val="96"/>
    <w:qFormat/>
    <w:uiPriority w:val="0"/>
    <w:pPr>
      <w:spacing w:after="120"/>
    </w:pPr>
  </w:style>
  <w:style w:type="paragraph" w:styleId="10">
    <w:name w:val="Body Text Indent"/>
    <w:basedOn w:val="1"/>
    <w:link w:val="44"/>
    <w:qFormat/>
    <w:uiPriority w:val="0"/>
    <w:pPr>
      <w:ind w:left="-3" w:firstLine="423"/>
    </w:pPr>
    <w:rPr>
      <w:rFonts w:ascii="楷体_GB2312" w:eastAsia="楷体_GB2312"/>
    </w:rPr>
  </w:style>
  <w:style w:type="paragraph" w:styleId="11">
    <w:name w:val="Plain Text"/>
    <w:basedOn w:val="1"/>
    <w:link w:val="39"/>
    <w:qFormat/>
    <w:uiPriority w:val="0"/>
    <w:rPr>
      <w:rFonts w:ascii="宋体" w:hAnsi="Courier New"/>
      <w:kern w:val="28"/>
      <w:szCs w:val="20"/>
    </w:rPr>
  </w:style>
  <w:style w:type="paragraph" w:styleId="12">
    <w:name w:val="Date"/>
    <w:basedOn w:val="1"/>
    <w:next w:val="1"/>
    <w:link w:val="67"/>
    <w:qFormat/>
    <w:uiPriority w:val="0"/>
    <w:pPr>
      <w:ind w:left="100" w:leftChars="2500"/>
    </w:pPr>
  </w:style>
  <w:style w:type="paragraph" w:styleId="13">
    <w:name w:val="Body Text Indent 2"/>
    <w:basedOn w:val="1"/>
    <w:link w:val="98"/>
    <w:qFormat/>
    <w:uiPriority w:val="0"/>
    <w:pPr>
      <w:ind w:firstLine="420" w:firstLineChars="200"/>
    </w:pPr>
    <w:rPr>
      <w:rFonts w:ascii="楷体_GB2312" w:eastAsia="楷体_GB2312"/>
    </w:rPr>
  </w:style>
  <w:style w:type="paragraph" w:styleId="14">
    <w:name w:val="Balloon Text"/>
    <w:basedOn w:val="1"/>
    <w:semiHidden/>
    <w:qFormat/>
    <w:uiPriority w:val="0"/>
    <w:rPr>
      <w:sz w:val="18"/>
      <w:szCs w:val="18"/>
    </w:rPr>
  </w:style>
  <w:style w:type="paragraph" w:styleId="15">
    <w:name w:val="footer"/>
    <w:basedOn w:val="1"/>
    <w:link w:val="53"/>
    <w:qFormat/>
    <w:uiPriority w:val="99"/>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semiHidden/>
    <w:qFormat/>
    <w:uiPriority w:val="0"/>
    <w:pPr>
      <w:adjustRightInd w:val="0"/>
      <w:snapToGrid w:val="0"/>
      <w:spacing w:line="240" w:lineRule="atLeast"/>
      <w:jc w:val="center"/>
    </w:pPr>
    <w:rPr>
      <w:b/>
      <w:bCs/>
      <w:sz w:val="20"/>
      <w:szCs w:val="20"/>
    </w:rPr>
  </w:style>
  <w:style w:type="paragraph" w:styleId="18">
    <w:name w:val="List"/>
    <w:basedOn w:val="1"/>
    <w:qFormat/>
    <w:uiPriority w:val="0"/>
    <w:rPr>
      <w:rFonts w:ascii="Arial" w:eastAsia="楷体_GB2312"/>
      <w:spacing w:val="-6"/>
      <w:kern w:val="0"/>
      <w:szCs w:val="20"/>
    </w:rPr>
  </w:style>
  <w:style w:type="paragraph" w:styleId="19">
    <w:name w:val="Body Text Indent 3"/>
    <w:basedOn w:val="1"/>
    <w:qFormat/>
    <w:uiPriority w:val="0"/>
    <w:pPr>
      <w:snapToGrid w:val="0"/>
      <w:spacing w:line="312" w:lineRule="auto"/>
      <w:ind w:firstLine="555"/>
    </w:pPr>
    <w:rPr>
      <w:rFonts w:eastAsia="仿宋_GB2312"/>
      <w:color w:val="FF0000"/>
      <w:sz w:val="28"/>
      <w:szCs w:val="20"/>
    </w:rPr>
  </w:style>
  <w:style w:type="paragraph" w:styleId="20">
    <w:name w:val="toc 9"/>
    <w:basedOn w:val="1"/>
    <w:next w:val="1"/>
    <w:semiHidden/>
    <w:qFormat/>
    <w:uiPriority w:val="0"/>
    <w:pPr>
      <w:ind w:left="3360" w:leftChars="1600"/>
    </w:pPr>
  </w:style>
  <w:style w:type="paragraph" w:styleId="21">
    <w:name w:val="Normal (Web)"/>
    <w:basedOn w:val="1"/>
    <w:qFormat/>
    <w:uiPriority w:val="99"/>
    <w:pPr>
      <w:widowControl/>
      <w:spacing w:before="100" w:beforeAutospacing="1" w:after="100" w:afterAutospacing="1"/>
      <w:jc w:val="left"/>
    </w:pPr>
    <w:rPr>
      <w:rFonts w:ascii="宋体" w:hAnsi="宋体" w:cs="宋体"/>
      <w:kern w:val="0"/>
    </w:rPr>
  </w:style>
  <w:style w:type="paragraph" w:styleId="22">
    <w:name w:val="Title"/>
    <w:basedOn w:val="1"/>
    <w:next w:val="1"/>
    <w:link w:val="42"/>
    <w:qFormat/>
    <w:uiPriority w:val="0"/>
    <w:pPr>
      <w:spacing w:before="240" w:after="60"/>
      <w:jc w:val="center"/>
      <w:outlineLvl w:val="0"/>
    </w:pPr>
    <w:rPr>
      <w:rFonts w:ascii="Cambria" w:hAnsi="Cambria"/>
      <w:b/>
      <w:bCs/>
      <w:sz w:val="32"/>
      <w:szCs w:val="32"/>
    </w:rPr>
  </w:style>
  <w:style w:type="paragraph" w:styleId="23">
    <w:name w:val="annotation subject"/>
    <w:basedOn w:val="7"/>
    <w:next w:val="7"/>
    <w:semiHidden/>
    <w:qFormat/>
    <w:uiPriority w:val="0"/>
    <w:rPr>
      <w:b/>
      <w:bCs/>
    </w:rPr>
  </w:style>
  <w:style w:type="paragraph" w:styleId="24">
    <w:name w:val="Body Text First Indent"/>
    <w:basedOn w:val="9"/>
    <w:next w:val="1"/>
    <w:qFormat/>
    <w:uiPriority w:val="0"/>
    <w:pPr>
      <w:ind w:firstLine="420" w:firstLineChars="100"/>
    </w:pPr>
  </w:style>
  <w:style w:type="paragraph" w:styleId="25">
    <w:name w:val="Body Text First Indent 2"/>
    <w:basedOn w:val="10"/>
    <w:qFormat/>
    <w:uiPriority w:val="0"/>
    <w:pPr>
      <w:spacing w:after="120"/>
      <w:ind w:left="420" w:leftChars="200" w:firstLine="420" w:firstLineChars="200"/>
    </w:pPr>
    <w:rPr>
      <w:rFonts w:ascii="Times New Roman" w:eastAsia="宋体"/>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0"/>
    <w:rPr>
      <w:b/>
      <w:bCs/>
    </w:rPr>
  </w:style>
  <w:style w:type="character" w:styleId="30">
    <w:name w:val="page number"/>
    <w:basedOn w:val="28"/>
    <w:qFormat/>
    <w:uiPriority w:val="0"/>
  </w:style>
  <w:style w:type="character" w:styleId="31">
    <w:name w:val="Emphasis"/>
    <w:basedOn w:val="28"/>
    <w:qFormat/>
    <w:uiPriority w:val="20"/>
    <w:rPr>
      <w:color w:val="CC0000"/>
    </w:rPr>
  </w:style>
  <w:style w:type="character" w:styleId="32">
    <w:name w:val="Hyperlink"/>
    <w:qFormat/>
    <w:uiPriority w:val="0"/>
    <w:rPr>
      <w:color w:val="0000FF"/>
      <w:u w:val="single"/>
    </w:rPr>
  </w:style>
  <w:style w:type="character" w:styleId="33">
    <w:name w:val="annotation reference"/>
    <w:qFormat/>
    <w:uiPriority w:val="99"/>
    <w:rPr>
      <w:sz w:val="21"/>
      <w:szCs w:val="21"/>
    </w:rPr>
  </w:style>
  <w:style w:type="paragraph" w:customStyle="1" w:styleId="34">
    <w:name w:val="表格"/>
    <w:basedOn w:val="1"/>
    <w:link w:val="38"/>
    <w:qFormat/>
    <w:uiPriority w:val="0"/>
    <w:pPr>
      <w:adjustRightInd w:val="0"/>
      <w:snapToGrid w:val="0"/>
      <w:jc w:val="center"/>
      <w:textAlignment w:val="baseline"/>
    </w:pPr>
    <w:rPr>
      <w:rFonts w:ascii="宋体" w:eastAsia="仿宋_GB2312"/>
      <w:snapToGrid w:val="0"/>
      <w:spacing w:val="4"/>
      <w:kern w:val="0"/>
      <w:szCs w:val="20"/>
    </w:rPr>
  </w:style>
  <w:style w:type="paragraph" w:customStyle="1" w:styleId="35">
    <w:name w:val="NormalIndent"/>
    <w:basedOn w:val="1"/>
    <w:next w:val="1"/>
    <w:qFormat/>
    <w:uiPriority w:val="0"/>
    <w:pPr>
      <w:spacing w:line="360" w:lineRule="auto"/>
      <w:ind w:firstLine="420" w:firstLineChars="200"/>
      <w:jc w:val="both"/>
      <w:textAlignment w:val="baseline"/>
    </w:pPr>
  </w:style>
  <w:style w:type="character" w:customStyle="1" w:styleId="36">
    <w:name w:val="正文缩进 Char"/>
    <w:link w:val="2"/>
    <w:qFormat/>
    <w:locked/>
    <w:uiPriority w:val="0"/>
    <w:rPr>
      <w:rFonts w:eastAsia="宋体"/>
      <w:kern w:val="2"/>
      <w:sz w:val="21"/>
      <w:szCs w:val="24"/>
      <w:lang w:val="en-US" w:eastAsia="zh-CN" w:bidi="ar-SA"/>
    </w:rPr>
  </w:style>
  <w:style w:type="character" w:customStyle="1" w:styleId="37">
    <w:name w:val="back121"/>
    <w:qFormat/>
    <w:uiPriority w:val="0"/>
    <w:rPr>
      <w:rFonts w:hint="default" w:ascii="Arial" w:hAnsi="Arial" w:cs="Arial"/>
      <w:color w:val="000000"/>
      <w:sz w:val="21"/>
      <w:szCs w:val="21"/>
    </w:rPr>
  </w:style>
  <w:style w:type="character" w:customStyle="1" w:styleId="38">
    <w:name w:val="表格 Char Char"/>
    <w:link w:val="34"/>
    <w:qFormat/>
    <w:uiPriority w:val="0"/>
    <w:rPr>
      <w:rFonts w:ascii="宋体" w:eastAsia="仿宋_GB2312"/>
      <w:snapToGrid/>
      <w:spacing w:val="4"/>
      <w:sz w:val="24"/>
    </w:rPr>
  </w:style>
  <w:style w:type="character" w:customStyle="1" w:styleId="39">
    <w:name w:val="纯文本 Char"/>
    <w:link w:val="11"/>
    <w:qFormat/>
    <w:uiPriority w:val="0"/>
    <w:rPr>
      <w:rFonts w:ascii="宋体" w:hAnsi="Courier New" w:eastAsia="宋体"/>
      <w:kern w:val="28"/>
      <w:sz w:val="21"/>
      <w:lang w:val="en-US" w:eastAsia="zh-CN" w:bidi="ar-SA"/>
    </w:rPr>
  </w:style>
  <w:style w:type="character" w:customStyle="1" w:styleId="40">
    <w:name w:val="标题 2+ 行距: 固定值 24 磅 Char Char"/>
    <w:link w:val="41"/>
    <w:qFormat/>
    <w:locked/>
    <w:uiPriority w:val="0"/>
    <w:rPr>
      <w:rFonts w:ascii="Arial" w:hAnsi="Arial" w:eastAsia="黑体" w:cs="Arial"/>
      <w:b/>
      <w:bCs/>
      <w:kern w:val="2"/>
      <w:sz w:val="32"/>
      <w:szCs w:val="32"/>
      <w:lang w:val="en-US" w:eastAsia="zh-CN" w:bidi="ar-SA"/>
    </w:rPr>
  </w:style>
  <w:style w:type="paragraph" w:customStyle="1" w:styleId="41">
    <w:name w:val="标题 2+ 行距: 固定值 24 磅 Char"/>
    <w:basedOn w:val="4"/>
    <w:link w:val="40"/>
    <w:qFormat/>
    <w:uiPriority w:val="0"/>
    <w:pPr>
      <w:spacing w:line="480" w:lineRule="exact"/>
      <w:ind w:firstLine="0" w:firstLineChars="0"/>
    </w:pPr>
    <w:rPr>
      <w:rFonts w:cs="Arial"/>
    </w:rPr>
  </w:style>
  <w:style w:type="character" w:customStyle="1" w:styleId="42">
    <w:name w:val="标题 Char"/>
    <w:link w:val="22"/>
    <w:qFormat/>
    <w:uiPriority w:val="0"/>
    <w:rPr>
      <w:rFonts w:ascii="Cambria" w:hAnsi="Cambria" w:cs="Times New Roman"/>
      <w:b/>
      <w:bCs/>
      <w:kern w:val="2"/>
      <w:sz w:val="32"/>
      <w:szCs w:val="32"/>
    </w:rPr>
  </w:style>
  <w:style w:type="character" w:customStyle="1" w:styleId="43">
    <w:name w:val="标题 3 Char"/>
    <w:link w:val="5"/>
    <w:qFormat/>
    <w:locked/>
    <w:uiPriority w:val="0"/>
    <w:rPr>
      <w:rFonts w:eastAsia="宋体"/>
      <w:b/>
      <w:bCs/>
      <w:kern w:val="2"/>
      <w:sz w:val="32"/>
      <w:szCs w:val="32"/>
      <w:lang w:val="en-US" w:eastAsia="zh-CN" w:bidi="ar-SA"/>
    </w:rPr>
  </w:style>
  <w:style w:type="character" w:customStyle="1" w:styleId="44">
    <w:name w:val="正文文本缩进 Char"/>
    <w:link w:val="10"/>
    <w:qFormat/>
    <w:uiPriority w:val="0"/>
    <w:rPr>
      <w:rFonts w:ascii="楷体_GB2312" w:eastAsia="楷体_GB2312"/>
      <w:kern w:val="2"/>
      <w:sz w:val="21"/>
      <w:szCs w:val="24"/>
    </w:rPr>
  </w:style>
  <w:style w:type="character" w:customStyle="1" w:styleId="45">
    <w:name w:val="样式 标题4 + (中文) 宋体 Char"/>
    <w:link w:val="46"/>
    <w:qFormat/>
    <w:uiPriority w:val="0"/>
    <w:rPr>
      <w:rFonts w:eastAsia="宋体"/>
      <w:b/>
      <w:kern w:val="2"/>
      <w:sz w:val="30"/>
      <w:lang w:val="en-US" w:eastAsia="zh-CN" w:bidi="ar-SA"/>
    </w:rPr>
  </w:style>
  <w:style w:type="paragraph" w:customStyle="1" w:styleId="46">
    <w:name w:val="样式 标题4 + (中文) 宋体"/>
    <w:basedOn w:val="1"/>
    <w:next w:val="9"/>
    <w:link w:val="45"/>
    <w:qFormat/>
    <w:uiPriority w:val="0"/>
    <w:pPr>
      <w:keepNext/>
      <w:keepLines/>
      <w:spacing w:line="480" w:lineRule="exact"/>
      <w:outlineLvl w:val="3"/>
    </w:pPr>
    <w:rPr>
      <w:b/>
      <w:sz w:val="30"/>
      <w:szCs w:val="20"/>
    </w:rPr>
  </w:style>
  <w:style w:type="character" w:customStyle="1" w:styleId="47">
    <w:name w:val="MSG_EN_FONT_STYLE_NAME_TEMPLATE_ROLE_NUMBER MSG_EN_FONT_STYLE_NAME_BY_ROLE_TEXT 44_"/>
    <w:link w:val="48"/>
    <w:qFormat/>
    <w:uiPriority w:val="99"/>
    <w:rPr>
      <w:rFonts w:ascii="宋体" w:hAnsi="宋体" w:cs="宋体"/>
      <w:shd w:val="clear" w:color="auto" w:fill="FFFFFF"/>
    </w:rPr>
  </w:style>
  <w:style w:type="paragraph" w:customStyle="1" w:styleId="48">
    <w:name w:val="MSG_EN_FONT_STYLE_NAME_TEMPLATE_ROLE_NUMBER MSG_EN_FONT_STYLE_NAME_BY_ROLE_TEXT 44"/>
    <w:basedOn w:val="1"/>
    <w:link w:val="47"/>
    <w:qFormat/>
    <w:uiPriority w:val="99"/>
    <w:pPr>
      <w:shd w:val="clear" w:color="auto" w:fill="FFFFFF"/>
      <w:spacing w:line="240" w:lineRule="atLeast"/>
      <w:jc w:val="center"/>
    </w:pPr>
    <w:rPr>
      <w:rFonts w:ascii="宋体" w:hAnsi="宋体" w:cs="宋体"/>
      <w:kern w:val="0"/>
      <w:sz w:val="20"/>
      <w:szCs w:val="20"/>
    </w:rPr>
  </w:style>
  <w:style w:type="character" w:customStyle="1" w:styleId="49">
    <w:name w:val="正文缩进 Char1"/>
    <w:qFormat/>
    <w:locked/>
    <w:uiPriority w:val="0"/>
    <w:rPr>
      <w:rFonts w:ascii="Times New Roman" w:hAnsi="Times New Roman" w:eastAsia="宋体" w:cs="Times New Roman"/>
      <w:szCs w:val="24"/>
    </w:rPr>
  </w:style>
  <w:style w:type="character" w:customStyle="1" w:styleId="50">
    <w:name w:val="表格文字 Char"/>
    <w:link w:val="51"/>
    <w:qFormat/>
    <w:uiPriority w:val="0"/>
    <w:rPr>
      <w:rFonts w:ascii="仿宋_GB2312" w:hAnsi="Arial Black" w:eastAsia="仿宋_GB2312"/>
      <w:kern w:val="44"/>
      <w:sz w:val="24"/>
      <w:lang w:val="en-US" w:eastAsia="zh-CN" w:bidi="ar-SA"/>
    </w:rPr>
  </w:style>
  <w:style w:type="paragraph" w:customStyle="1" w:styleId="51">
    <w:name w:val="表格文字"/>
    <w:basedOn w:val="1"/>
    <w:link w:val="50"/>
    <w:qFormat/>
    <w:uiPriority w:val="0"/>
    <w:pPr>
      <w:jc w:val="center"/>
    </w:pPr>
    <w:rPr>
      <w:rFonts w:ascii="仿宋_GB2312" w:hAnsi="Arial Black" w:eastAsia="仿宋_GB2312"/>
      <w:kern w:val="44"/>
      <w:szCs w:val="20"/>
    </w:rPr>
  </w:style>
  <w:style w:type="character" w:customStyle="1" w:styleId="52">
    <w:name w:val="Plain Text Char1 Char1"/>
    <w:qFormat/>
    <w:uiPriority w:val="0"/>
    <w:rPr>
      <w:rFonts w:ascii="宋体" w:hAnsi="Courier New" w:eastAsia="宋体"/>
      <w:kern w:val="2"/>
      <w:sz w:val="21"/>
      <w:lang w:val="en-US" w:eastAsia="zh-CN" w:bidi="ar-SA"/>
    </w:rPr>
  </w:style>
  <w:style w:type="character" w:customStyle="1" w:styleId="53">
    <w:name w:val="页脚 Char"/>
    <w:link w:val="15"/>
    <w:qFormat/>
    <w:uiPriority w:val="99"/>
    <w:rPr>
      <w:kern w:val="2"/>
      <w:sz w:val="18"/>
      <w:szCs w:val="18"/>
    </w:rPr>
  </w:style>
  <w:style w:type="character" w:customStyle="1" w:styleId="54">
    <w:name w:val="报告正文 Char1"/>
    <w:link w:val="55"/>
    <w:qFormat/>
    <w:uiPriority w:val="0"/>
    <w:rPr>
      <w:rFonts w:ascii="宋体"/>
      <w:kern w:val="2"/>
      <w:sz w:val="28"/>
    </w:rPr>
  </w:style>
  <w:style w:type="paragraph" w:customStyle="1" w:styleId="55">
    <w:name w:val="报告正文"/>
    <w:basedOn w:val="1"/>
    <w:link w:val="54"/>
    <w:qFormat/>
    <w:uiPriority w:val="0"/>
    <w:pPr>
      <w:adjustRightInd w:val="0"/>
      <w:snapToGrid w:val="0"/>
      <w:spacing w:line="300" w:lineRule="auto"/>
    </w:pPr>
    <w:rPr>
      <w:rFonts w:ascii="宋体"/>
      <w:sz w:val="28"/>
      <w:szCs w:val="20"/>
    </w:rPr>
  </w:style>
  <w:style w:type="character" w:customStyle="1" w:styleId="56">
    <w:name w:val="表格及图件标题 Char"/>
    <w:link w:val="57"/>
    <w:qFormat/>
    <w:uiPriority w:val="0"/>
    <w:rPr>
      <w:b/>
    </w:rPr>
  </w:style>
  <w:style w:type="paragraph" w:customStyle="1" w:styleId="57">
    <w:name w:val="表格及图件标题"/>
    <w:basedOn w:val="1"/>
    <w:next w:val="34"/>
    <w:link w:val="56"/>
    <w:qFormat/>
    <w:uiPriority w:val="0"/>
    <w:pPr>
      <w:jc w:val="center"/>
    </w:pPr>
    <w:rPr>
      <w:b/>
      <w:kern w:val="0"/>
      <w:sz w:val="20"/>
      <w:szCs w:val="20"/>
    </w:rPr>
  </w:style>
  <w:style w:type="character" w:customStyle="1" w:styleId="58">
    <w:name w:val="表格内文字 Char"/>
    <w:link w:val="59"/>
    <w:qFormat/>
    <w:uiPriority w:val="0"/>
    <w:rPr>
      <w:rFonts w:eastAsia="仿宋_GB2312"/>
      <w:spacing w:val="4"/>
      <w:kern w:val="18"/>
      <w:sz w:val="24"/>
      <w:szCs w:val="24"/>
    </w:rPr>
  </w:style>
  <w:style w:type="paragraph" w:customStyle="1" w:styleId="59">
    <w:name w:val="表格内文字"/>
    <w:basedOn w:val="1"/>
    <w:link w:val="58"/>
    <w:qFormat/>
    <w:uiPriority w:val="0"/>
    <w:pPr>
      <w:tabs>
        <w:tab w:val="left" w:pos="0"/>
      </w:tabs>
      <w:adjustRightInd w:val="0"/>
      <w:snapToGrid w:val="0"/>
      <w:jc w:val="center"/>
    </w:pPr>
    <w:rPr>
      <w:rFonts w:eastAsia="仿宋_GB2312"/>
      <w:spacing w:val="4"/>
      <w:kern w:val="18"/>
    </w:rPr>
  </w:style>
  <w:style w:type="character" w:customStyle="1" w:styleId="60">
    <w:name w:val="表格内容 Char"/>
    <w:link w:val="61"/>
    <w:qFormat/>
    <w:uiPriority w:val="0"/>
    <w:rPr>
      <w:kern w:val="2"/>
      <w:sz w:val="21"/>
      <w:szCs w:val="22"/>
    </w:rPr>
  </w:style>
  <w:style w:type="paragraph" w:customStyle="1" w:styleId="61">
    <w:name w:val="表格内容"/>
    <w:basedOn w:val="1"/>
    <w:link w:val="60"/>
    <w:qFormat/>
    <w:uiPriority w:val="0"/>
    <w:pPr>
      <w:adjustRightInd w:val="0"/>
      <w:snapToGrid w:val="0"/>
      <w:jc w:val="center"/>
    </w:pPr>
    <w:rPr>
      <w:szCs w:val="22"/>
    </w:rPr>
  </w:style>
  <w:style w:type="character" w:customStyle="1" w:styleId="62">
    <w:name w:val="报告书表格 Char"/>
    <w:link w:val="63"/>
    <w:qFormat/>
    <w:uiPriority w:val="0"/>
    <w:rPr>
      <w:rFonts w:eastAsia="仿宋_GB2312"/>
      <w:sz w:val="24"/>
    </w:rPr>
  </w:style>
  <w:style w:type="paragraph" w:customStyle="1" w:styleId="63">
    <w:name w:val="报告书表格"/>
    <w:basedOn w:val="1"/>
    <w:link w:val="62"/>
    <w:qFormat/>
    <w:uiPriority w:val="0"/>
    <w:pPr>
      <w:adjustRightInd w:val="0"/>
      <w:spacing w:line="400" w:lineRule="exact"/>
      <w:jc w:val="center"/>
      <w:textAlignment w:val="baseline"/>
    </w:pPr>
    <w:rPr>
      <w:rFonts w:eastAsia="仿宋_GB2312"/>
      <w:kern w:val="0"/>
      <w:szCs w:val="20"/>
    </w:rPr>
  </w:style>
  <w:style w:type="character" w:customStyle="1" w:styleId="64">
    <w:name w:val="标题 1 Char"/>
    <w:link w:val="3"/>
    <w:qFormat/>
    <w:uiPriority w:val="0"/>
    <w:rPr>
      <w:b/>
      <w:bCs/>
      <w:kern w:val="44"/>
      <w:sz w:val="44"/>
      <w:szCs w:val="44"/>
    </w:rPr>
  </w:style>
  <w:style w:type="character" w:customStyle="1" w:styleId="65">
    <w:name w:val="环评正文 Char1"/>
    <w:link w:val="66"/>
    <w:qFormat/>
    <w:uiPriority w:val="0"/>
    <w:rPr>
      <w:rFonts w:ascii="仿宋_GB2312" w:eastAsia="仿宋_GB2312"/>
      <w:kern w:val="2"/>
      <w:sz w:val="28"/>
    </w:rPr>
  </w:style>
  <w:style w:type="paragraph" w:customStyle="1" w:styleId="66">
    <w:name w:val="环评正文"/>
    <w:basedOn w:val="12"/>
    <w:link w:val="65"/>
    <w:qFormat/>
    <w:uiPriority w:val="0"/>
    <w:pPr>
      <w:spacing w:line="500" w:lineRule="exact"/>
      <w:ind w:left="0" w:leftChars="0" w:firstLine="560" w:firstLineChars="200"/>
    </w:pPr>
    <w:rPr>
      <w:rFonts w:ascii="仿宋_GB2312" w:eastAsia="仿宋_GB2312"/>
      <w:sz w:val="28"/>
      <w:szCs w:val="20"/>
    </w:rPr>
  </w:style>
  <w:style w:type="character" w:customStyle="1" w:styleId="67">
    <w:name w:val="日期 Char"/>
    <w:link w:val="12"/>
    <w:qFormat/>
    <w:uiPriority w:val="0"/>
    <w:rPr>
      <w:kern w:val="2"/>
      <w:sz w:val="21"/>
      <w:szCs w:val="24"/>
    </w:rPr>
  </w:style>
  <w:style w:type="character" w:customStyle="1" w:styleId="68">
    <w:name w:val="表格 Char"/>
    <w:qFormat/>
    <w:uiPriority w:val="0"/>
    <w:rPr>
      <w:kern w:val="2"/>
      <w:sz w:val="24"/>
      <w:szCs w:val="24"/>
    </w:rPr>
  </w:style>
  <w:style w:type="character" w:customStyle="1" w:styleId="69">
    <w:name w:val="图表标题 Char"/>
    <w:link w:val="70"/>
    <w:qFormat/>
    <w:uiPriority w:val="0"/>
    <w:rPr>
      <w:rFonts w:eastAsia="仿宋"/>
      <w:b/>
      <w:kern w:val="2"/>
      <w:sz w:val="24"/>
    </w:rPr>
  </w:style>
  <w:style w:type="paragraph" w:customStyle="1" w:styleId="70">
    <w:name w:val="图表标题"/>
    <w:basedOn w:val="1"/>
    <w:next w:val="34"/>
    <w:link w:val="69"/>
    <w:qFormat/>
    <w:uiPriority w:val="0"/>
    <w:pPr>
      <w:spacing w:line="500" w:lineRule="exact"/>
      <w:jc w:val="center"/>
    </w:pPr>
    <w:rPr>
      <w:rFonts w:eastAsia="仿宋"/>
      <w:b/>
      <w:szCs w:val="20"/>
    </w:rPr>
  </w:style>
  <w:style w:type="character" w:customStyle="1" w:styleId="71">
    <w:name w:val="正文缩进 Char3"/>
    <w:qFormat/>
    <w:uiPriority w:val="0"/>
    <w:rPr>
      <w:rFonts w:ascii="仿宋_GB2312" w:eastAsia="仿宋_GB2312"/>
      <w:kern w:val="2"/>
      <w:sz w:val="28"/>
      <w:szCs w:val="24"/>
      <w:lang w:val="en-US" w:eastAsia="zh-CN" w:bidi="ar-SA"/>
    </w:rPr>
  </w:style>
  <w:style w:type="character" w:customStyle="1" w:styleId="72">
    <w:name w:val="表格文字 Char1"/>
    <w:qFormat/>
    <w:uiPriority w:val="0"/>
    <w:rPr>
      <w:rFonts w:ascii="仿宋_GB2312" w:hAnsi="Arial Black" w:eastAsia="仿宋_GB2312"/>
      <w:kern w:val="44"/>
      <w:sz w:val="24"/>
      <w:szCs w:val="24"/>
      <w:lang w:val="en-US" w:eastAsia="zh-CN" w:bidi="ar-SA"/>
    </w:rPr>
  </w:style>
  <w:style w:type="paragraph" w:customStyle="1" w:styleId="73">
    <w:name w:val="Body Text 22"/>
    <w:basedOn w:val="1"/>
    <w:qFormat/>
    <w:uiPriority w:val="0"/>
    <w:pPr>
      <w:adjustRightInd w:val="0"/>
      <w:spacing w:line="440" w:lineRule="atLeast"/>
      <w:ind w:firstLine="480"/>
      <w:textAlignment w:val="baseline"/>
    </w:pPr>
    <w:rPr>
      <w:rFonts w:eastAsia="仿宋_GB2312"/>
      <w:szCs w:val="20"/>
    </w:rPr>
  </w:style>
  <w:style w:type="paragraph" w:customStyle="1" w:styleId="74">
    <w:name w:val="默认段落字体 Para Char Char Char Char"/>
    <w:basedOn w:val="1"/>
    <w:qFormat/>
    <w:uiPriority w:val="0"/>
    <w:rPr>
      <w:rFonts w:ascii="Arial" w:eastAsia="楷体_GB2312"/>
      <w:spacing w:val="-6"/>
      <w:kern w:val="0"/>
      <w:szCs w:val="22"/>
    </w:rPr>
  </w:style>
  <w:style w:type="paragraph" w:customStyle="1" w:styleId="75">
    <w:name w:val="Char Char Char Char Char Char Char Char Char Char Char1 Char Char Char Char Char Char Char Char Char Char Char Char Char Char Char Char"/>
    <w:basedOn w:val="1"/>
    <w:qFormat/>
    <w:uiPriority w:val="0"/>
  </w:style>
  <w:style w:type="paragraph" w:customStyle="1" w:styleId="76">
    <w:name w:val="表格正文"/>
    <w:basedOn w:val="1"/>
    <w:next w:val="1"/>
    <w:qFormat/>
    <w:uiPriority w:val="0"/>
    <w:pPr>
      <w:adjustRightInd w:val="0"/>
      <w:snapToGrid w:val="0"/>
      <w:jc w:val="center"/>
      <w:textAlignment w:val="baseline"/>
    </w:pPr>
    <w:rPr>
      <w:rFonts w:ascii="宋体"/>
      <w:snapToGrid w:val="0"/>
      <w:spacing w:val="4"/>
      <w:w w:val="90"/>
      <w:kern w:val="0"/>
      <w:szCs w:val="20"/>
    </w:rPr>
  </w:style>
  <w:style w:type="paragraph" w:customStyle="1" w:styleId="77">
    <w:name w:val="Table Paragraph"/>
    <w:basedOn w:val="1"/>
    <w:qFormat/>
    <w:uiPriority w:val="0"/>
    <w:rPr>
      <w:rFonts w:ascii="Arial" w:eastAsia="楷体_GB2312"/>
      <w:spacing w:val="-6"/>
      <w:kern w:val="0"/>
      <w:sz w:val="28"/>
      <w:szCs w:val="22"/>
    </w:rPr>
  </w:style>
  <w:style w:type="paragraph" w:customStyle="1" w:styleId="78">
    <w:name w:val="Char"/>
    <w:basedOn w:val="1"/>
    <w:qFormat/>
    <w:uiPriority w:val="0"/>
  </w:style>
  <w:style w:type="paragraph" w:customStyle="1" w:styleId="79">
    <w:name w:val="hhcwt正文"/>
    <w:basedOn w:val="1"/>
    <w:qFormat/>
    <w:uiPriority w:val="0"/>
    <w:pPr>
      <w:ind w:firstLine="480" w:firstLineChars="200"/>
    </w:pPr>
    <w:rPr>
      <w:rFonts w:cs="宋体"/>
    </w:rPr>
  </w:style>
  <w:style w:type="paragraph" w:styleId="80">
    <w:name w:val="List Paragraph"/>
    <w:basedOn w:val="1"/>
    <w:qFormat/>
    <w:uiPriority w:val="34"/>
    <w:pPr>
      <w:ind w:firstLine="420" w:firstLineChars="200"/>
    </w:pPr>
    <w:rPr>
      <w:rFonts w:ascii="Calibri" w:hAnsi="Calibri"/>
      <w:szCs w:val="22"/>
    </w:rPr>
  </w:style>
  <w:style w:type="paragraph" w:customStyle="1" w:styleId="81">
    <w:name w:val="表标题"/>
    <w:next w:val="1"/>
    <w:qFormat/>
    <w:uiPriority w:val="0"/>
    <w:pPr>
      <w:spacing w:before="60"/>
      <w:jc w:val="center"/>
    </w:pPr>
    <w:rPr>
      <w:rFonts w:ascii="Times New Roman" w:hAnsi="Times New Roman" w:eastAsia="宋体" w:cs="Times New Roman"/>
      <w:b/>
      <w:kern w:val="2"/>
      <w:sz w:val="24"/>
      <w:szCs w:val="24"/>
      <w:lang w:val="en-US" w:eastAsia="zh-CN" w:bidi="ar-SA"/>
    </w:rPr>
  </w:style>
  <w:style w:type="paragraph" w:customStyle="1" w:styleId="82">
    <w:name w:val="标题4"/>
    <w:basedOn w:val="5"/>
    <w:qFormat/>
    <w:uiPriority w:val="0"/>
    <w:pPr>
      <w:spacing w:line="416" w:lineRule="auto"/>
    </w:pPr>
    <w:rPr>
      <w:rFonts w:eastAsia="Times New Roman"/>
      <w:sz w:val="30"/>
    </w:rPr>
  </w:style>
  <w:style w:type="paragraph" w:customStyle="1" w:styleId="83">
    <w:name w:val="表格样式1"/>
    <w:basedOn w:val="1"/>
    <w:qFormat/>
    <w:uiPriority w:val="0"/>
    <w:pPr>
      <w:spacing w:line="360" w:lineRule="exact"/>
      <w:jc w:val="center"/>
    </w:pPr>
    <w:rPr>
      <w:rFonts w:eastAsia="仿宋_GB2312"/>
      <w:color w:val="000080"/>
    </w:rPr>
  </w:style>
  <w:style w:type="paragraph" w:customStyle="1" w:styleId="84">
    <w:name w:val="小四宋居中1.0"/>
    <w:basedOn w:val="1"/>
    <w:next w:val="1"/>
    <w:qFormat/>
    <w:uiPriority w:val="0"/>
    <w:pPr>
      <w:jc w:val="center"/>
    </w:pPr>
    <w:rPr>
      <w:rFonts w:ascii="仿宋_GB2312" w:eastAsia="仿宋_GB2312"/>
      <w:spacing w:val="-6"/>
      <w:kern w:val="0"/>
      <w:szCs w:val="20"/>
    </w:rPr>
  </w:style>
  <w:style w:type="paragraph" w:customStyle="1" w:styleId="85">
    <w:name w:val="reader-word-layer"/>
    <w:basedOn w:val="1"/>
    <w:qFormat/>
    <w:uiPriority w:val="0"/>
    <w:pPr>
      <w:widowControl/>
      <w:spacing w:before="100" w:beforeAutospacing="1" w:after="100" w:afterAutospacing="1"/>
      <w:jc w:val="left"/>
    </w:pPr>
    <w:rPr>
      <w:rFonts w:ascii="宋体" w:hAnsi="宋体" w:cs="宋体"/>
      <w:kern w:val="0"/>
    </w:rPr>
  </w:style>
  <w:style w:type="paragraph" w:customStyle="1" w:styleId="86">
    <w:name w:val="默认段落字体 Para Char Char Char Char Char Char Char Char Char Char Char Char Char"/>
    <w:basedOn w:val="1"/>
    <w:qFormat/>
    <w:uiPriority w:val="0"/>
    <w:rPr>
      <w:szCs w:val="20"/>
    </w:rPr>
  </w:style>
  <w:style w:type="paragraph" w:customStyle="1" w:styleId="87">
    <w:name w:val="字元"/>
    <w:basedOn w:val="1"/>
    <w:qFormat/>
    <w:uiPriority w:val="0"/>
  </w:style>
  <w:style w:type="paragraph" w:customStyle="1" w:styleId="88">
    <w:name w:val="xl27"/>
    <w:basedOn w:val="1"/>
    <w:qFormat/>
    <w:uiPriority w:val="0"/>
    <w:pPr>
      <w:widowControl/>
      <w:pBdr>
        <w:bottom w:val="single" w:color="auto" w:sz="12" w:space="0"/>
      </w:pBdr>
      <w:spacing w:before="100" w:after="100"/>
      <w:jc w:val="center"/>
    </w:pPr>
    <w:rPr>
      <w:rFonts w:ascii="宋体" w:hAnsi="宋体"/>
      <w:kern w:val="0"/>
      <w:szCs w:val="20"/>
    </w:rPr>
  </w:style>
  <w:style w:type="paragraph" w:customStyle="1" w:styleId="89">
    <w:name w:val="xl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楷体_GB2312"/>
      <w:color w:val="000000"/>
      <w:spacing w:val="-6"/>
      <w:kern w:val="0"/>
      <w:sz w:val="28"/>
      <w:szCs w:val="21"/>
    </w:rPr>
  </w:style>
  <w:style w:type="paragraph" w:customStyle="1" w:styleId="90">
    <w:name w:val="p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91">
    <w:name w:val="Char Char Char Char Char Char"/>
    <w:basedOn w:val="1"/>
    <w:qFormat/>
    <w:uiPriority w:val="0"/>
  </w:style>
  <w:style w:type="paragraph" w:customStyle="1" w:styleId="92">
    <w:name w:val="样式1"/>
    <w:basedOn w:val="1"/>
    <w:qFormat/>
    <w:uiPriority w:val="0"/>
    <w:pPr>
      <w:snapToGrid w:val="0"/>
      <w:ind w:firstLine="523" w:firstLineChars="218"/>
    </w:pPr>
    <w:rPr>
      <w:rFonts w:ascii="Calibri" w:hAnsi="Calibri"/>
    </w:rPr>
  </w:style>
  <w:style w:type="paragraph" w:customStyle="1" w:styleId="93">
    <w:name w:val="正文1"/>
    <w:qFormat/>
    <w:uiPriority w:val="0"/>
    <w:pPr>
      <w:widowControl w:val="0"/>
      <w:adjustRightInd w:val="0"/>
      <w:spacing w:line="312" w:lineRule="atLeast"/>
      <w:jc w:val="both"/>
      <w:textAlignment w:val="baseline"/>
    </w:pPr>
    <w:rPr>
      <w:rFonts w:ascii="Arial" w:hAnsi="Times New Roman" w:eastAsia="楷体_GB2312" w:cs="Times New Roman"/>
      <w:spacing w:val="-6"/>
      <w:sz w:val="28"/>
      <w:szCs w:val="22"/>
      <w:lang w:val="en-US" w:eastAsia="zh-CN" w:bidi="ar-SA"/>
    </w:rPr>
  </w:style>
  <w:style w:type="paragraph" w:customStyle="1" w:styleId="94">
    <w:name w:val="图表文字"/>
    <w:basedOn w:val="1"/>
    <w:qFormat/>
    <w:uiPriority w:val="0"/>
    <w:pPr>
      <w:jc w:val="center"/>
    </w:pPr>
    <w:rPr>
      <w:rFonts w:ascii="仿宋_GB2312" w:eastAsia="仿宋_GB2312"/>
    </w:rPr>
  </w:style>
  <w:style w:type="paragraph" w:customStyle="1" w:styleId="95">
    <w:name w:val="表格居中"/>
    <w:qFormat/>
    <w:uiPriority w:val="0"/>
    <w:pPr>
      <w:jc w:val="center"/>
    </w:pPr>
    <w:rPr>
      <w:rFonts w:ascii="Times New Roman" w:hAnsi="Times New Roman" w:eastAsia="宋体" w:cs="Times New Roman"/>
      <w:kern w:val="2"/>
      <w:sz w:val="24"/>
      <w:szCs w:val="24"/>
      <w:lang w:val="en-US" w:eastAsia="zh-CN" w:bidi="ar-SA"/>
    </w:rPr>
  </w:style>
  <w:style w:type="character" w:customStyle="1" w:styleId="96">
    <w:name w:val="正文文本 Char"/>
    <w:link w:val="9"/>
    <w:qFormat/>
    <w:uiPriority w:val="0"/>
    <w:rPr>
      <w:kern w:val="2"/>
      <w:sz w:val="21"/>
      <w:szCs w:val="24"/>
    </w:rPr>
  </w:style>
  <w:style w:type="character" w:customStyle="1" w:styleId="97">
    <w:name w:val="批注文字 Char"/>
    <w:link w:val="7"/>
    <w:qFormat/>
    <w:uiPriority w:val="99"/>
    <w:rPr>
      <w:kern w:val="2"/>
      <w:sz w:val="21"/>
      <w:szCs w:val="24"/>
    </w:rPr>
  </w:style>
  <w:style w:type="character" w:customStyle="1" w:styleId="98">
    <w:name w:val="正文文本缩进 2 Char"/>
    <w:link w:val="13"/>
    <w:qFormat/>
    <w:uiPriority w:val="0"/>
    <w:rPr>
      <w:rFonts w:ascii="楷体_GB2312" w:eastAsia="楷体_GB2312"/>
      <w:kern w:val="2"/>
      <w:sz w:val="21"/>
      <w:szCs w:val="24"/>
    </w:rPr>
  </w:style>
  <w:style w:type="paragraph" w:customStyle="1" w:styleId="99">
    <w:name w:val="小标题"/>
    <w:qFormat/>
    <w:uiPriority w:val="0"/>
    <w:pPr>
      <w:spacing w:before="60" w:line="360" w:lineRule="auto"/>
    </w:pPr>
    <w:rPr>
      <w:rFonts w:ascii="Times New Roman" w:hAnsi="Times New Roman" w:eastAsia="宋体" w:cs="Times New Roman"/>
      <w:b/>
      <w:kern w:val="2"/>
      <w:sz w:val="24"/>
      <w:szCs w:val="24"/>
      <w:lang w:val="en-US" w:eastAsia="zh-CN" w:bidi="ar-SA"/>
    </w:rPr>
  </w:style>
  <w:style w:type="table" w:customStyle="1" w:styleId="100">
    <w:name w:val="Table Normal"/>
    <w:semiHidden/>
    <w:unhideWhenUsed/>
    <w:qFormat/>
    <w:uiPriority w:val="2"/>
    <w:pPr>
      <w:widowControl w:val="0"/>
    </w:pPr>
    <w:rPr>
      <w:sz w:val="22"/>
      <w:szCs w:val="22"/>
      <w:lang w:eastAsia="en-US"/>
    </w:rPr>
    <w:tblPr>
      <w:tblCellMar>
        <w:top w:w="0" w:type="dxa"/>
        <w:left w:w="0" w:type="dxa"/>
        <w:bottom w:w="0" w:type="dxa"/>
        <w:right w:w="0" w:type="dxa"/>
      </w:tblCellMar>
    </w:tblPr>
  </w:style>
  <w:style w:type="character" w:customStyle="1" w:styleId="101">
    <w:name w:val="apple-converted-space"/>
    <w:basedOn w:val="28"/>
    <w:qFormat/>
    <w:uiPriority w:val="0"/>
  </w:style>
  <w:style w:type="character" w:customStyle="1" w:styleId="102">
    <w:name w:val="fontstyle01"/>
    <w:qFormat/>
    <w:uiPriority w:val="0"/>
    <w:rPr>
      <w:rFonts w:hint="default" w:ascii="F2" w:hAnsi="F2"/>
      <w:color w:val="000000"/>
      <w:sz w:val="24"/>
      <w:szCs w:val="24"/>
    </w:rPr>
  </w:style>
  <w:style w:type="paragraph" w:customStyle="1" w:styleId="103">
    <w:name w:val="样式 样式 样式 自动设置 + 五号 段前: 0.5 行 行距: 单倍行距 + 段前: 0.5 行"/>
    <w:basedOn w:val="1"/>
    <w:qFormat/>
    <w:uiPriority w:val="0"/>
    <w:pPr>
      <w:widowControl/>
      <w:autoSpaceDE w:val="0"/>
      <w:autoSpaceDN w:val="0"/>
      <w:adjustRightInd w:val="0"/>
      <w:snapToGrid w:val="0"/>
      <w:jc w:val="left"/>
    </w:pPr>
    <w:rPr>
      <w:rFonts w:ascii="宋体" w:hAnsi="宋体" w:cs="宋体"/>
      <w:kern w:val="0"/>
    </w:rPr>
  </w:style>
  <w:style w:type="paragraph" w:customStyle="1" w:styleId="104">
    <w:name w:val="标题2"/>
    <w:basedOn w:val="1"/>
    <w:next w:val="1"/>
    <w:qFormat/>
    <w:uiPriority w:val="0"/>
    <w:pPr>
      <w:autoSpaceDE w:val="0"/>
      <w:autoSpaceDN w:val="0"/>
      <w:snapToGrid w:val="0"/>
      <w:spacing w:line="590" w:lineRule="atLeast"/>
      <w:jc w:val="center"/>
    </w:pPr>
    <w:rPr>
      <w:rFonts w:eastAsia="方正楷体_GBK"/>
      <w:snapToGrid w:val="0"/>
      <w:kern w:val="0"/>
      <w:sz w:val="32"/>
      <w:szCs w:val="20"/>
    </w:rPr>
  </w:style>
  <w:style w:type="character" w:customStyle="1" w:styleId="105">
    <w:name w:val="NormalCharacter"/>
    <w:link w:val="1"/>
    <w:semiHidden/>
    <w:qFormat/>
    <w:uiPriority w:val="0"/>
    <w:rPr>
      <w:rFonts w:ascii="Times New Roman" w:hAnsi="Times New Roman" w:eastAsia="宋体" w:cs="Times New Roman"/>
      <w:kern w:val="2"/>
      <w:sz w:val="24"/>
      <w:szCs w:val="24"/>
      <w:lang w:val="en-US" w:eastAsia="zh-CN" w:bidi="ar-SA"/>
    </w:rPr>
  </w:style>
  <w:style w:type="character" w:customStyle="1" w:styleId="106">
    <w:name w:val="标题 1 字符"/>
    <w:link w:val="3"/>
    <w:qFormat/>
    <w:uiPriority w:val="0"/>
    <w:rPr>
      <w:rFonts w:hint="eastAsia" w:ascii="Times New Roman" w:hAnsi="Times New Roman" w:eastAsia="宋体"/>
      <w:b/>
      <w:kern w:val="44"/>
      <w:sz w:val="28"/>
      <w:szCs w:val="44"/>
    </w:rPr>
  </w:style>
  <w:style w:type="paragraph" w:customStyle="1" w:styleId="10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08">
    <w:name w:val="标题 2 Char"/>
    <w:link w:val="4"/>
    <w:qFormat/>
    <w:uiPriority w:val="0"/>
    <w:rPr>
      <w:rFonts w:ascii="Arial" w:hAnsi="Arial" w:eastAsia="黑体"/>
      <w:b/>
      <w:bCs/>
      <w:sz w:val="32"/>
      <w:szCs w:val="32"/>
    </w:rPr>
  </w:style>
  <w:style w:type="paragraph" w:customStyle="1" w:styleId="109">
    <w:name w:val="表格第一行"/>
    <w:basedOn w:val="1"/>
    <w:qFormat/>
    <w:uiPriority w:val="0"/>
    <w:pPr>
      <w:adjustRightInd w:val="0"/>
      <w:snapToGrid w:val="0"/>
      <w:jc w:val="center"/>
    </w:pPr>
    <w:rPr>
      <w:rFonts w:eastAsia="仿宋_GB2312"/>
      <w:b/>
      <w:szCs w:val="21"/>
    </w:rPr>
  </w:style>
  <w:style w:type="paragraph" w:customStyle="1" w:styleId="110">
    <w:name w:val="表格字体"/>
    <w:basedOn w:val="1"/>
    <w:next w:val="1"/>
    <w:qFormat/>
    <w:uiPriority w:val="0"/>
    <w:pPr>
      <w:adjustRightInd w:val="0"/>
      <w:snapToGrid w:val="0"/>
      <w:spacing w:line="240" w:lineRule="auto"/>
      <w:ind w:firstLine="0" w:firstLineChars="0"/>
      <w:jc w:val="center"/>
    </w:pPr>
    <w:rPr>
      <w:rFonts w:cs="宋体"/>
      <w:kern w:val="0"/>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microsoft.com/office/2011/relationships/people" Target="people.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0.png"/><Relationship Id="rId20" Type="http://schemas.openxmlformats.org/officeDocument/2006/relationships/image" Target="media/image9.wmf"/><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3.bin"/><Relationship Id="rId17" Type="http://schemas.openxmlformats.org/officeDocument/2006/relationships/image" Target="media/image7.wmf"/><Relationship Id="rId16" Type="http://schemas.openxmlformats.org/officeDocument/2006/relationships/oleObject" Target="embeddings/oleObject2.bin"/><Relationship Id="rId15" Type="http://schemas.openxmlformats.org/officeDocument/2006/relationships/image" Target="media/image6.wmf"/><Relationship Id="rId14" Type="http://schemas.openxmlformats.org/officeDocument/2006/relationships/oleObject" Target="embeddings/oleObject1.bin"/><Relationship Id="rId13" Type="http://schemas.openxmlformats.org/officeDocument/2006/relationships/image" Target="media/image5.wmf"/><Relationship Id="rId12" Type="http://schemas.openxmlformats.org/officeDocument/2006/relationships/image" Target="media/image4.wmf"/><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textRotate="1"/>
    <customShpInfo spid="_x0000_s2050"/>
    <customShpInfo spid="_x0000_s2051"/>
    <customShpInfo spid="_x0000_s2052"/>
    <customShpInfo spid="_x0000_s2053"/>
    <customShpInfo spid="_x0000_s205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8BD9BD-9243-42FA-A596-F9188F51144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63</Pages>
  <Words>39341</Words>
  <Characters>45655</Characters>
  <Lines>255</Lines>
  <Paragraphs>71</Paragraphs>
  <TotalTime>21</TotalTime>
  <ScaleCrop>false</ScaleCrop>
  <LinksUpToDate>false</LinksUpToDate>
  <CharactersWithSpaces>46553</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2019-07-02T05:36:00Z</dcterms:created>
  <dc:creator>User</dc:creator>
  <cp:lastModifiedBy>ོ我在北回归线</cp:lastModifiedBy>
  <cp:lastPrinted>2020-06-12T02:36:00Z</cp:lastPrinted>
  <dcterms:modified xsi:type="dcterms:W3CDTF">2021-02-07T02:59:22Z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