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FF0000"/>
        </w:rPr>
      </w:pPr>
    </w:p>
    <w:p>
      <w:pPr>
        <w:rPr>
          <w:rFonts w:ascii="Times New Roman" w:hAnsi="Times New Roman" w:eastAsia="仿宋_GB2312" w:cs="Times New Roman"/>
          <w:color w:val="FF0000"/>
        </w:rPr>
      </w:pPr>
    </w:p>
    <w:p>
      <w:pPr>
        <w:rPr>
          <w:rFonts w:ascii="Times New Roman" w:hAnsi="Times New Roman" w:eastAsia="仿宋_GB2312" w:cs="Times New Roman"/>
          <w:color w:val="FF0000"/>
        </w:rPr>
      </w:pPr>
    </w:p>
    <w:p>
      <w:pPr>
        <w:rPr>
          <w:rFonts w:ascii="Times New Roman" w:hAnsi="Times New Roman" w:eastAsia="仿宋_GB2312" w:cs="Times New Roman"/>
          <w:color w:val="FF0000"/>
        </w:rPr>
      </w:pPr>
    </w:p>
    <w:p>
      <w:pPr>
        <w:jc w:val="center"/>
        <w:rPr>
          <w:rFonts w:ascii="Times New Roman" w:hAnsi="Times New Roman" w:eastAsia="仿宋_GB2312" w:cs="Times New Roman"/>
          <w:b/>
          <w:sz w:val="44"/>
          <w:szCs w:val="44"/>
        </w:rPr>
      </w:pPr>
      <w:r>
        <w:rPr>
          <w:rFonts w:hint="eastAsia" w:ascii="Times New Roman" w:hAnsi="Times New Roman" w:eastAsia="仿宋_GB2312" w:cs="Times New Roman"/>
          <w:b/>
          <w:sz w:val="44"/>
          <w:szCs w:val="44"/>
        </w:rPr>
        <w:t>建设项目固体废物污染</w:t>
      </w:r>
    </w:p>
    <w:p>
      <w:pPr>
        <w:jc w:val="center"/>
        <w:rPr>
          <w:rFonts w:ascii="Times New Roman" w:hAnsi="Times New Roman" w:eastAsia="仿宋_GB2312" w:cs="Times New Roman"/>
          <w:b/>
          <w:sz w:val="44"/>
          <w:szCs w:val="44"/>
        </w:rPr>
      </w:pPr>
      <w:r>
        <w:rPr>
          <w:rFonts w:hint="eastAsia" w:ascii="Times New Roman" w:hAnsi="Times New Roman" w:eastAsia="仿宋_GB2312" w:cs="Times New Roman"/>
          <w:b/>
          <w:sz w:val="44"/>
          <w:szCs w:val="44"/>
        </w:rPr>
        <w:t>防治设施竣工验收监测报告</w:t>
      </w:r>
    </w:p>
    <w:p>
      <w:pPr>
        <w:spacing w:line="236" w:lineRule="exact"/>
        <w:jc w:val="center"/>
        <w:rPr>
          <w:rFonts w:ascii="Times New Roman" w:hAnsi="Times New Roman" w:eastAsia="仿宋_GB2312" w:cs="Times New Roman"/>
          <w:sz w:val="28"/>
          <w:szCs w:val="28"/>
        </w:rPr>
      </w:pPr>
    </w:p>
    <w:p>
      <w:pPr>
        <w:spacing w:line="24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（2019）国泰（验）字第（</w:t>
      </w:r>
      <w:r>
        <w:rPr>
          <w:rFonts w:hint="eastAsia" w:ascii="Times New Roman" w:hAnsi="Times New Roman" w:eastAsia="仿宋_GB2312" w:cs="Times New Roman"/>
          <w:sz w:val="28"/>
          <w:szCs w:val="28"/>
          <w:lang w:val="en-US" w:eastAsia="zh-CN"/>
        </w:rPr>
        <w:t>08001</w:t>
      </w:r>
      <w:r>
        <w:rPr>
          <w:rFonts w:ascii="Times New Roman" w:hAnsi="Times New Roman" w:eastAsia="仿宋_GB2312" w:cs="Times New Roman"/>
          <w:sz w:val="28"/>
          <w:szCs w:val="28"/>
        </w:rPr>
        <w:t>）号</w:t>
      </w:r>
    </w:p>
    <w:p>
      <w:pPr>
        <w:spacing w:line="200" w:lineRule="exact"/>
        <w:rPr>
          <w:rFonts w:ascii="Times New Roman" w:hAnsi="Times New Roman" w:eastAsia="仿宋_GB2312" w:cs="Times New Roman"/>
          <w:b/>
          <w:bCs/>
          <w:sz w:val="28"/>
          <w:szCs w:val="28"/>
        </w:rPr>
      </w:pPr>
    </w:p>
    <w:p>
      <w:pPr>
        <w:spacing w:line="200" w:lineRule="exact"/>
        <w:rPr>
          <w:rFonts w:ascii="Times New Roman" w:hAnsi="Times New Roman" w:eastAsia="仿宋_GB2312" w:cs="Times New Roman"/>
          <w:b/>
          <w:bCs/>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spacing w:line="200" w:lineRule="exact"/>
        <w:rPr>
          <w:rFonts w:ascii="Times New Roman" w:hAnsi="Times New Roman" w:eastAsia="仿宋_GB2312" w:cs="Times New Roman"/>
          <w:sz w:val="28"/>
          <w:szCs w:val="28"/>
        </w:rPr>
      </w:pPr>
    </w:p>
    <w:p>
      <w:pPr>
        <w:tabs>
          <w:tab w:val="left" w:pos="2780"/>
        </w:tabs>
        <w:spacing w:line="500" w:lineRule="exact"/>
        <w:ind w:left="3295" w:leftChars="833" w:hanging="1546" w:hangingChars="550"/>
        <w:rPr>
          <w:rFonts w:ascii="Times New Roman" w:hAnsi="Times New Roman" w:eastAsia="仿宋_GB2312" w:cs="Times New Roman"/>
          <w:bCs/>
          <w:sz w:val="28"/>
          <w:szCs w:val="28"/>
        </w:rPr>
      </w:pPr>
      <w:r>
        <w:rPr>
          <w:rFonts w:hint="eastAsia" w:ascii="Times New Roman" w:hAnsi="Times New Roman" w:eastAsia="仿宋_GB2312" w:cs="Times New Roman"/>
          <w:b/>
          <w:sz w:val="28"/>
          <w:szCs w:val="28"/>
        </w:rPr>
        <w:t>项目名称</w:t>
      </w:r>
      <w:r>
        <w:rPr>
          <w:rFonts w:ascii="Times New Roman" w:hAnsi="Times New Roman" w:eastAsia="仿宋_GB2312" w:cs="Times New Roman"/>
          <w:b/>
          <w:sz w:val="28"/>
          <w:szCs w:val="28"/>
        </w:rPr>
        <w:t>：</w:t>
      </w:r>
      <w:r>
        <w:rPr>
          <w:rFonts w:hint="eastAsia" w:ascii="Times New Roman" w:hAnsi="Times New Roman" w:eastAsia="仿宋_GB2312" w:cs="Times New Roman"/>
          <w:sz w:val="28"/>
          <w:szCs w:val="28"/>
        </w:rPr>
        <w:t>苏州源顺祥新材料有限公司年产塑料制品1500吨新建项目</w:t>
      </w:r>
    </w:p>
    <w:p>
      <w:pPr>
        <w:tabs>
          <w:tab w:val="left" w:pos="3080"/>
        </w:tabs>
        <w:spacing w:line="500" w:lineRule="exact"/>
        <w:ind w:left="105" w:leftChars="50"/>
        <w:jc w:val="center"/>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建设</w:t>
      </w:r>
      <w:r>
        <w:rPr>
          <w:rFonts w:ascii="Times New Roman" w:hAnsi="Times New Roman" w:eastAsia="仿宋_GB2312" w:cs="Times New Roman"/>
          <w:b/>
          <w:sz w:val="28"/>
          <w:szCs w:val="28"/>
        </w:rPr>
        <w:t>单位：</w:t>
      </w:r>
      <w:r>
        <w:rPr>
          <w:rFonts w:hint="eastAsia" w:ascii="Times New Roman" w:hAnsi="Times New Roman" w:eastAsia="仿宋_GB2312" w:cs="Times New Roman"/>
          <w:sz w:val="28"/>
          <w:szCs w:val="28"/>
        </w:rPr>
        <w:t>苏州</w:t>
      </w:r>
      <w:r>
        <w:rPr>
          <w:rFonts w:hint="eastAsia" w:ascii="Times New Roman" w:hAnsi="Times New Roman" w:eastAsia="仿宋_GB2312" w:cs="Times New Roman"/>
          <w:sz w:val="28"/>
          <w:szCs w:val="28"/>
          <w:lang w:eastAsia="zh-CN"/>
        </w:rPr>
        <w:t>源顺祥新材料</w:t>
      </w:r>
      <w:r>
        <w:rPr>
          <w:rFonts w:hint="eastAsia" w:ascii="Times New Roman" w:hAnsi="Times New Roman" w:eastAsia="仿宋_GB2312" w:cs="Times New Roman"/>
          <w:sz w:val="28"/>
          <w:szCs w:val="28"/>
        </w:rPr>
        <w:t>有限公司</w:t>
      </w:r>
    </w:p>
    <w:p>
      <w:pPr>
        <w:tabs>
          <w:tab w:val="left" w:pos="3080"/>
        </w:tabs>
        <w:spacing w:line="500" w:lineRule="exact"/>
        <w:ind w:left="105" w:leftChars="50"/>
        <w:jc w:val="center"/>
        <w:rPr>
          <w:rFonts w:ascii="Times New Roman" w:hAnsi="Times New Roman" w:eastAsia="仿宋_GB2312" w:cs="Times New Roman"/>
          <w:sz w:val="28"/>
          <w:szCs w:val="28"/>
        </w:rPr>
      </w:pPr>
      <w:r>
        <w:rPr>
          <w:rFonts w:ascii="Times New Roman" w:hAnsi="Times New Roman" w:eastAsia="仿宋_GB2312" w:cs="Times New Roman"/>
          <w:b/>
          <w:sz w:val="28"/>
          <w:szCs w:val="28"/>
        </w:rPr>
        <w:t>编制单位：</w:t>
      </w:r>
      <w:r>
        <w:rPr>
          <w:rFonts w:ascii="Times New Roman" w:hAnsi="Times New Roman" w:eastAsia="仿宋_GB2312" w:cs="Times New Roman"/>
          <w:sz w:val="28"/>
          <w:szCs w:val="28"/>
        </w:rPr>
        <w:t>苏州国泰环境检测有限公司</w:t>
      </w:r>
    </w:p>
    <w:p>
      <w:pPr>
        <w:tabs>
          <w:tab w:val="left" w:pos="2780"/>
        </w:tabs>
        <w:spacing w:line="500" w:lineRule="exact"/>
        <w:ind w:left="2100" w:hanging="2100" w:hangingChars="750"/>
        <w:jc w:val="left"/>
        <w:rPr>
          <w:rFonts w:ascii="Times New Roman" w:hAnsi="Times New Roman" w:eastAsia="仿宋_GB2312" w:cs="Times New Roman"/>
          <w:sz w:val="28"/>
          <w:szCs w:val="28"/>
        </w:rPr>
      </w:pPr>
    </w:p>
    <w:p>
      <w:pPr>
        <w:spacing w:line="240" w:lineRule="atLeast"/>
        <w:rPr>
          <w:rFonts w:ascii="Times New Roman" w:hAnsi="Times New Roman" w:eastAsia="仿宋_GB2312" w:cs="Times New Roman"/>
          <w:sz w:val="28"/>
          <w:szCs w:val="28"/>
        </w:rPr>
      </w:pPr>
    </w:p>
    <w:p>
      <w:pPr>
        <w:spacing w:line="240" w:lineRule="atLeast"/>
        <w:rPr>
          <w:rFonts w:ascii="Times New Roman" w:hAnsi="Times New Roman" w:eastAsia="仿宋_GB2312" w:cs="Times New Roman"/>
          <w:sz w:val="28"/>
          <w:szCs w:val="28"/>
        </w:rPr>
      </w:pPr>
    </w:p>
    <w:p>
      <w:pPr>
        <w:spacing w:line="240" w:lineRule="atLeast"/>
        <w:rPr>
          <w:rFonts w:ascii="Times New Roman" w:hAnsi="Times New Roman" w:eastAsia="仿宋_GB2312" w:cs="Times New Roman"/>
          <w:sz w:val="28"/>
          <w:szCs w:val="28"/>
        </w:rPr>
      </w:pPr>
    </w:p>
    <w:p>
      <w:pPr>
        <w:spacing w:line="240" w:lineRule="atLeast"/>
        <w:jc w:val="center"/>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19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月</w:t>
      </w:r>
    </w:p>
    <w:p>
      <w:pPr>
        <w:spacing w:line="720" w:lineRule="auto"/>
        <w:rPr>
          <w:rFonts w:ascii="Times New Roman" w:hAnsi="Times New Roman" w:eastAsia="仿宋_GB2312" w:cs="Times New Roman"/>
          <w:sz w:val="28"/>
          <w:szCs w:val="28"/>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spacing w:line="720" w:lineRule="auto"/>
        <w:rPr>
          <w:rFonts w:ascii="Times New Roman" w:hAnsi="Times New Roman" w:eastAsia="仿宋_GB2312" w:cs="Times New Roman"/>
          <w:spacing w:val="68"/>
          <w:sz w:val="28"/>
          <w:szCs w:val="28"/>
        </w:rPr>
      </w:pPr>
      <w:r>
        <w:rPr>
          <w:rFonts w:ascii="Times New Roman" w:hAnsi="Times New Roman" w:eastAsia="仿宋_GB2312" w:cs="Times New Roman"/>
          <w:sz w:val="28"/>
          <w:szCs w:val="28"/>
        </w:rPr>
        <w:t>建设单位法人代表：（签字）</w:t>
      </w:r>
    </w:p>
    <w:p>
      <w:pPr>
        <w:spacing w:line="72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编制单位法人代表：（签字）</w:t>
      </w:r>
    </w:p>
    <w:p>
      <w:pPr>
        <w:spacing w:line="72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项目负责人：</w:t>
      </w: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p>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mc:AlternateContent>
          <mc:Choice Requires="wps">
            <w:drawing>
              <wp:anchor distT="45720" distB="45720" distL="114300" distR="114300" simplePos="0" relativeHeight="251660288" behindDoc="0" locked="0" layoutInCell="1" allowOverlap="1">
                <wp:simplePos x="0" y="0"/>
                <wp:positionH relativeFrom="column">
                  <wp:posOffset>2679065</wp:posOffset>
                </wp:positionH>
                <wp:positionV relativeFrom="paragraph">
                  <wp:posOffset>544195</wp:posOffset>
                </wp:positionV>
                <wp:extent cx="2809875" cy="3859530"/>
                <wp:effectExtent l="0" t="0" r="9525" b="7620"/>
                <wp:wrapSquare wrapText="bothSides"/>
                <wp:docPr id="17" name="文本框 58"/>
                <wp:cNvGraphicFramePr/>
                <a:graphic xmlns:a="http://schemas.openxmlformats.org/drawingml/2006/main">
                  <a:graphicData uri="http://schemas.microsoft.com/office/word/2010/wordprocessingShape">
                    <wps:wsp>
                      <wps:cNvSpPr txBox="1"/>
                      <wps:spPr>
                        <a:xfrm>
                          <a:off x="0" y="0"/>
                          <a:ext cx="2809875" cy="3859530"/>
                        </a:xfrm>
                        <a:prstGeom prst="rect">
                          <a:avLst/>
                        </a:prstGeom>
                        <a:solidFill>
                          <a:srgbClr val="FFFFFF"/>
                        </a:solidFill>
                        <a:ln>
                          <a:noFill/>
                        </a:ln>
                      </wps:spPr>
                      <wps:txbx>
                        <w:txbxContent>
                          <w:p>
                            <w:pPr>
                              <w:rPr>
                                <w:rFonts w:ascii="Times New Roman" w:hAnsi="Times New Roman" w:eastAsia="仿宋_GB2312" w:cs="Times New Roman"/>
                                <w:sz w:val="28"/>
                                <w:szCs w:val="28"/>
                              </w:rPr>
                            </w:pPr>
                            <w:r>
                              <w:rPr>
                                <w:rFonts w:ascii="Times New Roman" w:hAnsi="Times New Roman" w:eastAsia="仿宋_GB2312" w:cs="Times New Roman"/>
                                <w:sz w:val="28"/>
                                <w:szCs w:val="28"/>
                              </w:rPr>
                              <w:t>编制单位：苏州国泰环境检测有限公司（盖章）</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电话：0512-65873177</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传真：0512-65976916</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邮编：215124</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地址：苏州市吴中区</w:t>
                            </w:r>
                            <w:r>
                              <w:rPr>
                                <w:rFonts w:hint="eastAsia" w:ascii="Times New Roman" w:hAnsi="Times New Roman" w:eastAsia="仿宋_GB2312" w:cs="Times New Roman"/>
                                <w:sz w:val="28"/>
                                <w:szCs w:val="28"/>
                              </w:rPr>
                              <w:t>九盛港路288号</w:t>
                            </w:r>
                          </w:p>
                        </w:txbxContent>
                      </wps:txbx>
                      <wps:bodyPr upright="1"/>
                    </wps:wsp>
                  </a:graphicData>
                </a:graphic>
              </wp:anchor>
            </w:drawing>
          </mc:Choice>
          <mc:Fallback>
            <w:pict>
              <v:shape id="文本框 58" o:spid="_x0000_s1026" o:spt="202" type="#_x0000_t202" style="position:absolute;left:0pt;margin-left:210.95pt;margin-top:42.85pt;height:303.9pt;width:221.25pt;mso-wrap-distance-bottom:3.6pt;mso-wrap-distance-left:9pt;mso-wrap-distance-right:9pt;mso-wrap-distance-top:3.6pt;z-index:251660288;mso-width-relative:page;mso-height-relative:page;" fillcolor="#FFFFFF" filled="t" stroked="f" coordsize="21600,21600" o:gfxdata="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Z+BONgAAAAK&#10;AQAADwAAAAAAAAABACAAAAAiAAAAZHJzL2Rvd25yZXYueG1sUEsBAhQAFAAAAAgAh07iQNZnjjOq&#10;AQAALAMAAA4AAAAAAAAAAQAgAAAAJwEAAGRycy9lMm9Eb2MueG1sUEsFBgAAAAAGAAYAWQEAAEMF&#10;AAAAAA==&#10;">
                <v:fill on="t" focussize="0,0"/>
                <v:stroke on="f"/>
                <v:imagedata o:title=""/>
                <o:lock v:ext="edit" aspectratio="f"/>
                <v:textbox>
                  <w:txbxContent>
                    <w:p>
                      <w:pPr>
                        <w:rPr>
                          <w:rFonts w:ascii="Times New Roman" w:hAnsi="Times New Roman" w:eastAsia="仿宋_GB2312" w:cs="Times New Roman"/>
                          <w:sz w:val="28"/>
                          <w:szCs w:val="28"/>
                        </w:rPr>
                      </w:pPr>
                      <w:r>
                        <w:rPr>
                          <w:rFonts w:ascii="Times New Roman" w:hAnsi="Times New Roman" w:eastAsia="仿宋_GB2312" w:cs="Times New Roman"/>
                          <w:sz w:val="28"/>
                          <w:szCs w:val="28"/>
                        </w:rPr>
                        <w:t>编制单位：苏州国泰环境检测有限公司（盖章）</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电话：0512-65873177</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传真：0512-65976916</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邮编：215124</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地址：苏州市吴中区</w:t>
                      </w:r>
                      <w:r>
                        <w:rPr>
                          <w:rFonts w:hint="eastAsia" w:ascii="Times New Roman" w:hAnsi="Times New Roman" w:eastAsia="仿宋_GB2312" w:cs="Times New Roman"/>
                          <w:sz w:val="28"/>
                          <w:szCs w:val="28"/>
                        </w:rPr>
                        <w:t>九盛港路288号</w:t>
                      </w:r>
                    </w:p>
                  </w:txbxContent>
                </v:textbox>
                <w10:wrap type="square"/>
              </v:shape>
            </w:pict>
          </mc:Fallback>
        </mc:AlternateContent>
      </w:r>
      <w:r>
        <w:rPr>
          <w:rFonts w:ascii="Times New Roman" w:hAnsi="Times New Roman" w:eastAsia="仿宋_GB2312" w:cs="Times New Roman"/>
        </w:rPr>
        <mc:AlternateContent>
          <mc:Choice Requires="wps">
            <w:drawing>
              <wp:anchor distT="45720" distB="45720" distL="114300" distR="114300" simplePos="0" relativeHeight="251658240" behindDoc="0" locked="0" layoutInCell="1" allowOverlap="1">
                <wp:simplePos x="0" y="0"/>
                <wp:positionH relativeFrom="column">
                  <wp:posOffset>-283210</wp:posOffset>
                </wp:positionH>
                <wp:positionV relativeFrom="paragraph">
                  <wp:posOffset>544195</wp:posOffset>
                </wp:positionV>
                <wp:extent cx="2809875" cy="3859530"/>
                <wp:effectExtent l="0" t="0" r="9525" b="7620"/>
                <wp:wrapSquare wrapText="bothSides"/>
                <wp:docPr id="12" name="文本框 2"/>
                <wp:cNvGraphicFramePr/>
                <a:graphic xmlns:a="http://schemas.openxmlformats.org/drawingml/2006/main">
                  <a:graphicData uri="http://schemas.microsoft.com/office/word/2010/wordprocessingShape">
                    <wps:wsp>
                      <wps:cNvSpPr txBox="1"/>
                      <wps:spPr>
                        <a:xfrm>
                          <a:off x="0" y="0"/>
                          <a:ext cx="2809875" cy="3859530"/>
                        </a:xfrm>
                        <a:prstGeom prst="rect">
                          <a:avLst/>
                        </a:prstGeom>
                        <a:solidFill>
                          <a:srgbClr val="FFFFFF"/>
                        </a:solidFill>
                        <a:ln>
                          <a:noFill/>
                        </a:ln>
                      </wps:spPr>
                      <wps:txbx>
                        <w:txbxContent>
                          <w:p>
                            <w:pPr>
                              <w:rPr>
                                <w:rFonts w:ascii="Times New Roman" w:hAnsi="Times New Roman" w:eastAsia="仿宋_GB2312" w:cs="Times New Roman"/>
                                <w:sz w:val="28"/>
                                <w:szCs w:val="28"/>
                              </w:rPr>
                            </w:pPr>
                            <w:r>
                              <w:rPr>
                                <w:rFonts w:ascii="Times New Roman" w:hAnsi="Times New Roman" w:eastAsia="仿宋_GB2312" w:cs="Times New Roman"/>
                                <w:sz w:val="28"/>
                                <w:szCs w:val="28"/>
                              </w:rPr>
                              <w:t>建设单位：</w:t>
                            </w:r>
                            <w:r>
                              <w:rPr>
                                <w:rFonts w:hint="eastAsia" w:ascii="Times New Roman" w:hAnsi="Times New Roman" w:eastAsia="仿宋_GB2312" w:cs="Times New Roman"/>
                                <w:sz w:val="28"/>
                                <w:szCs w:val="28"/>
                              </w:rPr>
                              <w:t>苏州源顺祥新材料有限公司</w:t>
                            </w:r>
                            <w:r>
                              <w:rPr>
                                <w:rFonts w:ascii="Times New Roman" w:hAnsi="Times New Roman" w:eastAsia="仿宋_GB2312" w:cs="Times New Roman"/>
                                <w:sz w:val="28"/>
                                <w:szCs w:val="28"/>
                              </w:rPr>
                              <w:t>（盖章）</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r>
                              <w:rPr>
                                <w:rFonts w:hint="eastAsia" w:ascii="Times New Roman" w:hAnsi="Times New Roman" w:eastAsia="仿宋_GB2312" w:cs="Times New Roman"/>
                                <w:sz w:val="28"/>
                                <w:szCs w:val="28"/>
                              </w:rPr>
                              <w:t>13806212032</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r>
                              <w:rPr>
                                <w:rFonts w:hint="eastAsia"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邮编：215</w:t>
                            </w:r>
                            <w:r>
                              <w:rPr>
                                <w:rFonts w:hint="eastAsia" w:ascii="Times New Roman" w:hAnsi="Times New Roman" w:eastAsia="仿宋_GB2312" w:cs="Times New Roman"/>
                                <w:sz w:val="28"/>
                                <w:szCs w:val="28"/>
                              </w:rPr>
                              <w:t>151</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r>
                              <w:rPr>
                                <w:rFonts w:hint="eastAsia" w:ascii="Times New Roman" w:hAnsi="Times New Roman" w:eastAsia="仿宋_GB2312" w:cs="Times New Roman"/>
                                <w:sz w:val="28"/>
                                <w:szCs w:val="28"/>
                              </w:rPr>
                              <w:t>苏州高新区浒关分区东金芝路56路</w:t>
                            </w:r>
                          </w:p>
                        </w:txbxContent>
                      </wps:txbx>
                      <wps:bodyPr upright="1"/>
                    </wps:wsp>
                  </a:graphicData>
                </a:graphic>
              </wp:anchor>
            </w:drawing>
          </mc:Choice>
          <mc:Fallback>
            <w:pict>
              <v:shape id="文本框 2" o:spid="_x0000_s1026" o:spt="202" type="#_x0000_t202" style="position:absolute;left:0pt;margin-left:-22.3pt;margin-top:42.85pt;height:303.9pt;width:221.25pt;mso-wrap-distance-bottom:3.6pt;mso-wrap-distance-left:9pt;mso-wrap-distance-right:9pt;mso-wrap-distance-top:3.6pt;z-index:251658240;mso-width-relative:page;mso-height-relative:page;" fillcolor="#FFFFFF" filled="t" stroked="f" coordsize="21600,21600" o:gfxdata="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qrL9kAAAAK&#10;AQAADwAAAAAAAAABACAAAAAiAAAAZHJzL2Rvd25yZXYueG1sUEsBAhQAFAAAAAgAh07iQIXnHdep&#10;AQAAKwMAAA4AAAAAAAAAAQAgAAAAKAEAAGRycy9lMm9Eb2MueG1sUEsFBgAAAAAGAAYAWQEAAEMF&#10;AAAAAA==&#10;">
                <v:fill on="t" focussize="0,0"/>
                <v:stroke on="f"/>
                <v:imagedata o:title=""/>
                <o:lock v:ext="edit" aspectratio="f"/>
                <v:textbox>
                  <w:txbxContent>
                    <w:p>
                      <w:pPr>
                        <w:rPr>
                          <w:rFonts w:ascii="Times New Roman" w:hAnsi="Times New Roman" w:eastAsia="仿宋_GB2312" w:cs="Times New Roman"/>
                          <w:sz w:val="28"/>
                          <w:szCs w:val="28"/>
                        </w:rPr>
                      </w:pPr>
                      <w:r>
                        <w:rPr>
                          <w:rFonts w:ascii="Times New Roman" w:hAnsi="Times New Roman" w:eastAsia="仿宋_GB2312" w:cs="Times New Roman"/>
                          <w:sz w:val="28"/>
                          <w:szCs w:val="28"/>
                        </w:rPr>
                        <w:t>建设单位：</w:t>
                      </w:r>
                      <w:r>
                        <w:rPr>
                          <w:rFonts w:hint="eastAsia" w:ascii="Times New Roman" w:hAnsi="Times New Roman" w:eastAsia="仿宋_GB2312" w:cs="Times New Roman"/>
                          <w:sz w:val="28"/>
                          <w:szCs w:val="28"/>
                        </w:rPr>
                        <w:t>苏州源顺祥新材料有限公司</w:t>
                      </w:r>
                      <w:r>
                        <w:rPr>
                          <w:rFonts w:ascii="Times New Roman" w:hAnsi="Times New Roman" w:eastAsia="仿宋_GB2312" w:cs="Times New Roman"/>
                          <w:sz w:val="28"/>
                          <w:szCs w:val="28"/>
                        </w:rPr>
                        <w:t>（盖章）</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r>
                        <w:rPr>
                          <w:rFonts w:hint="eastAsia" w:ascii="Times New Roman" w:hAnsi="Times New Roman" w:eastAsia="仿宋_GB2312" w:cs="Times New Roman"/>
                          <w:sz w:val="28"/>
                          <w:szCs w:val="28"/>
                        </w:rPr>
                        <w:t>13806212032</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r>
                        <w:rPr>
                          <w:rFonts w:hint="eastAsia" w:ascii="Times New Roman" w:hAnsi="Times New Roman" w:eastAsia="仿宋_GB2312" w:cs="Times New Roman"/>
                          <w:sz w:val="28"/>
                          <w:szCs w:val="28"/>
                        </w:rPr>
                        <w:t>/</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邮编：215</w:t>
                      </w:r>
                      <w:r>
                        <w:rPr>
                          <w:rFonts w:hint="eastAsia" w:ascii="Times New Roman" w:hAnsi="Times New Roman" w:eastAsia="仿宋_GB2312" w:cs="Times New Roman"/>
                          <w:sz w:val="28"/>
                          <w:szCs w:val="28"/>
                        </w:rPr>
                        <w:t>151</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r>
                        <w:rPr>
                          <w:rFonts w:hint="eastAsia" w:ascii="Times New Roman" w:hAnsi="Times New Roman" w:eastAsia="仿宋_GB2312" w:cs="Times New Roman"/>
                          <w:sz w:val="28"/>
                          <w:szCs w:val="28"/>
                        </w:rPr>
                        <w:t>苏州高新区浒关分区东金芝路56路</w:t>
                      </w:r>
                    </w:p>
                  </w:txbxContent>
                </v:textbox>
                <w10:wrap type="square"/>
              </v:shape>
            </w:pict>
          </mc:Fallback>
        </mc:AlternateContent>
      </w:r>
    </w:p>
    <w:p>
      <w:pPr>
        <w:spacing w:line="420" w:lineRule="exact"/>
        <w:jc w:val="left"/>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t>表一</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841"/>
        <w:gridCol w:w="1560"/>
        <w:gridCol w:w="1093"/>
        <w:gridCol w:w="86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建设项目名称</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苏州源顺祥新材料有限公司年产塑料制品1500吨新建项目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建设单位名称</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苏州源顺祥新材料有限公司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建设项目性质</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新建</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EQ \o\ac(□,√)</w:instrTex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扩建□迁建□其它□（划√）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建设地点</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苏州高新区浒关分区东金芝路56号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主要产品名称</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设计生产能力</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年产塑料制品1500吨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实际生产能力</w:t>
            </w:r>
          </w:p>
        </w:tc>
        <w:tc>
          <w:tcPr>
            <w:tcW w:w="3689" w:type="pct"/>
            <w:gridSpan w:val="5"/>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登记表</w:t>
            </w:r>
            <w:r>
              <w:rPr>
                <w:rFonts w:ascii="Times New Roman" w:hAnsi="Times New Roman" w:eastAsia="仿宋_GB2312" w:cs="Times New Roman"/>
                <w:sz w:val="28"/>
                <w:szCs w:val="28"/>
              </w:rPr>
              <w:t>时间</w:t>
            </w:r>
          </w:p>
        </w:tc>
        <w:tc>
          <w:tcPr>
            <w:tcW w:w="108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201</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月</w:t>
            </w:r>
          </w:p>
        </w:tc>
        <w:tc>
          <w:tcPr>
            <w:tcW w:w="915" w:type="pct"/>
            <w:vAlign w:val="center"/>
          </w:tcPr>
          <w:p>
            <w:pPr>
              <w:spacing w:line="38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开工建设</w:t>
            </w:r>
          </w:p>
          <w:p>
            <w:pPr>
              <w:spacing w:line="380" w:lineRule="exact"/>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时间</w:t>
            </w:r>
          </w:p>
        </w:tc>
        <w:tc>
          <w:tcPr>
            <w:tcW w:w="1694" w:type="pct"/>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调试时间</w:t>
            </w:r>
          </w:p>
        </w:tc>
        <w:tc>
          <w:tcPr>
            <w:tcW w:w="1080" w:type="pct"/>
            <w:vAlign w:val="center"/>
          </w:tcPr>
          <w:p>
            <w:pPr>
              <w:spacing w:line="38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201</w:t>
            </w:r>
            <w:r>
              <w:rPr>
                <w:rFonts w:hint="eastAsia" w:ascii="Times New Roman" w:hAnsi="Times New Roman" w:eastAsia="仿宋_GB2312" w:cs="Times New Roman"/>
                <w:bCs/>
                <w:sz w:val="28"/>
                <w:szCs w:val="28"/>
              </w:rPr>
              <w:t>9</w:t>
            </w:r>
            <w:r>
              <w:rPr>
                <w:rFonts w:ascii="Times New Roman" w:hAnsi="Times New Roman" w:eastAsia="仿宋_GB2312" w:cs="Times New Roman"/>
                <w:bCs/>
                <w:sz w:val="28"/>
                <w:szCs w:val="28"/>
              </w:rPr>
              <w:t>年</w:t>
            </w:r>
            <w:r>
              <w:rPr>
                <w:rFonts w:hint="eastAsia" w:ascii="Times New Roman" w:hAnsi="Times New Roman" w:eastAsia="仿宋_GB2312" w:cs="Times New Roman"/>
                <w:bCs/>
                <w:sz w:val="28"/>
                <w:szCs w:val="28"/>
                <w:lang w:val="en-US" w:eastAsia="zh-CN"/>
              </w:rPr>
              <w:t>3</w:t>
            </w:r>
            <w:r>
              <w:rPr>
                <w:rFonts w:ascii="Times New Roman" w:hAnsi="Times New Roman" w:eastAsia="仿宋_GB2312" w:cs="Times New Roman"/>
                <w:bCs/>
                <w:sz w:val="28"/>
                <w:szCs w:val="28"/>
              </w:rPr>
              <w:t>月</w:t>
            </w:r>
          </w:p>
        </w:tc>
        <w:tc>
          <w:tcPr>
            <w:tcW w:w="915" w:type="pct"/>
            <w:vAlign w:val="center"/>
          </w:tcPr>
          <w:p>
            <w:pPr>
              <w:spacing w:line="38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验收现场监测时间</w:t>
            </w:r>
          </w:p>
        </w:tc>
        <w:tc>
          <w:tcPr>
            <w:tcW w:w="1694" w:type="pct"/>
            <w:gridSpan w:val="3"/>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019</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01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02</w:t>
            </w:r>
            <w:r>
              <w:rPr>
                <w:rFonts w:hint="eastAsia" w:ascii="Times New Roman" w:hAnsi="Times New Roman" w:eastAsia="仿宋_GB2312"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环境影响登记表</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审批部门</w:t>
            </w:r>
          </w:p>
        </w:tc>
        <w:tc>
          <w:tcPr>
            <w:tcW w:w="1080" w:type="pct"/>
            <w:vAlign w:val="center"/>
          </w:tcPr>
          <w:p>
            <w:pPr>
              <w:spacing w:line="380" w:lineRule="exact"/>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苏州</w:t>
            </w:r>
            <w:r>
              <w:rPr>
                <w:rFonts w:hint="eastAsia" w:ascii="Times New Roman" w:hAnsi="Times New Roman" w:eastAsia="仿宋_GB2312" w:cs="Times New Roman"/>
                <w:bCs/>
                <w:sz w:val="28"/>
                <w:szCs w:val="28"/>
              </w:rPr>
              <w:t>高新区</w:t>
            </w:r>
            <w:r>
              <w:rPr>
                <w:rFonts w:ascii="Times New Roman" w:hAnsi="Times New Roman" w:eastAsia="仿宋_GB2312" w:cs="Times New Roman"/>
                <w:bCs/>
                <w:sz w:val="28"/>
                <w:szCs w:val="28"/>
              </w:rPr>
              <w:t>环境保护局</w:t>
            </w:r>
          </w:p>
        </w:tc>
        <w:tc>
          <w:tcPr>
            <w:tcW w:w="915" w:type="pct"/>
            <w:vAlign w:val="center"/>
          </w:tcPr>
          <w:p>
            <w:pPr>
              <w:jc w:val="center"/>
              <w:rPr>
                <w:rFonts w:ascii="Times New Roman" w:hAnsi="Times New Roman" w:eastAsia="仿宋_GB2312" w:cs="Times New Roman"/>
                <w:color w:val="262626" w:themeColor="text1" w:themeTint="D9"/>
                <w:sz w:val="28"/>
                <w:szCs w:val="28"/>
                <w14:textFill>
                  <w14:solidFill>
                    <w14:schemeClr w14:val="tx1">
                      <w14:lumMod w14:val="85000"/>
                      <w14:lumOff w14:val="15000"/>
                    </w14:schemeClr>
                  </w14:solidFill>
                </w14:textFill>
              </w:rPr>
            </w:pPr>
            <w:r>
              <w:rPr>
                <w:rFonts w:hint="eastAsia" w:ascii="Times New Roman" w:hAnsi="Times New Roman" w:eastAsia="仿宋_GB2312" w:cs="Times New Roman"/>
                <w:color w:val="262626" w:themeColor="text1" w:themeTint="D9"/>
                <w:sz w:val="28"/>
                <w:szCs w:val="28"/>
                <w14:textFill>
                  <w14:solidFill>
                    <w14:schemeClr w14:val="tx1">
                      <w14:lumMod w14:val="85000"/>
                      <w14:lumOff w14:val="15000"/>
                    </w14:schemeClr>
                  </w14:solidFill>
                </w14:textFill>
              </w:rPr>
              <w:t>环保验收监测</w:t>
            </w:r>
            <w:r>
              <w:rPr>
                <w:rFonts w:ascii="Times New Roman" w:hAnsi="Times New Roman" w:eastAsia="仿宋_GB2312" w:cs="Times New Roman"/>
                <w:color w:val="262626" w:themeColor="text1" w:themeTint="D9"/>
                <w:sz w:val="28"/>
                <w:szCs w:val="28"/>
                <w14:textFill>
                  <w14:solidFill>
                    <w14:schemeClr w14:val="tx1">
                      <w14:lumMod w14:val="85000"/>
                      <w14:lumOff w14:val="15000"/>
                    </w14:schemeClr>
                  </w14:solidFill>
                </w14:textFill>
              </w:rPr>
              <w:t>单位</w:t>
            </w:r>
          </w:p>
        </w:tc>
        <w:tc>
          <w:tcPr>
            <w:tcW w:w="1694" w:type="pct"/>
            <w:gridSpan w:val="3"/>
            <w:vAlign w:val="center"/>
          </w:tcPr>
          <w:p>
            <w:pPr>
              <w:jc w:val="center"/>
              <w:rPr>
                <w:rFonts w:ascii="Times New Roman" w:hAnsi="Times New Roman" w:eastAsia="仿宋_GB2312" w:cs="Times New Roman"/>
                <w:color w:val="262626" w:themeColor="text1" w:themeTint="D9"/>
                <w:sz w:val="28"/>
                <w:szCs w:val="28"/>
                <w14:textFill>
                  <w14:solidFill>
                    <w14:schemeClr w14:val="tx1">
                      <w14:lumMod w14:val="85000"/>
                      <w14:lumOff w14:val="15000"/>
                    </w14:schemeClr>
                  </w14:solidFill>
                </w14:textFill>
              </w:rPr>
            </w:pPr>
            <w:r>
              <w:rPr>
                <w:rFonts w:ascii="Times New Roman" w:hAnsi="Times New Roman" w:eastAsia="仿宋_GB2312" w:cs="Times New Roman"/>
                <w:sz w:val="28"/>
                <w:szCs w:val="28"/>
              </w:rPr>
              <w:t>苏州国泰环境检测有限公司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投资总概算</w:t>
            </w:r>
          </w:p>
        </w:tc>
        <w:tc>
          <w:tcPr>
            <w:tcW w:w="1080"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45</w:t>
            </w:r>
            <w:r>
              <w:rPr>
                <w:rFonts w:ascii="Times New Roman" w:hAnsi="Times New Roman" w:eastAsia="仿宋_GB2312" w:cs="Times New Roman"/>
                <w:sz w:val="28"/>
                <w:szCs w:val="28"/>
              </w:rPr>
              <w:t>万元</w:t>
            </w:r>
          </w:p>
        </w:tc>
        <w:tc>
          <w:tcPr>
            <w:tcW w:w="915" w:type="pct"/>
            <w:vAlign w:val="center"/>
          </w:tcPr>
          <w:p>
            <w:pPr>
              <w:spacing w:line="38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环保投资总概算</w:t>
            </w:r>
          </w:p>
        </w:tc>
        <w:tc>
          <w:tcPr>
            <w:tcW w:w="641" w:type="pct"/>
            <w:vAlign w:val="center"/>
          </w:tcPr>
          <w:p>
            <w:pPr>
              <w:spacing w:line="38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5</w:t>
            </w:r>
            <w:r>
              <w:rPr>
                <w:rFonts w:ascii="Times New Roman" w:hAnsi="Times New Roman" w:eastAsia="仿宋_GB2312" w:cs="Times New Roman"/>
                <w:bCs/>
                <w:sz w:val="28"/>
                <w:szCs w:val="28"/>
              </w:rPr>
              <w:t>万元</w:t>
            </w:r>
          </w:p>
        </w:tc>
        <w:tc>
          <w:tcPr>
            <w:tcW w:w="505"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比例</w:t>
            </w:r>
          </w:p>
        </w:tc>
        <w:tc>
          <w:tcPr>
            <w:tcW w:w="547"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11</w:t>
            </w: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10"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实际总投资</w:t>
            </w:r>
          </w:p>
        </w:tc>
        <w:tc>
          <w:tcPr>
            <w:tcW w:w="1080"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0万元</w:t>
            </w:r>
          </w:p>
        </w:tc>
        <w:tc>
          <w:tcPr>
            <w:tcW w:w="915" w:type="pct"/>
            <w:vAlign w:val="center"/>
          </w:tcPr>
          <w:p>
            <w:pPr>
              <w:spacing w:line="38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实际环保投资</w:t>
            </w:r>
          </w:p>
        </w:tc>
        <w:tc>
          <w:tcPr>
            <w:tcW w:w="641" w:type="pct"/>
            <w:vAlign w:val="center"/>
          </w:tcPr>
          <w:p>
            <w:pPr>
              <w:spacing w:line="38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lang w:val="en-US" w:eastAsia="zh-CN"/>
              </w:rPr>
              <w:t>20</w:t>
            </w:r>
            <w:r>
              <w:rPr>
                <w:rFonts w:ascii="Times New Roman" w:hAnsi="Times New Roman" w:eastAsia="仿宋_GB2312" w:cs="Times New Roman"/>
                <w:bCs/>
                <w:sz w:val="28"/>
                <w:szCs w:val="28"/>
              </w:rPr>
              <w:t>万元</w:t>
            </w:r>
          </w:p>
        </w:tc>
        <w:tc>
          <w:tcPr>
            <w:tcW w:w="505" w:type="pct"/>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比例</w:t>
            </w:r>
          </w:p>
        </w:tc>
        <w:tc>
          <w:tcPr>
            <w:tcW w:w="547" w:type="pc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20</w:t>
            </w:r>
            <w:r>
              <w:rPr>
                <w:rFonts w:ascii="Times New Roman" w:hAnsi="Times New Roman" w:eastAsia="仿宋_GB2312" w:cs="Times New Roman"/>
                <w:sz w:val="28"/>
                <w:szCs w:val="28"/>
              </w:rPr>
              <w:t>%</w:t>
            </w:r>
          </w:p>
        </w:tc>
      </w:tr>
    </w:tbl>
    <w:p>
      <w:pPr>
        <w:spacing w:line="420" w:lineRule="exact"/>
        <w:jc w:val="left"/>
        <w:outlineLvl w:val="1"/>
        <w:rPr>
          <w:rFonts w:ascii="Times New Roman" w:hAnsi="Times New Roman" w:eastAsia="仿宋_GB2312" w:cs="Times New Roman"/>
          <w:sz w:val="28"/>
          <w:szCs w:val="28"/>
        </w:rPr>
      </w:pPr>
    </w:p>
    <w:p>
      <w:pPr>
        <w:spacing w:line="420" w:lineRule="exact"/>
        <w:jc w:val="left"/>
        <w:outlineLvl w:val="1"/>
        <w:rPr>
          <w:rFonts w:ascii="Times New Roman" w:hAnsi="Times New Roman" w:eastAsia="仿宋_GB2312" w:cs="Times New Roman"/>
          <w:sz w:val="28"/>
          <w:szCs w:val="28"/>
        </w:rPr>
      </w:pPr>
    </w:p>
    <w:p>
      <w:pPr>
        <w:spacing w:line="420" w:lineRule="exact"/>
        <w:jc w:val="left"/>
        <w:outlineLvl w:val="1"/>
        <w:rPr>
          <w:rFonts w:ascii="Times New Roman" w:hAnsi="Times New Roman" w:eastAsia="仿宋_GB2312" w:cs="Times New Roman"/>
          <w:sz w:val="28"/>
          <w:szCs w:val="28"/>
        </w:rPr>
      </w:pPr>
    </w:p>
    <w:p>
      <w:pPr>
        <w:spacing w:line="420" w:lineRule="exact"/>
        <w:jc w:val="left"/>
        <w:outlineLvl w:val="1"/>
        <w:rPr>
          <w:rFonts w:ascii="Times New Roman" w:hAnsi="Times New Roman" w:eastAsia="仿宋_GB2312" w:cs="Times New Roman"/>
          <w:sz w:val="28"/>
          <w:szCs w:val="28"/>
        </w:rPr>
      </w:pPr>
    </w:p>
    <w:p>
      <w:pPr>
        <w:spacing w:line="420" w:lineRule="exact"/>
        <w:jc w:val="left"/>
        <w:outlineLvl w:val="1"/>
        <w:rPr>
          <w:rFonts w:ascii="Times New Roman" w:hAnsi="Times New Roman" w:eastAsia="仿宋_GB2312" w:cs="Times New Roman"/>
          <w:sz w:val="28"/>
          <w:szCs w:val="28"/>
        </w:rPr>
      </w:pPr>
    </w:p>
    <w:p>
      <w:pPr>
        <w:spacing w:line="420" w:lineRule="exact"/>
        <w:jc w:val="left"/>
        <w:outlineLvl w:val="1"/>
        <w:rPr>
          <w:rFonts w:ascii="Times New Roman" w:hAnsi="Times New Roman" w:eastAsia="仿宋_GB2312" w:cs="Times New Roman"/>
          <w:sz w:val="28"/>
          <w:szCs w:val="28"/>
        </w:rPr>
      </w:pPr>
      <w:r>
        <w:rPr>
          <w:rFonts w:ascii="Times New Roman" w:hAnsi="Times New Roman" w:eastAsia="仿宋_GB2312" w:cs="Times New Roman"/>
          <w:sz w:val="28"/>
          <w:szCs w:val="28"/>
        </w:rPr>
        <w:t>续表一</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7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6" w:hRule="atLeast"/>
          <w:jc w:val="center"/>
        </w:trPr>
        <w:tc>
          <w:tcPr>
            <w:tcW w:w="313" w:type="pct"/>
            <w:vAlign w:val="center"/>
          </w:tcPr>
          <w:p>
            <w:pPr>
              <w:spacing w:line="460" w:lineRule="exact"/>
              <w:jc w:val="center"/>
              <w:rPr>
                <w:rFonts w:ascii="Times New Roman" w:hAnsi="Times New Roman" w:eastAsia="仿宋_GB2312" w:cs="Times New Roman"/>
                <w:sz w:val="28"/>
                <w:szCs w:val="28"/>
              </w:rPr>
            </w:pPr>
            <w:r>
              <w:rPr>
                <w:rFonts w:ascii="Times New Roman" w:hAnsi="Times New Roman" w:eastAsia="仿宋_GB2312" w:cs="Times New Roman"/>
                <w:b/>
                <w:bCs/>
                <w:sz w:val="28"/>
                <w:szCs w:val="28"/>
              </w:rPr>
              <w:t>验收监测依据</w:t>
            </w:r>
          </w:p>
        </w:tc>
        <w:tc>
          <w:tcPr>
            <w:tcW w:w="4687" w:type="pct"/>
          </w:tcPr>
          <w:p>
            <w:pPr>
              <w:pStyle w:val="34"/>
              <w:ind w:firstLine="0" w:firstLineChars="0"/>
            </w:pPr>
            <w:r>
              <w:t>1、《中华人民共和国建设项目环境保护管理条例》（国务院令第682号，2017年6月修订）；</w:t>
            </w:r>
          </w:p>
          <w:p>
            <w:pPr>
              <w:pStyle w:val="34"/>
              <w:ind w:firstLine="0" w:firstLineChars="0"/>
            </w:pPr>
            <w:r>
              <w:t>2、《建设项目竣工环境保护验收暂行办法》（国环规环评[2017]4号，2017年11月20日）；</w:t>
            </w:r>
          </w:p>
          <w:p>
            <w:pPr>
              <w:pStyle w:val="34"/>
              <w:ind w:firstLine="0" w:firstLineChars="0"/>
            </w:pPr>
            <w:r>
              <w:t>3、《江苏省排污口设置及规范化整治管理办法》(江苏省环境保护局，苏环管[97]122号)；</w:t>
            </w:r>
          </w:p>
          <w:p>
            <w:pPr>
              <w:pStyle w:val="34"/>
              <w:ind w:firstLine="0" w:firstLineChars="0"/>
            </w:pPr>
            <w:r>
              <w:t>4、《建设项目竣工环境保护验收技术指南污染影响类》(公告2018年第9号)；</w:t>
            </w:r>
          </w:p>
          <w:p>
            <w:pPr>
              <w:pStyle w:val="34"/>
              <w:ind w:firstLine="0" w:firstLineChars="0"/>
            </w:pPr>
            <w:r>
              <w:t>5、《关于加强建设项目重大变动环评管理的通知》（江苏省环境保护厅，苏环办[2015]256号，2015年10月26日）；</w:t>
            </w:r>
          </w:p>
          <w:p>
            <w:pPr>
              <w:pStyle w:val="34"/>
              <w:ind w:firstLine="0" w:firstLineChars="0"/>
            </w:pPr>
            <w:r>
              <w:t>6、《江苏省大气污染防治条例》（2018年3月28日江苏省第十三届人民代表大会常务委员会第二次会议修正）；</w:t>
            </w:r>
          </w:p>
          <w:p>
            <w:pPr>
              <w:pStyle w:val="34"/>
              <w:ind w:firstLine="0" w:firstLineChars="0"/>
            </w:pPr>
            <w:r>
              <w:t>7、《江苏省固体废物污染环境防治条例》（2018年3月28日江苏省第十三届人民代表大会常务委员会第二次会议第三次修正）；</w:t>
            </w:r>
          </w:p>
          <w:p>
            <w:pPr>
              <w:pStyle w:val="34"/>
              <w:ind w:firstLine="0" w:firstLineChars="0"/>
            </w:pPr>
            <w:r>
              <w:t>8、《江苏省环境噪声污染防治条例》（2018年3月28日江苏省第十三届人民代表大会常务委员会第二次会议第二次修正）；</w:t>
            </w:r>
          </w:p>
          <w:p>
            <w:pPr>
              <w:pStyle w:val="34"/>
              <w:ind w:firstLine="0" w:firstLineChars="0"/>
            </w:pPr>
            <w:r>
              <w:t>9、《苏州源顺祥新材料有限公司建设项目环境影响报告表》2016年8月，苏州科技学院</w:t>
            </w:r>
            <w:r>
              <w:rPr>
                <w:rFonts w:hint="eastAsia"/>
              </w:rPr>
              <w:t>；</w:t>
            </w:r>
          </w:p>
          <w:p>
            <w:pPr>
              <w:pStyle w:val="34"/>
              <w:ind w:firstLine="0" w:firstLineChars="0"/>
            </w:pPr>
            <w:r>
              <w:t>10、《苏州源顺祥新材料有限公司建设项目环境影响报告表的审批意见》苏州高新区环境保护局 苏新环项[2016]325号，2016年8月24日</w:t>
            </w:r>
            <w:r>
              <w:rPr>
                <w:rFonts w:hint="eastAsia"/>
              </w:rPr>
              <w:t>；</w:t>
            </w:r>
          </w:p>
          <w:p>
            <w:pPr>
              <w:pStyle w:val="34"/>
              <w:ind w:firstLine="0" w:firstLineChars="0"/>
            </w:pPr>
            <w:r>
              <w:t>11、苏州源顺祥新材料有限公司提供的其他材料。</w:t>
            </w:r>
          </w:p>
        </w:tc>
      </w:tr>
    </w:tbl>
    <w:p>
      <w:pPr>
        <w:spacing w:line="400" w:lineRule="exact"/>
        <w:rPr>
          <w:rFonts w:ascii="Times New Roman" w:hAnsi="Times New Roman" w:eastAsia="仿宋_GB2312" w:cs="Times New Roman"/>
          <w:color w:val="FF0000"/>
          <w:sz w:val="28"/>
          <w:szCs w:val="28"/>
        </w:rPr>
        <w:sectPr>
          <w:pgSz w:w="11906" w:h="16838"/>
          <w:pgMar w:top="1440" w:right="1800" w:bottom="1440" w:left="1800" w:header="851" w:footer="992" w:gutter="0"/>
          <w:pgNumType w:start="0"/>
          <w:cols w:space="720" w:num="1"/>
          <w:titlePg/>
          <w:docGrid w:type="lines" w:linePitch="312" w:charSpace="0"/>
        </w:sectPr>
      </w:pPr>
    </w:p>
    <w:p>
      <w:pPr>
        <w:spacing w:line="400" w:lineRule="exact"/>
        <w:outlineLvl w:val="1"/>
        <w:rPr>
          <w:rFonts w:ascii="Times New Roman" w:hAnsi="Times New Roman" w:eastAsia="仿宋_GB2312" w:cs="Times New Roman"/>
          <w:sz w:val="28"/>
          <w:szCs w:val="28"/>
        </w:rPr>
      </w:pPr>
      <w:r>
        <w:rPr>
          <w:rFonts w:ascii="Times New Roman" w:hAnsi="Times New Roman" w:eastAsia="仿宋_GB2312" w:cs="Times New Roman"/>
          <w:sz w:val="28"/>
          <w:szCs w:val="28"/>
        </w:rPr>
        <w:t>续表一</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0" w:hRule="atLeast"/>
          <w:jc w:val="center"/>
        </w:trPr>
        <w:tc>
          <w:tcPr>
            <w:tcW w:w="396" w:type="pct"/>
            <w:vAlign w:val="center"/>
          </w:tcPr>
          <w:p>
            <w:pPr>
              <w:spacing w:line="360" w:lineRule="exac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验收监测标准标号、级别</w:t>
            </w:r>
          </w:p>
        </w:tc>
        <w:tc>
          <w:tcPr>
            <w:tcW w:w="4604" w:type="pct"/>
          </w:tcPr>
          <w:p>
            <w:pPr>
              <w:pStyle w:val="34"/>
              <w:ind w:firstLine="0" w:firstLineChars="0"/>
              <w:rPr>
                <w:rFonts w:hint="eastAsia" w:ascii="Times New Roman" w:hAnsi="Times New Roman" w:cs="Times New Roman"/>
              </w:rPr>
            </w:pPr>
            <w:r>
              <w:rPr>
                <w:rFonts w:hint="eastAsia" w:ascii="Times New Roman" w:hAnsi="Times New Roman" w:cs="Times New Roman"/>
              </w:rPr>
              <w:t>固体废物储存与排放执行标准</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cs="Times New Roman"/>
              </w:rPr>
            </w:pPr>
            <w:r>
              <w:rPr>
                <w:rFonts w:hint="eastAsia" w:ascii="Times New Roman" w:hAnsi="Times New Roman" w:cs="Times New Roman"/>
              </w:rPr>
              <w:t>项目固体废物处理和处置执行《危险废物贮存污染控制标准》（GB18597-2001）(2013修正)、《一般工业固体废物贮存、处置场污染控制标准》（GB18599-2001）(2013修正)和《中华人民共和国固体废弃物污染环境防治法》中的有关规定。并依据《江苏省生态环境厅文件》（苏环办〔2019〕327号）切实提升危险废物环境监管能力</w:t>
            </w:r>
            <w:r>
              <w:rPr>
                <w:rFonts w:ascii="Times New Roman" w:hAnsi="Times New Roman" w:cs="Times New Roman"/>
              </w:rPr>
              <w:t>和水平</w:t>
            </w:r>
            <w:r>
              <w:rPr>
                <w:rFonts w:hint="eastAsia" w:ascii="Times New Roman" w:hAnsi="Times New Roman" w:cs="Times New Roman"/>
              </w:rPr>
              <w:t>。</w:t>
            </w:r>
          </w:p>
          <w:p>
            <w:pPr>
              <w:pStyle w:val="34"/>
              <w:ind w:firstLine="0" w:firstLineChars="0"/>
              <w:rPr>
                <w:color w:val="FF0000"/>
              </w:rPr>
            </w:pPr>
          </w:p>
        </w:tc>
      </w:tr>
    </w:tbl>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pacing w:line="500" w:lineRule="exact"/>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t>表二</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3" w:hRule="atLeast"/>
          <w:jc w:val="center"/>
        </w:trPr>
        <w:tc>
          <w:tcPr>
            <w:tcW w:w="5000" w:type="pct"/>
          </w:tcPr>
          <w:p>
            <w:pPr>
              <w:pStyle w:val="35"/>
            </w:pPr>
            <w:r>
              <w:t>一、工程建设内容</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pPr>
            <w:r>
              <w:t>苏州源顺祥新材料有限公司位于苏州高新区浒关分区东金芝路56号，租用苏州市赛克塑胶有限公司现有的部分厂房。本项目为新建项目，占地面积1000平方米，绿化面积依托厂区现有绿化面积，环评预计总投资45万元，环保投资5万元，建设年产塑料制品1500吨新建项目。</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pPr>
            <w:r>
              <w:t>苏州源顺祥新材料有限公司，于2016年8月委托苏州科技学院编制完成《苏州源顺祥新材料有限公司建设项目环境影响报告表》，并获得苏州高新区环境保护局批复意见，苏新环项[2016]325号，2016年8月24日。</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pPr>
            <w:r>
              <w:t>根据现场勘查，企业实际投资100万元，其中环保投资20万元，现已达到建设年产塑料制品1500吨新建项目的设计能力要求，可以开展项目全部竣工环境保护验收工作。</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pPr>
            <w:r>
              <w:t>项目劳动人员及生产班制：本项目员工12人，实行8h单班制，年工作300天，年工作时数2400小时，本项目不新建任何生活辅助设施，就餐外送。</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pPr>
            <w:r>
              <w:t>项目产品规模及公辅工程内容见表2-1、原辅材料消耗见表2-2、全厂主要生产设备见表2-3。</w:t>
            </w:r>
          </w:p>
          <w:p>
            <w:pPr>
              <w:pStyle w:val="20"/>
              <w:spacing w:line="20" w:lineRule="exact"/>
              <w:ind w:firstLine="0" w:firstLineChars="0"/>
              <w:rPr>
                <w:rFonts w:eastAsia="仿宋_GB2312"/>
                <w:color w:val="FF0000"/>
                <w:sz w:val="28"/>
                <w:szCs w:val="28"/>
              </w:rPr>
            </w:pPr>
          </w:p>
        </w:tc>
      </w:tr>
    </w:tbl>
    <w:p>
      <w:pPr>
        <w:rPr>
          <w:rFonts w:ascii="Times New Roman" w:hAnsi="Times New Roman" w:eastAsia="仿宋_GB2312" w:cs="Times New Roman"/>
          <w:color w:val="FF0000"/>
        </w:rPr>
      </w:pPr>
    </w:p>
    <w:p>
      <w:pPr>
        <w:spacing w:line="500" w:lineRule="exact"/>
        <w:outlineLvl w:val="1"/>
        <w:rPr>
          <w:rFonts w:ascii="Times New Roman" w:hAnsi="Times New Roman" w:eastAsia="仿宋_GB2312" w:cs="Times New Roman"/>
          <w:sz w:val="28"/>
          <w:szCs w:val="28"/>
        </w:rPr>
      </w:pPr>
      <w:r>
        <w:rPr>
          <w:rFonts w:ascii="Times New Roman" w:hAnsi="Times New Roman" w:eastAsia="仿宋_GB2312" w:cs="Times New Roman"/>
          <w:sz w:val="28"/>
          <w:szCs w:val="28"/>
        </w:rPr>
        <w:t>续表二</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000" w:type="pct"/>
            <w:vAlign w:val="top"/>
          </w:tcPr>
          <w:p>
            <w:pPr>
              <w:pStyle w:val="28"/>
              <w:rPr>
                <w:rFonts w:hint="eastAsia" w:ascii="仿宋" w:hAnsi="仿宋" w:eastAsia="仿宋" w:cs="仿宋"/>
                <w:b/>
                <w:bCs/>
                <w:sz w:val="21"/>
                <w:szCs w:val="21"/>
              </w:rPr>
            </w:pPr>
            <w:bookmarkStart w:id="0" w:name="_Hlk14682637"/>
            <w:r>
              <w:rPr>
                <w:rFonts w:hint="eastAsia" w:ascii="仿宋" w:hAnsi="仿宋" w:eastAsia="仿宋" w:cs="仿宋"/>
                <w:b/>
                <w:bCs/>
                <w:sz w:val="21"/>
                <w:szCs w:val="21"/>
              </w:rPr>
              <w:t>表2-1产品规模及环保工程</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658"/>
              <w:gridCol w:w="1854"/>
              <w:gridCol w:w="1776"/>
              <w:gridCol w:w="1756"/>
              <w:gridCol w:w="14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65" w:type="pct"/>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bookmarkStart w:id="1" w:name="_Hlk14695544"/>
                  <w:r>
                    <w:rPr>
                      <w:rFonts w:hint="eastAsia" w:ascii="Times New Roman" w:hAnsi="Times New Roman" w:eastAsia="仿宋_GB2312" w:cs="Times New Roman"/>
                      <w:kern w:val="2"/>
                      <w:sz w:val="21"/>
                      <w:szCs w:val="21"/>
                      <w:lang w:val="en-US" w:eastAsia="zh-CN" w:bidi="ar-SA"/>
                    </w:rPr>
                    <w:t>工程类别</w:t>
                  </w:r>
                </w:p>
              </w:tc>
              <w:tc>
                <w:tcPr>
                  <w:tcW w:w="1512" w:type="pct"/>
                  <w:gridSpan w:val="2"/>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建设名称</w:t>
                  </w:r>
                </w:p>
              </w:tc>
              <w:tc>
                <w:tcPr>
                  <w:tcW w:w="1069" w:type="pct"/>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设计能力</w:t>
                  </w:r>
                </w:p>
              </w:tc>
              <w:tc>
                <w:tcPr>
                  <w:tcW w:w="1057" w:type="pct"/>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实际建设情况</w:t>
                  </w:r>
                </w:p>
              </w:tc>
              <w:tc>
                <w:tcPr>
                  <w:tcW w:w="897" w:type="pct"/>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465" w:type="pct"/>
                  <w:vMerge w:val="restart"/>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贮运工程</w:t>
                  </w:r>
                </w:p>
              </w:tc>
              <w:tc>
                <w:tcPr>
                  <w:tcW w:w="1512" w:type="pct"/>
                  <w:gridSpan w:val="2"/>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成品仓库</w:t>
                  </w:r>
                </w:p>
              </w:tc>
              <w:tc>
                <w:tcPr>
                  <w:tcW w:w="1069" w:type="pct"/>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60m2</w:t>
                  </w:r>
                </w:p>
              </w:tc>
              <w:tc>
                <w:tcPr>
                  <w:tcW w:w="1057" w:type="pct"/>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60m2</w:t>
                  </w:r>
                </w:p>
              </w:tc>
              <w:tc>
                <w:tcPr>
                  <w:tcW w:w="897" w:type="pct"/>
                  <w:vMerge w:val="restart"/>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1512" w:type="pct"/>
                  <w:gridSpan w:val="2"/>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原料仓库</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40m2</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40m2</w:t>
                  </w:r>
                </w:p>
              </w:tc>
              <w:tc>
                <w:tcPr>
                  <w:tcW w:w="897"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restar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公用工程</w:t>
                  </w: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给水</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管网</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350t/a</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192t/a</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排水</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管网</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260t/a</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133.6t/a</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消防</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室内外消防栓系统</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20L/s（外），10L/s（外）</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20L/s（外），10L/s（外）</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供电</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配电间</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50万度/年</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50万度/年</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5" w:type="pct"/>
                  <w:vMerge w:val="restar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环保工程</w:t>
                  </w: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废气处理</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挤出成型废气</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4000m3/h集中通风，一级活性炭，15米外排</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5712-10562m3/h集中通风，一级活性炭，15米外排</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设置100米卫生防护距离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Merge w:val="restar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废水处理</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生活污水收集管网</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240t/a</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113.6t/a</w:t>
                  </w:r>
                </w:p>
              </w:tc>
              <w:tc>
                <w:tcPr>
                  <w:tcW w:w="897" w:type="pct"/>
                  <w:vMerge w:val="restar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市政污水管网，入新区白荡污水处理厂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外排冷却水</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20t/a</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循环使用不外排</w:t>
                  </w:r>
                </w:p>
              </w:tc>
              <w:tc>
                <w:tcPr>
                  <w:tcW w:w="897"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固废处理</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固废暂存间</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零排放，设置20m2的收集暂存区，5m2的危废收集暂存区，防风防渗防漏</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零排放，设置30m2的一般固废暂存间，15m2的危废暂存间，防风防渗防漏</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回收外卖或委外处理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vMerge w:val="continue"/>
                  <w:vAlign w:val="center"/>
                </w:tcPr>
                <w:p>
                  <w:pPr>
                    <w:pStyle w:val="24"/>
                    <w:rPr>
                      <w:rFonts w:hint="eastAsia" w:ascii="Times New Roman" w:hAnsi="Times New Roman" w:eastAsia="仿宋_GB2312" w:cs="Times New Roman"/>
                      <w:kern w:val="2"/>
                      <w:sz w:val="21"/>
                      <w:szCs w:val="21"/>
                      <w:lang w:val="en-US" w:eastAsia="zh-CN" w:bidi="ar-SA"/>
                    </w:rPr>
                  </w:pPr>
                </w:p>
              </w:tc>
              <w:tc>
                <w:tcPr>
                  <w:tcW w:w="39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噪声治理</w:t>
                  </w:r>
                </w:p>
              </w:tc>
              <w:tc>
                <w:tcPr>
                  <w:tcW w:w="1116"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生产设备</w:t>
                  </w:r>
                </w:p>
              </w:tc>
              <w:tc>
                <w:tcPr>
                  <w:tcW w:w="1069"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消声、减震、隔声</w:t>
                  </w:r>
                </w:p>
              </w:tc>
              <w:tc>
                <w:tcPr>
                  <w:tcW w:w="105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消声、减震、隔声</w:t>
                  </w:r>
                </w:p>
              </w:tc>
              <w:tc>
                <w:tcPr>
                  <w:tcW w:w="897" w:type="pct"/>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厂达标</w:t>
                  </w:r>
                </w:p>
              </w:tc>
            </w:tr>
            <w:bookmarkEnd w:id="1"/>
          </w:tbl>
          <w:p>
            <w:pPr>
              <w:pStyle w:val="28"/>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表2-2原辅材料使用情况一览表</w:t>
            </w:r>
          </w:p>
          <w:tbl>
            <w:tblPr>
              <w:tblStyle w:val="1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564"/>
              <w:gridCol w:w="1661"/>
              <w:gridCol w:w="1318"/>
              <w:gridCol w:w="1318"/>
              <w:gridCol w:w="17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bookmarkStart w:id="2" w:name="_Hlk14697584"/>
                  <w:r>
                    <w:rPr>
                      <w:rFonts w:hint="eastAsia" w:ascii="Times New Roman" w:hAnsi="Times New Roman" w:eastAsia="仿宋_GB2312" w:cs="Times New Roman"/>
                      <w:kern w:val="2"/>
                      <w:sz w:val="21"/>
                      <w:szCs w:val="21"/>
                      <w:lang w:val="en-US" w:eastAsia="zh-CN" w:bidi="ar-SA"/>
                    </w:rPr>
                    <w:t>序号</w:t>
                  </w:r>
                </w:p>
              </w:tc>
              <w:tc>
                <w:tcPr>
                  <w:tcW w:w="1564"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名称</w:t>
                  </w:r>
                </w:p>
              </w:tc>
              <w:tc>
                <w:tcPr>
                  <w:tcW w:w="1661"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组分/规格</w:t>
                  </w:r>
                </w:p>
              </w:tc>
              <w:tc>
                <w:tcPr>
                  <w:tcW w:w="1318"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设计年用量</w:t>
                  </w:r>
                </w:p>
              </w:tc>
              <w:tc>
                <w:tcPr>
                  <w:tcW w:w="1318"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实际年用量</w:t>
                  </w:r>
                </w:p>
              </w:tc>
              <w:tc>
                <w:tcPr>
                  <w:tcW w:w="1780"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包装存储方式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c>
                <w:tcPr>
                  <w:tcW w:w="1564"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PE粒子</w:t>
                  </w:r>
                </w:p>
              </w:tc>
              <w:tc>
                <w:tcPr>
                  <w:tcW w:w="1661"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塑料粒子</w:t>
                  </w:r>
                </w:p>
              </w:tc>
              <w:tc>
                <w:tcPr>
                  <w:tcW w:w="1318"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1480</w:t>
                  </w:r>
                </w:p>
              </w:tc>
              <w:tc>
                <w:tcPr>
                  <w:tcW w:w="1318"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1332</w:t>
                  </w:r>
                </w:p>
              </w:tc>
              <w:tc>
                <w:tcPr>
                  <w:tcW w:w="1780" w:type="dxa"/>
                  <w:tcBorders>
                    <w:top w:val="single" w:color="auto" w:sz="12" w:space="0"/>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25kg袋装，仓库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c>
                <w:tcPr>
                  <w:tcW w:w="1564"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PE弹性体粒子</w:t>
                  </w:r>
                </w:p>
              </w:tc>
              <w:tc>
                <w:tcPr>
                  <w:tcW w:w="1661"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TPE，塑料粒子</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12</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11</w:t>
                  </w:r>
                </w:p>
              </w:tc>
              <w:tc>
                <w:tcPr>
                  <w:tcW w:w="1780"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25kg袋装，仓库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w:t>
                  </w:r>
                </w:p>
              </w:tc>
              <w:tc>
                <w:tcPr>
                  <w:tcW w:w="1564"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PE色料粒子</w:t>
                  </w:r>
                </w:p>
              </w:tc>
              <w:tc>
                <w:tcPr>
                  <w:tcW w:w="1661"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塑料粒子</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8</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7</w:t>
                  </w:r>
                </w:p>
              </w:tc>
              <w:tc>
                <w:tcPr>
                  <w:tcW w:w="1780"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25kg袋装，仓库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w:t>
                  </w:r>
                </w:p>
              </w:tc>
              <w:tc>
                <w:tcPr>
                  <w:tcW w:w="1564"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包装物</w:t>
                  </w:r>
                </w:p>
              </w:tc>
              <w:tc>
                <w:tcPr>
                  <w:tcW w:w="1661"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木质、塑料</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3.0</w:t>
                  </w:r>
                </w:p>
              </w:tc>
              <w:tc>
                <w:tcPr>
                  <w:tcW w:w="1318"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2.5</w:t>
                  </w:r>
                </w:p>
              </w:tc>
              <w:tc>
                <w:tcPr>
                  <w:tcW w:w="1780" w:type="dxa"/>
                  <w:tcBorders>
                    <w:tl2br w:val="nil"/>
                    <w:tr2bl w:val="nil"/>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散装，仓库</w:t>
                  </w:r>
                </w:p>
              </w:tc>
            </w:tr>
            <w:bookmarkEnd w:id="2"/>
          </w:tbl>
          <w:p>
            <w:pPr>
              <w:pStyle w:val="20"/>
              <w:spacing w:line="20" w:lineRule="exact"/>
              <w:ind w:firstLine="0" w:firstLineChars="0"/>
              <w:rPr>
                <w:rFonts w:hint="eastAsia" w:ascii="Times New Roman" w:hAnsi="Times New Roman" w:eastAsia="仿宋_GB2312" w:cs="Times New Roman"/>
                <w:kern w:val="2"/>
                <w:sz w:val="21"/>
                <w:szCs w:val="21"/>
                <w:lang w:val="en-US" w:eastAsia="zh-CN" w:bidi="ar-SA"/>
              </w:rPr>
            </w:pPr>
          </w:p>
          <w:p>
            <w:pPr>
              <w:pStyle w:val="28"/>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表2-3生产设备一览表</w:t>
            </w:r>
          </w:p>
          <w:tbl>
            <w:tblPr>
              <w:tblStyle w:val="10"/>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3042"/>
              <w:gridCol w:w="2214"/>
              <w:gridCol w:w="2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836"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bookmarkStart w:id="3" w:name="_Hlk14697567"/>
                  <w:r>
                    <w:rPr>
                      <w:rFonts w:hint="eastAsia" w:ascii="Times New Roman" w:hAnsi="Times New Roman" w:eastAsia="仿宋_GB2312" w:cs="Times New Roman"/>
                      <w:kern w:val="2"/>
                      <w:sz w:val="21"/>
                      <w:szCs w:val="21"/>
                      <w:lang w:val="en-US" w:eastAsia="zh-CN" w:bidi="ar-SA"/>
                    </w:rPr>
                    <w:t>序号</w:t>
                  </w:r>
                </w:p>
              </w:tc>
              <w:tc>
                <w:tcPr>
                  <w:tcW w:w="3042"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设备名称</w:t>
                  </w:r>
                </w:p>
              </w:tc>
              <w:tc>
                <w:tcPr>
                  <w:tcW w:w="2214"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环评数量（台）</w:t>
                  </w:r>
                </w:p>
              </w:tc>
              <w:tc>
                <w:tcPr>
                  <w:tcW w:w="2214" w:type="dxa"/>
                  <w:tcBorders>
                    <w:bottom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实际数量（台）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6" w:type="dxa"/>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c>
                <w:tcPr>
                  <w:tcW w:w="3042" w:type="dxa"/>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捏合机（混料）</w:t>
                  </w:r>
                </w:p>
              </w:tc>
              <w:tc>
                <w:tcPr>
                  <w:tcW w:w="2214" w:type="dxa"/>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c>
                <w:tcPr>
                  <w:tcW w:w="2214" w:type="dxa"/>
                  <w:tcBorders>
                    <w:top w:val="single" w:color="auto" w:sz="12" w:space="0"/>
                  </w:tcBorders>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6"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c>
                <w:tcPr>
                  <w:tcW w:w="3042"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单螺杆挤出成型机</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36"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w:t>
                  </w:r>
                </w:p>
              </w:tc>
              <w:tc>
                <w:tcPr>
                  <w:tcW w:w="3042"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空压机</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36"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w:t>
                  </w:r>
                </w:p>
              </w:tc>
              <w:tc>
                <w:tcPr>
                  <w:tcW w:w="3042"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冷却塔</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c>
                <w:tcPr>
                  <w:tcW w:w="2214" w:type="dxa"/>
                  <w:vAlign w:val="center"/>
                </w:tcPr>
                <w:p>
                  <w:pPr>
                    <w:pStyle w:val="24"/>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w:t>
                  </w:r>
                </w:p>
              </w:tc>
            </w:tr>
            <w:bookmarkEnd w:id="3"/>
          </w:tbl>
          <w:p>
            <w:pPr>
              <w:pStyle w:val="40"/>
              <w:rPr>
                <w:rFonts w:hint="eastAsia" w:ascii="Times New Roman" w:hAnsi="Times New Roman" w:eastAsia="仿宋_GB2312" w:cs="Times New Roman"/>
                <w:kern w:val="2"/>
                <w:sz w:val="21"/>
                <w:szCs w:val="21"/>
                <w:lang w:val="en-US" w:eastAsia="zh-CN" w:bidi="ar-SA"/>
              </w:rPr>
            </w:pPr>
          </w:p>
          <w:bookmarkEnd w:id="0"/>
          <w:p>
            <w:pPr>
              <w:pStyle w:val="20"/>
              <w:ind w:left="0" w:leftChars="0" w:firstLine="0" w:firstLineChars="0"/>
              <w:rPr>
                <w:rFonts w:hint="eastAsia" w:ascii="仿宋" w:hAnsi="仿宋" w:eastAsia="仿宋" w:cs="仿宋"/>
                <w:color w:val="FF0000"/>
                <w:szCs w:val="21"/>
              </w:rPr>
            </w:pPr>
          </w:p>
          <w:p>
            <w:pPr>
              <w:pStyle w:val="20"/>
              <w:ind w:left="0" w:leftChars="0" w:firstLine="0" w:firstLineChars="0"/>
              <w:rPr>
                <w:rFonts w:hint="eastAsia" w:ascii="仿宋" w:hAnsi="仿宋" w:eastAsia="仿宋" w:cs="仿宋"/>
                <w:color w:val="FF0000"/>
                <w:szCs w:val="21"/>
              </w:rPr>
            </w:pPr>
          </w:p>
          <w:p>
            <w:pPr>
              <w:pStyle w:val="20"/>
              <w:ind w:left="0" w:leftChars="0" w:firstLine="0" w:firstLineChars="0"/>
              <w:rPr>
                <w:rFonts w:hint="eastAsia" w:ascii="仿宋" w:hAnsi="仿宋" w:eastAsia="仿宋" w:cs="仿宋"/>
                <w:color w:val="FF0000"/>
                <w:szCs w:val="21"/>
              </w:rPr>
            </w:pPr>
          </w:p>
        </w:tc>
      </w:tr>
    </w:tbl>
    <w:p>
      <w:pPr>
        <w:pStyle w:val="37"/>
      </w:pPr>
      <w:r>
        <w:t>续表二</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3" w:hRule="atLeast"/>
          <w:jc w:val="center"/>
        </w:trPr>
        <w:tc>
          <w:tcPr>
            <w:tcW w:w="8522" w:type="dxa"/>
          </w:tcPr>
          <w:p>
            <w:pPr>
              <w:pStyle w:val="20"/>
              <w:spacing w:line="20" w:lineRule="exact"/>
              <w:ind w:firstLine="0" w:firstLineChars="0"/>
            </w:pPr>
          </w:p>
          <w:p>
            <w:pPr>
              <w:pStyle w:val="35"/>
              <w:spacing w:line="720" w:lineRule="auto"/>
            </w:pPr>
            <w:r>
              <w:rPr>
                <w:rFonts w:hint="eastAsia"/>
              </w:rPr>
              <w:t>二</w:t>
            </w:r>
            <w:r>
              <w:t>、生产工艺流程及产污环节</w:t>
            </w:r>
          </w:p>
          <w:p>
            <w:pPr>
              <w:pStyle w:val="37"/>
            </w:pPr>
            <w:r>
              <w:t>1、生产工艺流程及产污环节图</w:t>
            </w:r>
          </w:p>
          <w:p>
            <w:pPr>
              <w:tabs>
                <w:tab w:val="left" w:pos="705"/>
              </w:tabs>
              <w:jc w:val="center"/>
              <w:rPr>
                <w:rFonts w:ascii="Times New Roman" w:hAnsi="Times New Roman" w:eastAsia="仿宋_GB2312" w:cs="Times New Roman"/>
              </w:rPr>
            </w:pPr>
            <w:r>
              <w:rPr>
                <w:rFonts w:cs="Times New Roman"/>
              </w:rPr>
              <w:drawing>
                <wp:inline distT="0" distB="0" distL="114300" distR="114300">
                  <wp:extent cx="5267325" cy="1058545"/>
                  <wp:effectExtent l="0" t="0" r="9525" b="825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7"/>
                          <a:stretch>
                            <a:fillRect/>
                          </a:stretch>
                        </pic:blipFill>
                        <pic:spPr>
                          <a:xfrm>
                            <a:off x="0" y="0"/>
                            <a:ext cx="5267325" cy="1058545"/>
                          </a:xfrm>
                          <a:prstGeom prst="rect">
                            <a:avLst/>
                          </a:prstGeom>
                          <a:noFill/>
                          <a:ln>
                            <a:noFill/>
                          </a:ln>
                        </pic:spPr>
                      </pic:pic>
                    </a:graphicData>
                  </a:graphic>
                </wp:inline>
              </w:drawing>
            </w:r>
          </w:p>
          <w:p>
            <w:pPr>
              <w:pStyle w:val="40"/>
            </w:pPr>
            <w:r>
              <w:t>图2-</w:t>
            </w:r>
            <w:r>
              <w:rPr>
                <w:rFonts w:hint="eastAsia"/>
              </w:rPr>
              <w:t>1本期项目</w:t>
            </w:r>
            <w:r>
              <w:t>生产工艺流程及产污环节图</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r>
              <w:rPr>
                <w:rFonts w:hint="eastAsia"/>
              </w:rPr>
              <w:t>说明：验收期间该生产工艺与环评一致。</w:t>
            </w:r>
          </w:p>
          <w:p>
            <w:pPr>
              <w:pStyle w:val="34"/>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r>
              <w:rPr>
                <w:rFonts w:hint="eastAsia"/>
              </w:rPr>
              <w:t>工艺流程说明</w:t>
            </w:r>
          </w:p>
          <w:p>
            <w:pPr>
              <w:pStyle w:val="3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rPr>
            </w:pPr>
            <w:r>
              <w:rPr>
                <w:rFonts w:hint="eastAsia"/>
                <w:b/>
                <w:bCs/>
              </w:rPr>
              <w:t>混料</w:t>
            </w:r>
            <w:r>
              <w:rPr>
                <w:rFonts w:hint="eastAsia"/>
              </w:rPr>
              <w:t>：项目首先将所需要的塑料粒子、弹性体和相应的色料母粒通过真空输送装置计量并输送入捏料机中进行混合，由于所用粒子和色料母粒直径约2mm，非粉状，因此不涉及粉尘的产生问题；</w:t>
            </w:r>
          </w:p>
          <w:p>
            <w:pPr>
              <w:pStyle w:val="3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rPr>
            </w:pPr>
            <w:r>
              <w:rPr>
                <w:rFonts w:hint="eastAsia"/>
                <w:b/>
                <w:bCs/>
              </w:rPr>
              <w:t>挤出成型、冷却</w:t>
            </w:r>
            <w:r>
              <w:rPr>
                <w:rFonts w:hint="eastAsia"/>
              </w:rPr>
              <w:t>：由于采用单螺杆挤出机，为预热后的粒子通过螺杆挤出，之后经风冷后成型。项目单螺杆挤出机使用过程需要冷却水进行设备的间接冷却，冷却水经冷却塔冷却后循环回用。挤出过程加热、融熔、增压，温度约120～160℃，约0.1%的原料单体会挥发出（G1），主要为烃类气体，经相应的吸风罩收集后集中通风，废气经活性炭吸附处理，最终达标尾气经15米高排气筒外排；</w:t>
            </w:r>
          </w:p>
          <w:p>
            <w:pPr>
              <w:pStyle w:val="3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rPr>
            </w:pPr>
            <w:r>
              <w:rPr>
                <w:rFonts w:hint="eastAsia"/>
                <w:b/>
                <w:bCs/>
              </w:rPr>
              <w:t>检验</w:t>
            </w:r>
            <w:r>
              <w:rPr>
                <w:rFonts w:hint="eastAsia"/>
              </w:rPr>
              <w:t>：成型后产品经检验，合格的包装外运出厂，不合格的（S1）经回收外卖；</w:t>
            </w:r>
          </w:p>
          <w:p>
            <w:pPr>
              <w:pStyle w:val="34"/>
              <w:ind w:firstLine="0" w:firstLineChars="0"/>
            </w:pPr>
            <w:r>
              <w:rPr>
                <w:rFonts w:hint="eastAsia"/>
              </w:rPr>
              <w:t>2、用水平衡</w:t>
            </w:r>
          </w:p>
          <w:p>
            <w:pPr>
              <w:pStyle w:val="34"/>
              <w:ind w:firstLine="560"/>
              <w:rPr>
                <w:rFonts w:hint="eastAsia"/>
                <w:bCs/>
              </w:rPr>
            </w:pPr>
            <w:r>
              <w:rPr>
                <w:rFonts w:hint="eastAsia"/>
                <w:bCs/>
              </w:rPr>
              <w:t>根据现场核实，本项目废水为生活污水和冷却塔外排水，无废水流量计。根据公司提供水费发票可知，八月份用水16t，折算公司每年用水量约为192t。冷却塔外排水根据环评计算量并与企业核实后得出，冷却塔每年用水量50t，蒸发损耗30t，剩余20t冷却水循环使用不外排，生活污水接入污水管网，生活用水142t/a，排污系数为0.8，则生活污水排放量约为113.6t/a，废水接市政污水管网进入新区白荡污水处理厂。</w:t>
            </w:r>
          </w:p>
          <w:p>
            <w:pPr>
              <w:pStyle w:val="34"/>
              <w:spacing w:line="480" w:lineRule="auto"/>
              <w:ind w:firstLine="0" w:firstLineChars="0"/>
              <w:jc w:val="center"/>
            </w:pPr>
            <w:r>
              <w:drawing>
                <wp:inline distT="0" distB="0" distL="0" distR="0">
                  <wp:extent cx="3909695" cy="1454785"/>
                  <wp:effectExtent l="0" t="0" r="146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l="22293" t="57847" r="18208" b="23137"/>
                          <a:stretch>
                            <a:fillRect/>
                          </a:stretch>
                        </pic:blipFill>
                        <pic:spPr>
                          <a:xfrm>
                            <a:off x="0" y="0"/>
                            <a:ext cx="3960670" cy="1474100"/>
                          </a:xfrm>
                          <a:prstGeom prst="rect">
                            <a:avLst/>
                          </a:prstGeom>
                          <a:noFill/>
                          <a:ln>
                            <a:noFill/>
                          </a:ln>
                        </pic:spPr>
                      </pic:pic>
                    </a:graphicData>
                  </a:graphic>
                </wp:inline>
              </w:drawing>
            </w:r>
          </w:p>
          <w:p>
            <w:pPr>
              <w:pStyle w:val="34"/>
              <w:spacing w:line="480" w:lineRule="auto"/>
              <w:ind w:firstLine="0" w:firstLineChars="0"/>
              <w:jc w:val="center"/>
              <w:rPr>
                <w:b/>
                <w:sz w:val="21"/>
                <w:szCs w:val="21"/>
              </w:rPr>
            </w:pPr>
            <w:r>
              <w:rPr>
                <w:rFonts w:hint="eastAsia"/>
                <w:b/>
                <w:sz w:val="21"/>
                <w:szCs w:val="21"/>
              </w:rPr>
              <w:t>图2-2项目用水平衡图</w:t>
            </w:r>
          </w:p>
          <w:p>
            <w:pPr>
              <w:pStyle w:val="34"/>
              <w:ind w:firstLine="0" w:firstLineChars="0"/>
              <w:rPr>
                <w:rFonts w:hint="eastAsia"/>
              </w:rPr>
            </w:pPr>
            <w:r>
              <w:rPr>
                <w:rFonts w:cs="Times New Roman"/>
              </w:rPr>
              <w:t>说明：</w:t>
            </w:r>
            <w:r>
              <w:rPr>
                <w:rFonts w:ascii="Segoe UI Symbol" w:hAnsi="Segoe UI Symbol" w:cs="Segoe UI Symbol"/>
              </w:rPr>
              <w:t>★</w:t>
            </w:r>
            <w:r>
              <w:rPr>
                <w:rFonts w:cs="Times New Roman"/>
              </w:rPr>
              <w:t>为废水监测点位。</w:t>
            </w:r>
          </w:p>
          <w:p>
            <w:pPr>
              <w:pStyle w:val="34"/>
              <w:rPr>
                <w:bCs/>
              </w:rPr>
            </w:pPr>
          </w:p>
        </w:tc>
      </w:tr>
    </w:tbl>
    <w:p>
      <w:pPr>
        <w:spacing w:line="20" w:lineRule="exact"/>
        <w:rPr>
          <w:rFonts w:ascii="Times New Roman" w:hAnsi="Times New Roman" w:eastAsia="仿宋_GB2312" w:cs="Times New Roman"/>
          <w:color w:val="FF0000"/>
          <w:sz w:val="28"/>
          <w:szCs w:val="28"/>
        </w:rPr>
      </w:pPr>
      <w:r>
        <w:rPr>
          <w:rFonts w:ascii="Times New Roman" w:hAnsi="Times New Roman" w:eastAsia="仿宋_GB2312" w:cs="Times New Roman"/>
          <w:color w:val="FF0000"/>
          <w:sz w:val="28"/>
          <w:szCs w:val="28"/>
        </w:rPr>
        <w:br w:type="page"/>
      </w:r>
    </w:p>
    <w:p>
      <w:pPr>
        <w:pStyle w:val="37"/>
      </w:pPr>
      <w:r>
        <w:t>续表二</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6" w:hRule="atLeast"/>
          <w:jc w:val="center"/>
        </w:trPr>
        <w:tc>
          <w:tcPr>
            <w:tcW w:w="5000" w:type="pct"/>
          </w:tcPr>
          <w:p>
            <w:pPr>
              <w:pStyle w:val="37"/>
            </w:pPr>
            <w:r>
              <w:rPr>
                <w:rFonts w:hint="eastAsia"/>
              </w:rPr>
              <w:t>3</w:t>
            </w:r>
            <w:r>
              <w:t>、</w:t>
            </w:r>
            <w:r>
              <w:rPr>
                <w:rFonts w:hint="eastAsia"/>
              </w:rPr>
              <w:t>固废产生</w:t>
            </w:r>
            <w:r>
              <w:t>环节</w:t>
            </w:r>
          </w:p>
          <w:p>
            <w:pPr>
              <w:pStyle w:val="34"/>
              <w:ind w:firstLine="560"/>
              <w:rPr>
                <w:rFonts w:hint="eastAsia"/>
              </w:rPr>
            </w:pPr>
            <w:r>
              <w:rPr>
                <w:rFonts w:hint="eastAsia"/>
              </w:rPr>
              <w:t>固废</w:t>
            </w:r>
          </w:p>
          <w:p>
            <w:pPr>
              <w:pStyle w:val="34"/>
              <w:ind w:firstLine="560"/>
              <w:rPr>
                <w:rFonts w:hint="eastAsia"/>
              </w:rPr>
            </w:pPr>
            <w:r>
              <w:rPr>
                <w:rFonts w:hint="eastAsia"/>
              </w:rPr>
              <w:t>本项目产生的固废有不合格产品、废包装物、饱和失效活性炭、生活垃圾。其中成型后检验环节产生不合格产品、废包装物，回收或外卖；饱和失效活性炭收集后委托给有资质单位处理；生活垃圾均由新区环卫部门统一收集处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left"/>
                    <w:rPr>
                      <w:rFonts w:cs="Times New Roman"/>
                      <w:szCs w:val="28"/>
                    </w:rPr>
                  </w:pPr>
                  <w:r>
                    <w:rPr>
                      <w:rFonts w:cs="Times New Roman"/>
                      <w:szCs w:val="28"/>
                    </w:rPr>
                    <w:drawing>
                      <wp:inline distT="0" distB="0" distL="0" distR="0">
                        <wp:extent cx="2557145" cy="190944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t="52154" b="10513"/>
                                <a:stretch>
                                  <a:fillRect/>
                                </a:stretch>
                              </pic:blipFill>
                              <pic:spPr>
                                <a:xfrm>
                                  <a:off x="0" y="0"/>
                                  <a:ext cx="2559050" cy="1910684"/>
                                </a:xfrm>
                                <a:prstGeom prst="rect">
                                  <a:avLst/>
                                </a:prstGeom>
                                <a:noFill/>
                                <a:ln>
                                  <a:noFill/>
                                </a:ln>
                              </pic:spPr>
                            </pic:pic>
                          </a:graphicData>
                        </a:graphic>
                      </wp:inline>
                    </w:drawing>
                  </w:r>
                  <w:r>
                    <w:rPr>
                      <w:rFonts w:cs="Times New Roman"/>
                      <w:szCs w:val="28"/>
                    </w:rPr>
                    <w:drawing>
                      <wp:inline distT="0" distB="0" distL="0" distR="0">
                        <wp:extent cx="2552065" cy="1916430"/>
                        <wp:effectExtent l="0" t="0" r="63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52065" cy="1916430"/>
                                </a:xfrm>
                                <a:prstGeom prst="rect">
                                  <a:avLst/>
                                </a:prstGeom>
                                <a:noFill/>
                                <a:ln>
                                  <a:noFill/>
                                </a:ln>
                              </pic:spPr>
                            </pic:pic>
                          </a:graphicData>
                        </a:graphic>
                      </wp:inline>
                    </w:drawing>
                  </w:r>
                </w:p>
                <w:p>
                  <w:pPr>
                    <w:spacing w:line="360" w:lineRule="auto"/>
                    <w:jc w:val="center"/>
                    <w:rPr>
                      <w:rFonts w:cs="Times New Roman"/>
                      <w:szCs w:val="28"/>
                    </w:rPr>
                  </w:pPr>
                  <w:r>
                    <w:rPr>
                      <w:rFonts w:cs="Times New Roman"/>
                      <w:szCs w:val="28"/>
                    </w:rPr>
                    <w:drawing>
                      <wp:inline distT="0" distB="0" distL="0" distR="0">
                        <wp:extent cx="2423795" cy="3234690"/>
                        <wp:effectExtent l="0" t="0" r="1460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67874" cy="3293516"/>
                                </a:xfrm>
                                <a:prstGeom prst="rect">
                                  <a:avLst/>
                                </a:prstGeom>
                                <a:noFill/>
                                <a:ln>
                                  <a:noFill/>
                                </a:ln>
                              </pic:spPr>
                            </pic:pic>
                          </a:graphicData>
                        </a:graphic>
                      </wp:inline>
                    </w:drawing>
                  </w:r>
                  <w:bookmarkStart w:id="4" w:name="_GoBack"/>
                  <w:bookmarkEnd w:id="4"/>
                  <w:r>
                    <w:rPr>
                      <w:rFonts w:cs="Times New Roman"/>
                      <w:szCs w:val="28"/>
                    </w:rPr>
                    <w:drawing>
                      <wp:inline distT="0" distB="0" distL="0" distR="0">
                        <wp:extent cx="2423795" cy="3234690"/>
                        <wp:effectExtent l="0" t="0" r="1460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23795" cy="32346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center"/>
                    <w:rPr>
                      <w:rFonts w:ascii="Times New Roman" w:hAnsi="Times New Roman" w:eastAsia="仿宋_GB2312" w:cs="Times New Roman"/>
                      <w:sz w:val="28"/>
                      <w:szCs w:val="28"/>
                    </w:rPr>
                  </w:pPr>
                  <w:r>
                    <w:rPr>
                      <w:rFonts w:hint="eastAsia" w:ascii="Times New Roman" w:hAnsi="Times New Roman" w:eastAsia="仿宋_GB2312" w:cs="Times New Roman"/>
                      <w:b/>
                      <w:bCs/>
                      <w:sz w:val="21"/>
                      <w:szCs w:val="21"/>
                    </w:rPr>
                    <w:t>图2-</w:t>
                  </w:r>
                  <w:r>
                    <w:rPr>
                      <w:rFonts w:hint="eastAsia" w:ascii="Times New Roman" w:hAnsi="Times New Roman" w:eastAsia="仿宋_GB2312" w:cs="Times New Roman"/>
                      <w:b/>
                      <w:bCs/>
                      <w:sz w:val="21"/>
                      <w:szCs w:val="21"/>
                      <w:lang w:val="en-US" w:eastAsia="zh-CN"/>
                    </w:rPr>
                    <w:t>3</w:t>
                  </w:r>
                  <w:r>
                    <w:rPr>
                      <w:rFonts w:hint="eastAsia" w:ascii="Times New Roman" w:hAnsi="Times New Roman" w:eastAsia="仿宋_GB2312" w:cs="Times New Roman"/>
                      <w:b/>
                      <w:bCs/>
                      <w:sz w:val="21"/>
                      <w:szCs w:val="21"/>
                    </w:rPr>
                    <w:t>危废储存柜</w:t>
                  </w:r>
                </w:p>
              </w:tc>
            </w:tr>
          </w:tbl>
          <w:p>
            <w:pPr>
              <w:spacing w:line="360" w:lineRule="auto"/>
              <w:rPr>
                <w:rFonts w:ascii="Times New Roman" w:hAnsi="Times New Roman" w:eastAsia="仿宋_GB2312" w:cs="Times New Roman"/>
                <w:sz w:val="28"/>
                <w:szCs w:val="28"/>
              </w:rPr>
            </w:pPr>
          </w:p>
          <w:p>
            <w:pPr>
              <w:spacing w:line="360" w:lineRule="auto"/>
              <w:rPr>
                <w:rFonts w:cs="Times New Roman"/>
                <w:vertAlign w:val="baseli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6" w:type="dxa"/>
                </w:tcPr>
                <w:p>
                  <w:pPr>
                    <w:spacing w:line="360" w:lineRule="auto"/>
                    <w:jc w:val="center"/>
                    <w:rPr>
                      <w:rFonts w:cs="Times New Roman"/>
                      <w:vertAlign w:val="baseline"/>
                    </w:rPr>
                  </w:pPr>
                  <w:r>
                    <w:rPr>
                      <w:rFonts w:cs="Times New Roman"/>
                    </w:rPr>
                    <w:drawing>
                      <wp:inline distT="0" distB="0" distL="0" distR="0">
                        <wp:extent cx="2486660" cy="1988185"/>
                        <wp:effectExtent l="0" t="0" r="8890" b="1206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86660" cy="1988185"/>
                                </a:xfrm>
                                <a:prstGeom prst="rect">
                                  <a:avLst/>
                                </a:prstGeom>
                                <a:noFill/>
                                <a:ln>
                                  <a:noFill/>
                                </a:ln>
                              </pic:spPr>
                            </pic:pic>
                          </a:graphicData>
                        </a:graphic>
                      </wp:inline>
                    </w:drawing>
                  </w:r>
                  <w:r>
                    <w:rPr>
                      <w:rFonts w:cs="Times New Roman"/>
                    </w:rPr>
                    <w:drawing>
                      <wp:inline distT="0" distB="0" distL="0" distR="0">
                        <wp:extent cx="2418715" cy="1986915"/>
                        <wp:effectExtent l="0" t="0" r="63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t="23801" b="21040"/>
                                <a:stretch>
                                  <a:fillRect/>
                                </a:stretch>
                              </pic:blipFill>
                              <pic:spPr>
                                <a:xfrm>
                                  <a:off x="0" y="0"/>
                                  <a:ext cx="2418715" cy="2018732"/>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6" w:type="dxa"/>
                </w:tcPr>
                <w:p>
                  <w:pPr>
                    <w:spacing w:line="360" w:lineRule="auto"/>
                    <w:jc w:val="center"/>
                    <w:rPr>
                      <w:rFonts w:cs="Times New Roman"/>
                    </w:rPr>
                  </w:pPr>
                  <w:r>
                    <w:rPr>
                      <w:rFonts w:hint="default" w:ascii="Times New Roman" w:hAnsi="Times New Roman" w:eastAsia="仿宋_GB2312" w:cs="Times New Roman"/>
                      <w:b/>
                      <w:bCs/>
                      <w:sz w:val="21"/>
                      <w:szCs w:val="21"/>
                    </w:rPr>
                    <w:t>图2-</w:t>
                  </w:r>
                  <w:r>
                    <w:rPr>
                      <w:rFonts w:hint="eastAsia" w:ascii="Times New Roman" w:hAnsi="Times New Roman" w:eastAsia="仿宋_GB2312" w:cs="Times New Roman"/>
                      <w:b/>
                      <w:bCs/>
                      <w:sz w:val="21"/>
                      <w:szCs w:val="21"/>
                      <w:lang w:val="en-US" w:eastAsia="zh-CN"/>
                    </w:rPr>
                    <w:t>4</w:t>
                  </w:r>
                  <w:r>
                    <w:rPr>
                      <w:rFonts w:hint="default" w:ascii="Times New Roman" w:hAnsi="Times New Roman" w:eastAsia="仿宋_GB2312" w:cs="Times New Roman"/>
                      <w:b/>
                      <w:bCs/>
                      <w:sz w:val="21"/>
                      <w:szCs w:val="21"/>
                    </w:rPr>
                    <w:t>一般固废暂存区</w:t>
                  </w:r>
                </w:p>
              </w:tc>
            </w:tr>
          </w:tbl>
          <w:p>
            <w:pPr>
              <w:spacing w:line="360" w:lineRule="auto"/>
              <w:rPr>
                <w:rFonts w:hint="eastAsia" w:ascii="Times New Roman" w:hAnsi="Times New Roman" w:eastAsia="仿宋_GB2312" w:cs="Times New Roman"/>
                <w:sz w:val="28"/>
                <w:szCs w:val="28"/>
                <w:lang w:val="en-US" w:eastAsia="zh-CN"/>
              </w:rPr>
            </w:pPr>
          </w:p>
        </w:tc>
      </w:tr>
    </w:tbl>
    <w:p>
      <w:pPr>
        <w:widowControl/>
        <w:jc w:val="left"/>
        <w:rPr>
          <w:rFonts w:ascii="Times New Roman" w:hAnsi="Times New Roman" w:eastAsia="仿宋_GB2312" w:cs="Times New Roman"/>
          <w:sz w:val="28"/>
          <w:szCs w:val="28"/>
        </w:rPr>
      </w:pPr>
      <w:r>
        <w:br w:type="page"/>
      </w:r>
    </w:p>
    <w:p>
      <w:pPr>
        <w:pStyle w:val="37"/>
      </w:pPr>
      <w:r>
        <w:t>续表</w:t>
      </w:r>
      <w:r>
        <w:rPr>
          <w:rFonts w:hint="eastAsia"/>
        </w:rPr>
        <w:t>三</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8" w:hRule="atLeast"/>
          <w:jc w:val="center"/>
        </w:trPr>
        <w:tc>
          <w:tcPr>
            <w:tcW w:w="5000" w:type="pct"/>
          </w:tcPr>
          <w:p>
            <w:pPr>
              <w:pStyle w:val="35"/>
            </w:pPr>
            <w:r>
              <w:t>项目变动情况</w:t>
            </w:r>
          </w:p>
          <w:p>
            <w:pPr>
              <w:pStyle w:val="34"/>
              <w:ind w:firstLine="560"/>
            </w:pPr>
            <w:r>
              <w:t>根据江苏省环境保护厅文件《关于加强建设项目重大变动环评管理的通知》（苏环办[2015]256号）第三条：“建设项目存在变动但不属于重大变动的，纳入竣工环保验收管理”。该项目变动环境影响分析情况见表</w:t>
            </w:r>
            <w:r>
              <w:rPr>
                <w:rFonts w:hint="eastAsia"/>
                <w:lang w:val="en-US" w:eastAsia="zh-CN"/>
              </w:rPr>
              <w:t>3-1</w:t>
            </w:r>
            <w:r>
              <w:t>。</w:t>
            </w:r>
          </w:p>
          <w:p>
            <w:pPr>
              <w:pStyle w:val="40"/>
            </w:pPr>
            <w:r>
              <w:t>表</w:t>
            </w:r>
            <w:r>
              <w:rPr>
                <w:rFonts w:hint="eastAsia"/>
              </w:rPr>
              <w:t>3-1</w:t>
            </w:r>
            <w:r>
              <w:t>项目变动环境影响分析一览表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3606"/>
              <w:gridCol w:w="2888"/>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Align w:val="center"/>
                </w:tcPr>
                <w:p>
                  <w:pPr>
                    <w:pStyle w:val="40"/>
                    <w:rPr>
                      <w:rFonts w:hint="default" w:ascii="Times New Roman" w:hAnsi="Times New Roman" w:cs="Times New Roman"/>
                      <w:b/>
                      <w:bCs w:val="0"/>
                    </w:rPr>
                  </w:pPr>
                  <w:r>
                    <w:rPr>
                      <w:rFonts w:hint="default" w:ascii="Times New Roman" w:hAnsi="Times New Roman" w:cs="Times New Roman"/>
                      <w:b/>
                      <w:bCs w:val="0"/>
                    </w:rPr>
                    <w:t>项目</w:t>
                  </w:r>
                </w:p>
              </w:tc>
              <w:tc>
                <w:tcPr>
                  <w:tcW w:w="2170" w:type="pct"/>
                  <w:vAlign w:val="center"/>
                </w:tcPr>
                <w:p>
                  <w:pPr>
                    <w:pStyle w:val="40"/>
                    <w:rPr>
                      <w:rFonts w:hint="default" w:ascii="Times New Roman" w:hAnsi="Times New Roman" w:cs="Times New Roman"/>
                      <w:b/>
                      <w:bCs w:val="0"/>
                    </w:rPr>
                  </w:pPr>
                  <w:r>
                    <w:rPr>
                      <w:rFonts w:hint="default" w:ascii="Times New Roman" w:hAnsi="Times New Roman" w:cs="Times New Roman"/>
                      <w:b/>
                      <w:bCs w:val="0"/>
                    </w:rPr>
                    <w:t>重大变动标准</w:t>
                  </w:r>
                </w:p>
              </w:tc>
              <w:tc>
                <w:tcPr>
                  <w:tcW w:w="1738" w:type="pct"/>
                  <w:vAlign w:val="center"/>
                </w:tcPr>
                <w:p>
                  <w:pPr>
                    <w:pStyle w:val="40"/>
                    <w:rPr>
                      <w:rFonts w:hint="default" w:ascii="Times New Roman" w:hAnsi="Times New Roman" w:cs="Times New Roman"/>
                      <w:b/>
                      <w:bCs w:val="0"/>
                    </w:rPr>
                  </w:pPr>
                  <w:r>
                    <w:rPr>
                      <w:rFonts w:hint="default" w:ascii="Times New Roman" w:hAnsi="Times New Roman" w:cs="Times New Roman"/>
                      <w:b/>
                      <w:bCs w:val="0"/>
                    </w:rPr>
                    <w:t>对照分析</w:t>
                  </w:r>
                </w:p>
              </w:tc>
              <w:tc>
                <w:tcPr>
                  <w:tcW w:w="659" w:type="pct"/>
                  <w:vAlign w:val="center"/>
                </w:tcPr>
                <w:p>
                  <w:pPr>
                    <w:pStyle w:val="40"/>
                    <w:rPr>
                      <w:rFonts w:hint="default" w:ascii="Times New Roman" w:hAnsi="Times New Roman" w:cs="Times New Roman"/>
                      <w:b/>
                      <w:bCs w:val="0"/>
                    </w:rPr>
                  </w:pPr>
                  <w:r>
                    <w:rPr>
                      <w:rFonts w:hint="default" w:ascii="Times New Roman" w:hAnsi="Times New Roman" w:cs="Times New Roman"/>
                      <w:b/>
                      <w:bCs w:val="0"/>
                    </w:rPr>
                    <w:t>变动界定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性质</w:t>
                  </w: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主要产品品种发生变化（变少的除外）</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产品品种与环评一致</w:t>
                  </w:r>
                </w:p>
              </w:tc>
              <w:tc>
                <w:tcPr>
                  <w:tcW w:w="659"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2" w:type="pct"/>
                  <w:vMerge w:val="restart"/>
                  <w:vAlign w:val="center"/>
                </w:tcPr>
                <w:p>
                  <w:pPr>
                    <w:pStyle w:val="40"/>
                    <w:rPr>
                      <w:rFonts w:hint="default" w:ascii="Times New Roman" w:hAnsi="Times New Roman" w:cs="Times New Roman"/>
                      <w:b w:val="0"/>
                      <w:bCs/>
                    </w:rPr>
                  </w:pPr>
                  <w:r>
                    <w:rPr>
                      <w:rFonts w:hint="default" w:ascii="Times New Roman" w:hAnsi="Times New Roman" w:cs="Times New Roman"/>
                      <w:b w:val="0"/>
                      <w:bCs/>
                    </w:rPr>
                    <w:t>规模</w:t>
                  </w: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生产能力增加30%以上</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生产能力与环评一致</w:t>
                  </w:r>
                </w:p>
              </w:tc>
              <w:tc>
                <w:tcPr>
                  <w:tcW w:w="659"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Merge w:val="continue"/>
                  <w:vAlign w:val="center"/>
                </w:tcPr>
                <w:p>
                  <w:pPr>
                    <w:pStyle w:val="40"/>
                    <w:rPr>
                      <w:rFonts w:hint="default" w:ascii="Times New Roman" w:hAnsi="Times New Roman" w:cs="Times New Roman"/>
                      <w:b w:val="0"/>
                      <w:bCs/>
                    </w:rPr>
                  </w:pP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配套的仓储设施（储存危险化学品或其他环境风险大的物品）总储存容量增加30%及以上</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环评：设置20m2的收集暂存区，5m2的危废收集暂存区</w:t>
                  </w:r>
                </w:p>
                <w:p>
                  <w:pPr>
                    <w:pStyle w:val="40"/>
                    <w:rPr>
                      <w:rFonts w:hint="default" w:ascii="Times New Roman" w:hAnsi="Times New Roman" w:cs="Times New Roman"/>
                      <w:b w:val="0"/>
                      <w:bCs/>
                    </w:rPr>
                  </w:pPr>
                  <w:r>
                    <w:rPr>
                      <w:rFonts w:hint="default" w:ascii="Times New Roman" w:hAnsi="Times New Roman" w:cs="Times New Roman"/>
                      <w:b w:val="0"/>
                      <w:bCs/>
                    </w:rPr>
                    <w:t>实际：一般固废暂存区约为30m2，危废暂存区约为15m2</w:t>
                  </w:r>
                </w:p>
              </w:tc>
              <w:tc>
                <w:tcPr>
                  <w:tcW w:w="659"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Merge w:val="continue"/>
                  <w:vAlign w:val="center"/>
                </w:tcPr>
                <w:p>
                  <w:pPr>
                    <w:pStyle w:val="40"/>
                    <w:rPr>
                      <w:rFonts w:hint="default" w:ascii="Times New Roman" w:hAnsi="Times New Roman" w:cs="Times New Roman"/>
                      <w:b w:val="0"/>
                      <w:bCs/>
                    </w:rPr>
                  </w:pP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新增生产装置，导致新增污染因子或污染物排放量增加；原有生产装置规模增加30%及以上，导致新增污染因子或污染物排放量增加</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生产装置与环评一致</w:t>
                  </w:r>
                </w:p>
              </w:tc>
              <w:tc>
                <w:tcPr>
                  <w:tcW w:w="659"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Merge w:val="restart"/>
                  <w:vAlign w:val="center"/>
                </w:tcPr>
                <w:p>
                  <w:pPr>
                    <w:pStyle w:val="40"/>
                    <w:rPr>
                      <w:rFonts w:hint="default" w:ascii="Times New Roman" w:hAnsi="Times New Roman" w:cs="Times New Roman"/>
                      <w:b w:val="0"/>
                      <w:bCs/>
                    </w:rPr>
                  </w:pPr>
                  <w:r>
                    <w:rPr>
                      <w:rFonts w:hint="default" w:ascii="Times New Roman" w:hAnsi="Times New Roman" w:cs="Times New Roman"/>
                      <w:b w:val="0"/>
                      <w:bCs/>
                    </w:rPr>
                    <w:t>地点</w:t>
                  </w: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项目重新选址</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厂址与环评一致</w:t>
                  </w:r>
                </w:p>
              </w:tc>
              <w:tc>
                <w:tcPr>
                  <w:tcW w:w="659" w:type="pct"/>
                  <w:vMerge w:val="restar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32" w:type="pct"/>
                  <w:vMerge w:val="continue"/>
                  <w:vAlign w:val="center"/>
                </w:tcPr>
                <w:p>
                  <w:pPr>
                    <w:pStyle w:val="40"/>
                    <w:rPr>
                      <w:rFonts w:hint="default" w:ascii="Times New Roman" w:hAnsi="Times New Roman" w:cs="Times New Roman"/>
                      <w:b w:val="0"/>
                      <w:bCs/>
                    </w:rPr>
                  </w:pP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在原厂址内调整（包括总平面布置或生产装置发生变化）导致不利环境影响显著增加</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环评中设计的平面布置图不符合厂区实际建设情况，实际建设过程中根据厂房位置适当调整布局，未导致任何对环境不利的影响有增加</w:t>
                  </w:r>
                </w:p>
              </w:tc>
              <w:tc>
                <w:tcPr>
                  <w:tcW w:w="659" w:type="pct"/>
                  <w:vMerge w:val="continue"/>
                  <w:vAlign w:val="center"/>
                </w:tcPr>
                <w:p>
                  <w:pPr>
                    <w:pStyle w:val="40"/>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Merge w:val="continue"/>
                  <w:vAlign w:val="center"/>
                </w:tcPr>
                <w:p>
                  <w:pPr>
                    <w:pStyle w:val="40"/>
                    <w:rPr>
                      <w:rFonts w:hint="default" w:ascii="Times New Roman" w:hAnsi="Times New Roman" w:cs="Times New Roman"/>
                      <w:b w:val="0"/>
                      <w:bCs/>
                    </w:rPr>
                  </w:pP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防护距离边界发生变化并新增敏感点</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根据环评及批复设置100m防护距离，防护距离边界未发生变化，无新增敏感点</w:t>
                  </w:r>
                </w:p>
              </w:tc>
              <w:tc>
                <w:tcPr>
                  <w:tcW w:w="659" w:type="pct"/>
                  <w:vMerge w:val="continue"/>
                  <w:vAlign w:val="center"/>
                </w:tcPr>
                <w:p>
                  <w:pPr>
                    <w:pStyle w:val="40"/>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Merge w:val="continue"/>
                  <w:vAlign w:val="center"/>
                </w:tcPr>
                <w:p>
                  <w:pPr>
                    <w:pStyle w:val="40"/>
                    <w:rPr>
                      <w:rFonts w:hint="default" w:ascii="Times New Roman" w:hAnsi="Times New Roman" w:cs="Times New Roman"/>
                      <w:b w:val="0"/>
                      <w:bCs/>
                    </w:rPr>
                  </w:pP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厂外管线路由调整，穿越新的环境敏感区；在现有环境敏感区内路由发生变动且环境影响或环境风险显著增大</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管线路无调整</w:t>
                  </w:r>
                </w:p>
              </w:tc>
              <w:tc>
                <w:tcPr>
                  <w:tcW w:w="659" w:type="pct"/>
                  <w:vMerge w:val="continue"/>
                  <w:vAlign w:val="center"/>
                </w:tcPr>
                <w:p>
                  <w:pPr>
                    <w:pStyle w:val="40"/>
                    <w:rPr>
                      <w:rFonts w:hint="default" w:ascii="Times New Roman" w:hAnsi="Times New Roman" w:cs="Times New Roman"/>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生产工艺</w:t>
                  </w: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主要生产装置类型、主要原辅材料类型以及其他生产工艺和技术调整且导致新增污染因子污染物排放量增加。</w:t>
                  </w:r>
                </w:p>
              </w:tc>
              <w:tc>
                <w:tcPr>
                  <w:tcW w:w="1738"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主要生产装置类型、主要原辅材料以及其他生产工艺均与环评一致</w:t>
                  </w:r>
                </w:p>
              </w:tc>
              <w:tc>
                <w:tcPr>
                  <w:tcW w:w="659"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2"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环境保护措施</w:t>
                  </w:r>
                </w:p>
              </w:tc>
              <w:tc>
                <w:tcPr>
                  <w:tcW w:w="2170" w:type="pct"/>
                  <w:vAlign w:val="center"/>
                </w:tcPr>
                <w:p>
                  <w:pPr>
                    <w:pStyle w:val="40"/>
                    <w:rPr>
                      <w:rFonts w:hint="default" w:ascii="Times New Roman" w:hAnsi="Times New Roman" w:cs="Times New Roman"/>
                      <w:b w:val="0"/>
                      <w:bCs/>
                    </w:rPr>
                  </w:pPr>
                  <w:r>
                    <w:rPr>
                      <w:rFonts w:hint="default" w:ascii="Times New Roman" w:hAnsi="Times New Roman" w:cs="Times New Roman"/>
                      <w:b w:val="0"/>
                      <w:bCs/>
                    </w:rPr>
                    <w:t>污染防治措施的工艺、规模、处置去向、排放形式等调整，导致新增污染因子或污染物排放量、范围或强度增加；其他可能导致环境影响或环境风险增加的环保措施变动</w:t>
                  </w:r>
                </w:p>
              </w:tc>
              <w:tc>
                <w:tcPr>
                  <w:tcW w:w="1738" w:type="pct"/>
                  <w:vAlign w:val="center"/>
                </w:tcPr>
                <w:p>
                  <w:pPr>
                    <w:pStyle w:val="24"/>
                    <w:spacing w:beforeLines="-2147483648" w:afterLines="-2147483648" w:line="240" w:lineRule="auto"/>
                    <w:ind w:firstLine="0" w:firstLineChars="0"/>
                    <w:rPr>
                      <w:rFonts w:hint="default" w:eastAsia="仿宋_GB2312" w:cs="Times New Roman"/>
                    </w:rPr>
                  </w:pPr>
                  <w:r>
                    <w:rPr>
                      <w:rFonts w:hint="default" w:eastAsia="仿宋_GB2312" w:cs="Times New Roman"/>
                    </w:rPr>
                    <w:t>环评：一级活性炭吸附，实际：一级活性炭吸附+低温等离子装置。环评：冷却水循环回用，少量与生活污水一起排入污水处理厂，实际：冷却水循环回用不外排。</w:t>
                  </w:r>
                </w:p>
              </w:tc>
              <w:tc>
                <w:tcPr>
                  <w:tcW w:w="659" w:type="pct"/>
                  <w:vAlign w:val="center"/>
                </w:tcPr>
                <w:p>
                  <w:pPr>
                    <w:pStyle w:val="24"/>
                    <w:spacing w:beforeLines="-2147483648" w:afterLines="-2147483648" w:line="240" w:lineRule="auto"/>
                    <w:ind w:firstLine="0" w:firstLineChars="0"/>
                    <w:rPr>
                      <w:rFonts w:hint="default" w:eastAsia="仿宋_GB2312" w:cs="Times New Roman"/>
                    </w:rPr>
                  </w:pPr>
                  <w:r>
                    <w:rPr>
                      <w:rFonts w:hint="default" w:eastAsia="仿宋_GB2312" w:cs="Times New Roman"/>
                    </w:rPr>
                    <w:t>不属于重大变动</w:t>
                  </w:r>
                </w:p>
              </w:tc>
            </w:tr>
          </w:tbl>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根据江苏省环境保护厅文件《关于加强建设项目重大变动环评管理的通知》（苏环办[2015]256号）第三条：“建设项目存在变动但不属于重大变动的，纳入竣工环保验收管理”。</w:t>
            </w:r>
          </w:p>
        </w:tc>
      </w:tr>
    </w:tbl>
    <w:p>
      <w:pPr>
        <w:rPr>
          <w:rFonts w:ascii="Times New Roman" w:hAnsi="Times New Roman" w:eastAsia="仿宋_GB2312" w:cs="Times New Roman"/>
          <w:color w:val="FF0000"/>
        </w:rPr>
      </w:pPr>
      <w:r>
        <w:rPr>
          <w:rFonts w:ascii="Times New Roman" w:hAnsi="Times New Roman" w:eastAsia="仿宋_GB2312" w:cs="Times New Roman"/>
          <w:color w:val="FF0000"/>
        </w:rPr>
        <w:br w:type="page"/>
      </w:r>
    </w:p>
    <w:p>
      <w:pPr>
        <w:pStyle w:val="37"/>
      </w:pPr>
      <w:r>
        <w:t>表</w:t>
      </w:r>
      <w:r>
        <w:rPr>
          <w:rFonts w:hint="eastAsia"/>
        </w:rPr>
        <w:t>四</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6" w:hRule="atLeast"/>
          <w:jc w:val="center"/>
        </w:trPr>
        <w:tc>
          <w:tcPr>
            <w:tcW w:w="5000" w:type="pct"/>
          </w:tcPr>
          <w:p>
            <w:pPr>
              <w:pStyle w:val="35"/>
            </w:pPr>
            <w:r>
              <w:rPr>
                <w:rFonts w:hint="eastAsia"/>
              </w:rPr>
              <w:t>固体</w:t>
            </w:r>
            <w:r>
              <w:t>污染物处理和排放</w:t>
            </w:r>
          </w:p>
          <w:p>
            <w:pPr>
              <w:pStyle w:val="34"/>
              <w:ind w:firstLine="560"/>
            </w:pPr>
            <w:r>
              <w:t>根据该项目现场勘察情况，其污染物产生、防治措施、排放情况见表</w:t>
            </w:r>
            <w:r>
              <w:rPr>
                <w:rFonts w:hint="eastAsia"/>
              </w:rPr>
              <w:t>4</w:t>
            </w:r>
            <w:r>
              <w:t>-1</w:t>
            </w:r>
            <w:r>
              <w:rPr>
                <w:rFonts w:hint="eastAsia"/>
              </w:rPr>
              <w:t>。</w:t>
            </w:r>
          </w:p>
          <w:p>
            <w:pPr>
              <w:pStyle w:val="34"/>
              <w:ind w:firstLine="0" w:firstLineChars="0"/>
              <w:jc w:val="center"/>
              <w:rPr>
                <w:b/>
                <w:bCs/>
                <w:sz w:val="21"/>
                <w:szCs w:val="21"/>
              </w:rPr>
            </w:pPr>
            <w:r>
              <w:rPr>
                <w:b/>
                <w:bCs/>
                <w:sz w:val="21"/>
                <w:szCs w:val="21"/>
              </w:rPr>
              <w:t>表</w:t>
            </w:r>
            <w:r>
              <w:rPr>
                <w:rFonts w:hint="eastAsia"/>
                <w:b/>
                <w:bCs/>
                <w:sz w:val="21"/>
                <w:szCs w:val="21"/>
              </w:rPr>
              <w:t>4</w:t>
            </w:r>
            <w:r>
              <w:rPr>
                <w:b/>
                <w:bCs/>
                <w:sz w:val="21"/>
                <w:szCs w:val="21"/>
              </w:rPr>
              <w:t>-1 项目</w:t>
            </w:r>
            <w:r>
              <w:rPr>
                <w:rFonts w:hint="eastAsia"/>
                <w:b/>
                <w:bCs/>
                <w:sz w:val="21"/>
                <w:szCs w:val="21"/>
              </w:rPr>
              <w:t>固体</w:t>
            </w:r>
            <w:r>
              <w:rPr>
                <w:b/>
                <w:bCs/>
                <w:sz w:val="21"/>
                <w:szCs w:val="21"/>
              </w:rPr>
              <w:t>污染物产生、防治、排放情况一览表</w:t>
            </w:r>
          </w:p>
          <w:tbl>
            <w:tblPr>
              <w:tblStyle w:val="10"/>
              <w:tblpPr w:leftFromText="181" w:rightFromText="181" w:vertAnchor="text" w:horzAnchor="page" w:tblpXSpec="center" w:tblpY="1"/>
              <w:tblOverlap w:val="never"/>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1317"/>
              <w:gridCol w:w="1227"/>
              <w:gridCol w:w="901"/>
              <w:gridCol w:w="913"/>
              <w:gridCol w:w="871"/>
              <w:gridCol w:w="1626"/>
              <w:gridCol w:w="59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514" w:type="pct"/>
                  <w:tcBorders>
                    <w:top w:val="single" w:color="000000" w:sz="12" w:space="0"/>
                    <w:bottom w:val="single" w:color="000000" w:sz="12" w:space="0"/>
                  </w:tcBorders>
                  <w:vAlign w:val="center"/>
                </w:tcPr>
                <w:p>
                  <w:pPr>
                    <w:pStyle w:val="40"/>
                    <w:rPr>
                      <w:rFonts w:hint="eastAsia" w:eastAsia="仿宋_GB2312"/>
                      <w:lang w:eastAsia="zh-CN"/>
                    </w:rPr>
                  </w:pPr>
                  <w:r>
                    <w:rPr>
                      <w:rFonts w:hint="eastAsia"/>
                      <w:lang w:eastAsia="zh-CN"/>
                    </w:rPr>
                    <w:t>排放源</w:t>
                  </w:r>
                </w:p>
              </w:tc>
              <w:tc>
                <w:tcPr>
                  <w:tcW w:w="792" w:type="pct"/>
                  <w:tcBorders>
                    <w:top w:val="single" w:color="000000" w:sz="12" w:space="0"/>
                    <w:bottom w:val="single" w:color="000000" w:sz="12" w:space="0"/>
                  </w:tcBorders>
                  <w:vAlign w:val="center"/>
                </w:tcPr>
                <w:p>
                  <w:pPr>
                    <w:pStyle w:val="40"/>
                    <w:rPr>
                      <w:rFonts w:hint="eastAsia" w:eastAsia="仿宋_GB2312"/>
                      <w:lang w:eastAsia="zh-CN"/>
                    </w:rPr>
                  </w:pPr>
                  <w:r>
                    <w:rPr>
                      <w:rFonts w:hint="eastAsia"/>
                      <w:lang w:eastAsia="zh-CN"/>
                    </w:rPr>
                    <w:t>污染物名称</w:t>
                  </w:r>
                </w:p>
              </w:tc>
              <w:tc>
                <w:tcPr>
                  <w:tcW w:w="738" w:type="pct"/>
                  <w:tcBorders>
                    <w:top w:val="single" w:color="000000" w:sz="12" w:space="0"/>
                    <w:bottom w:val="single" w:color="000000" w:sz="12" w:space="0"/>
                  </w:tcBorders>
                  <w:vAlign w:val="center"/>
                </w:tcPr>
                <w:p>
                  <w:pPr>
                    <w:pStyle w:val="40"/>
                    <w:rPr>
                      <w:rFonts w:hint="eastAsia"/>
                    </w:rPr>
                  </w:pPr>
                  <w:r>
                    <w:rPr>
                      <w:rFonts w:hint="eastAsia"/>
                    </w:rPr>
                    <w:t>危废代码</w:t>
                  </w:r>
                </w:p>
              </w:tc>
              <w:tc>
                <w:tcPr>
                  <w:tcW w:w="542" w:type="pct"/>
                  <w:tcBorders>
                    <w:top w:val="single" w:color="000000" w:sz="12" w:space="0"/>
                    <w:bottom w:val="single" w:color="000000" w:sz="12" w:space="0"/>
                  </w:tcBorders>
                  <w:vAlign w:val="center"/>
                </w:tcPr>
                <w:p>
                  <w:pPr>
                    <w:pStyle w:val="40"/>
                    <w:rPr>
                      <w:rFonts w:hint="eastAsia" w:eastAsia="仿宋_GB2312"/>
                      <w:lang w:eastAsia="zh-CN"/>
                    </w:rPr>
                  </w:pPr>
                  <w:r>
                    <w:rPr>
                      <w:rFonts w:hint="eastAsia"/>
                      <w:lang w:eastAsia="zh-CN"/>
                    </w:rPr>
                    <w:t>产生量（</w:t>
                  </w:r>
                  <w:r>
                    <w:rPr>
                      <w:rFonts w:hint="eastAsia"/>
                      <w:lang w:val="en-US" w:eastAsia="zh-CN"/>
                    </w:rPr>
                    <w:t>t/a</w:t>
                  </w:r>
                  <w:r>
                    <w:rPr>
                      <w:rFonts w:hint="eastAsia"/>
                      <w:lang w:eastAsia="zh-CN"/>
                    </w:rPr>
                    <w:t>）</w:t>
                  </w:r>
                </w:p>
              </w:tc>
              <w:tc>
                <w:tcPr>
                  <w:tcW w:w="549" w:type="pct"/>
                  <w:tcBorders>
                    <w:top w:val="single" w:color="000000" w:sz="12" w:space="0"/>
                    <w:bottom w:val="single" w:color="000000" w:sz="12" w:space="0"/>
                  </w:tcBorders>
                  <w:vAlign w:val="center"/>
                </w:tcPr>
                <w:p>
                  <w:pPr>
                    <w:pStyle w:val="40"/>
                  </w:pPr>
                  <w:r>
                    <w:rPr>
                      <w:rFonts w:hint="eastAsia"/>
                      <w:lang w:eastAsia="zh-CN"/>
                    </w:rPr>
                    <w:t>处理处置</w:t>
                  </w:r>
                  <w:r>
                    <w:rPr>
                      <w:rFonts w:hint="eastAsia"/>
                    </w:rPr>
                    <w:t>量</w:t>
                  </w:r>
                  <w:r>
                    <w:rPr>
                      <w:rFonts w:hint="eastAsia"/>
                      <w:lang w:eastAsia="zh-CN"/>
                    </w:rPr>
                    <w:t>（</w:t>
                  </w:r>
                  <w:r>
                    <w:rPr>
                      <w:rFonts w:hint="eastAsia"/>
                      <w:lang w:val="en-US" w:eastAsia="zh-CN"/>
                    </w:rPr>
                    <w:t>t/a</w:t>
                  </w:r>
                  <w:r>
                    <w:rPr>
                      <w:rFonts w:hint="eastAsia"/>
                      <w:lang w:eastAsia="zh-CN"/>
                    </w:rPr>
                    <w:t>）</w:t>
                  </w:r>
                </w:p>
              </w:tc>
              <w:tc>
                <w:tcPr>
                  <w:tcW w:w="524" w:type="pct"/>
                  <w:tcBorders>
                    <w:top w:val="single" w:color="000000" w:sz="12" w:space="0"/>
                    <w:bottom w:val="single" w:color="000000" w:sz="12" w:space="0"/>
                  </w:tcBorders>
                  <w:vAlign w:val="center"/>
                </w:tcPr>
                <w:p>
                  <w:pPr>
                    <w:pStyle w:val="40"/>
                  </w:pPr>
                  <w:r>
                    <w:rPr>
                      <w:rFonts w:hint="eastAsia"/>
                      <w:lang w:eastAsia="zh-CN"/>
                    </w:rPr>
                    <w:t>综合利用</w:t>
                  </w:r>
                  <w:r>
                    <w:rPr>
                      <w:rFonts w:hint="eastAsia"/>
                    </w:rPr>
                    <w:t>量</w:t>
                  </w:r>
                  <w:r>
                    <w:rPr>
                      <w:rFonts w:hint="eastAsia"/>
                      <w:lang w:eastAsia="zh-CN"/>
                    </w:rPr>
                    <w:t>（</w:t>
                  </w:r>
                  <w:r>
                    <w:rPr>
                      <w:rFonts w:hint="eastAsia"/>
                      <w:lang w:val="en-US" w:eastAsia="zh-CN"/>
                    </w:rPr>
                    <w:t>t/a</w:t>
                  </w:r>
                  <w:r>
                    <w:rPr>
                      <w:rFonts w:hint="eastAsia"/>
                      <w:lang w:eastAsia="zh-CN"/>
                    </w:rPr>
                    <w:t>）</w:t>
                  </w:r>
                </w:p>
              </w:tc>
              <w:tc>
                <w:tcPr>
                  <w:tcW w:w="978" w:type="pct"/>
                  <w:tcBorders>
                    <w:top w:val="single" w:color="000000" w:sz="12" w:space="0"/>
                    <w:bottom w:val="single" w:color="000000" w:sz="12" w:space="0"/>
                  </w:tcBorders>
                  <w:vAlign w:val="center"/>
                </w:tcPr>
                <w:p>
                  <w:pPr>
                    <w:pStyle w:val="40"/>
                  </w:pPr>
                  <w:r>
                    <w:t>防治措施</w:t>
                  </w:r>
                </w:p>
              </w:tc>
              <w:tc>
                <w:tcPr>
                  <w:tcW w:w="359" w:type="pct"/>
                  <w:tcBorders>
                    <w:top w:val="single" w:color="000000" w:sz="12" w:space="0"/>
                    <w:bottom w:val="single" w:color="000000" w:sz="12" w:space="0"/>
                  </w:tcBorders>
                  <w:vAlign w:val="center"/>
                </w:tcPr>
                <w:p>
                  <w:pPr>
                    <w:pStyle w:val="40"/>
                  </w:pPr>
                  <w:r>
                    <w:t>排放情况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514" w:type="pct"/>
                  <w:vMerge w:val="restart"/>
                  <w:vAlign w:val="center"/>
                </w:tcPr>
                <w:p>
                  <w:pPr>
                    <w:pStyle w:val="42"/>
                    <w:rPr>
                      <w:szCs w:val="28"/>
                    </w:rPr>
                  </w:pPr>
                  <w:r>
                    <w:rPr>
                      <w:rFonts w:hint="eastAsia"/>
                      <w:szCs w:val="28"/>
                      <w:lang w:eastAsia="zh-CN"/>
                    </w:rPr>
                    <w:t>一般</w:t>
                  </w:r>
                  <w:r>
                    <w:rPr>
                      <w:szCs w:val="28"/>
                    </w:rPr>
                    <w:t>固废</w:t>
                  </w:r>
                </w:p>
              </w:tc>
              <w:tc>
                <w:tcPr>
                  <w:tcW w:w="792" w:type="pct"/>
                  <w:tcBorders>
                    <w:bottom w:val="single" w:color="auto" w:sz="4" w:space="0"/>
                  </w:tcBorders>
                  <w:vAlign w:val="center"/>
                </w:tcPr>
                <w:p>
                  <w:pPr>
                    <w:pStyle w:val="42"/>
                    <w:rPr>
                      <w:rFonts w:hint="eastAsia" w:eastAsia="仿宋_GB2312"/>
                      <w:lang w:eastAsia="zh-CN"/>
                    </w:rPr>
                  </w:pPr>
                  <w:r>
                    <w:rPr>
                      <w:rFonts w:hint="eastAsia"/>
                      <w:lang w:eastAsia="zh-CN"/>
                    </w:rPr>
                    <w:t>废包装材料</w:t>
                  </w:r>
                </w:p>
              </w:tc>
              <w:tc>
                <w:tcPr>
                  <w:tcW w:w="738" w:type="pct"/>
                  <w:tcBorders>
                    <w:bottom w:val="single" w:color="auto" w:sz="4" w:space="0"/>
                  </w:tcBorders>
                  <w:vAlign w:val="center"/>
                </w:tcPr>
                <w:p>
                  <w:pPr>
                    <w:pStyle w:val="42"/>
                    <w:rPr>
                      <w:rFonts w:hint="eastAsia" w:eastAsia="仿宋_GB2312"/>
                      <w:lang w:val="en-US" w:eastAsia="zh-CN"/>
                    </w:rPr>
                  </w:pPr>
                  <w:r>
                    <w:rPr>
                      <w:rFonts w:hint="eastAsia"/>
                      <w:lang w:val="en-US" w:eastAsia="zh-CN"/>
                    </w:rPr>
                    <w:t>/</w:t>
                  </w:r>
                </w:p>
              </w:tc>
              <w:tc>
                <w:tcPr>
                  <w:tcW w:w="542" w:type="pct"/>
                  <w:tcBorders>
                    <w:bottom w:val="single" w:color="auto" w:sz="4" w:space="0"/>
                  </w:tcBorders>
                  <w:vAlign w:val="center"/>
                </w:tcPr>
                <w:p>
                  <w:pPr>
                    <w:pStyle w:val="42"/>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549" w:type="pct"/>
                  <w:tcBorders>
                    <w:bottom w:val="single" w:color="auto" w:sz="4" w:space="0"/>
                  </w:tcBorders>
                  <w:vAlign w:val="center"/>
                </w:tcPr>
                <w:p>
                  <w:pPr>
                    <w:pStyle w:val="42"/>
                    <w:rPr>
                      <w:rFonts w:hint="default" w:eastAsia="仿宋_GB2312"/>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w:t>
                  </w:r>
                </w:p>
              </w:tc>
              <w:tc>
                <w:tcPr>
                  <w:tcW w:w="524" w:type="pct"/>
                  <w:tcBorders>
                    <w:bottom w:val="single" w:color="auto" w:sz="4" w:space="0"/>
                  </w:tcBorders>
                  <w:vAlign w:val="center"/>
                </w:tcPr>
                <w:p>
                  <w:pPr>
                    <w:pStyle w:val="42"/>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978" w:type="pct"/>
                  <w:vMerge w:val="restart"/>
                  <w:vAlign w:val="center"/>
                </w:tcPr>
                <w:p>
                  <w:pPr>
                    <w:pStyle w:val="42"/>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回收外卖</w:t>
                  </w:r>
                </w:p>
              </w:tc>
              <w:tc>
                <w:tcPr>
                  <w:tcW w:w="359" w:type="pct"/>
                  <w:vMerge w:val="restart"/>
                  <w:vAlign w:val="center"/>
                </w:tcPr>
                <w:p>
                  <w:pPr>
                    <w:pStyle w:val="42"/>
                  </w:pPr>
                  <w:r>
                    <w:t>零排放</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514" w:type="pct"/>
                  <w:vMerge w:val="continue"/>
                  <w:vAlign w:val="center"/>
                </w:tcPr>
                <w:p>
                  <w:pPr>
                    <w:pStyle w:val="42"/>
                    <w:rPr>
                      <w:rFonts w:hint="eastAsia"/>
                      <w:szCs w:val="28"/>
                      <w:lang w:eastAsia="zh-CN"/>
                    </w:rPr>
                  </w:pPr>
                </w:p>
              </w:tc>
              <w:tc>
                <w:tcPr>
                  <w:tcW w:w="792" w:type="pct"/>
                  <w:tcBorders>
                    <w:top w:val="single" w:color="auto" w:sz="4" w:space="0"/>
                  </w:tcBorders>
                  <w:vAlign w:val="center"/>
                </w:tcPr>
                <w:p>
                  <w:pPr>
                    <w:pStyle w:val="42"/>
                    <w:rPr>
                      <w:rFonts w:hint="eastAsia"/>
                      <w:lang w:eastAsia="zh-CN"/>
                    </w:rPr>
                  </w:pPr>
                  <w:r>
                    <w:rPr>
                      <w:rFonts w:hint="eastAsia"/>
                      <w:lang w:eastAsia="zh-CN"/>
                    </w:rPr>
                    <w:t>不合格品</w:t>
                  </w:r>
                </w:p>
              </w:tc>
              <w:tc>
                <w:tcPr>
                  <w:tcW w:w="738" w:type="pct"/>
                  <w:tcBorders>
                    <w:top w:val="single" w:color="auto" w:sz="4" w:space="0"/>
                  </w:tcBorders>
                  <w:vAlign w:val="center"/>
                </w:tcPr>
                <w:p>
                  <w:pPr>
                    <w:pStyle w:val="42"/>
                    <w:rPr>
                      <w:rFonts w:hint="default"/>
                      <w:lang w:val="en-US" w:eastAsia="zh-CN"/>
                    </w:rPr>
                  </w:pPr>
                  <w:r>
                    <w:rPr>
                      <w:rFonts w:hint="eastAsia"/>
                      <w:lang w:val="en-US" w:eastAsia="zh-CN"/>
                    </w:rPr>
                    <w:t>/</w:t>
                  </w:r>
                </w:p>
              </w:tc>
              <w:tc>
                <w:tcPr>
                  <w:tcW w:w="542" w:type="pct"/>
                  <w:tcBorders>
                    <w:top w:val="single" w:color="auto" w:sz="4" w:space="0"/>
                  </w:tcBorders>
                  <w:vAlign w:val="center"/>
                </w:tcPr>
                <w:p>
                  <w:pPr>
                    <w:pStyle w:val="4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w:t>
                  </w:r>
                </w:p>
              </w:tc>
              <w:tc>
                <w:tcPr>
                  <w:tcW w:w="549" w:type="pct"/>
                  <w:tcBorders>
                    <w:top w:val="single" w:color="auto" w:sz="4" w:space="0"/>
                  </w:tcBorders>
                  <w:vAlign w:val="center"/>
                </w:tcPr>
                <w:p>
                  <w:pPr>
                    <w:pStyle w:val="42"/>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w:t>
                  </w:r>
                </w:p>
              </w:tc>
              <w:tc>
                <w:tcPr>
                  <w:tcW w:w="524" w:type="pct"/>
                  <w:tcBorders>
                    <w:top w:val="single" w:color="auto" w:sz="4" w:space="0"/>
                  </w:tcBorders>
                  <w:vAlign w:val="center"/>
                </w:tcPr>
                <w:p>
                  <w:pPr>
                    <w:pStyle w:val="4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w:t>
                  </w:r>
                </w:p>
              </w:tc>
              <w:tc>
                <w:tcPr>
                  <w:tcW w:w="978" w:type="pct"/>
                  <w:vMerge w:val="continue"/>
                  <w:vAlign w:val="center"/>
                </w:tcPr>
                <w:p>
                  <w:pPr>
                    <w:pStyle w:val="42"/>
                    <w:rPr>
                      <w:rFonts w:hint="eastAsia"/>
                      <w:color w:val="000000" w:themeColor="text1"/>
                      <w14:textFill>
                        <w14:solidFill>
                          <w14:schemeClr w14:val="tx1"/>
                        </w14:solidFill>
                      </w14:textFill>
                    </w:rPr>
                  </w:pPr>
                </w:p>
              </w:tc>
              <w:tc>
                <w:tcPr>
                  <w:tcW w:w="359" w:type="pct"/>
                  <w:vMerge w:val="continue"/>
                  <w:vAlign w:val="center"/>
                </w:tcPr>
                <w:p>
                  <w:pPr>
                    <w:pStyle w:val="42"/>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514" w:type="pct"/>
                  <w:tcBorders>
                    <w:right w:val="single" w:color="auto" w:sz="4" w:space="0"/>
                  </w:tcBorders>
                  <w:vAlign w:val="center"/>
                </w:tcPr>
                <w:p>
                  <w:pPr>
                    <w:pStyle w:val="42"/>
                    <w:ind w:firstLine="0" w:firstLineChars="0"/>
                    <w:rPr>
                      <w:rFonts w:hint="eastAsia" w:eastAsia="仿宋_GB2312"/>
                      <w:lang w:eastAsia="zh-CN"/>
                    </w:rPr>
                  </w:pPr>
                  <w:r>
                    <w:rPr>
                      <w:rFonts w:hint="eastAsia"/>
                      <w:szCs w:val="28"/>
                    </w:rPr>
                    <w:t>危险</w:t>
                  </w:r>
                  <w:r>
                    <w:rPr>
                      <w:szCs w:val="28"/>
                    </w:rPr>
                    <w:t>固废</w:t>
                  </w:r>
                </w:p>
              </w:tc>
              <w:tc>
                <w:tcPr>
                  <w:tcW w:w="792" w:type="pct"/>
                  <w:tcBorders>
                    <w:left w:val="single" w:color="auto" w:sz="4" w:space="0"/>
                  </w:tcBorders>
                  <w:vAlign w:val="center"/>
                </w:tcPr>
                <w:p>
                  <w:pPr>
                    <w:pStyle w:val="42"/>
                    <w:ind w:firstLine="0" w:firstLineChars="0"/>
                    <w:rPr>
                      <w:rFonts w:hint="eastAsia" w:eastAsia="仿宋_GB2312"/>
                      <w:lang w:eastAsia="zh-CN"/>
                    </w:rPr>
                  </w:pPr>
                  <w:r>
                    <w:rPr>
                      <w:rFonts w:hint="eastAsia"/>
                    </w:rPr>
                    <w:t>废</w:t>
                  </w:r>
                  <w:r>
                    <w:rPr>
                      <w:rFonts w:hint="eastAsia"/>
                      <w:lang w:eastAsia="zh-CN"/>
                    </w:rPr>
                    <w:t>活性炭</w:t>
                  </w:r>
                </w:p>
              </w:tc>
              <w:tc>
                <w:tcPr>
                  <w:tcW w:w="738" w:type="pct"/>
                  <w:vAlign w:val="center"/>
                </w:tcPr>
                <w:p>
                  <w:pPr>
                    <w:pStyle w:val="42"/>
                    <w:ind w:firstLine="0" w:firstLineChars="0"/>
                    <w:rPr>
                      <w:rFonts w:hint="default" w:eastAsia="仿宋_GB2312"/>
                      <w:color w:val="000000" w:themeColor="text1"/>
                      <w:lang w:val="en-US" w:eastAsia="zh-CN"/>
                      <w14:textFill>
                        <w14:solidFill>
                          <w14:schemeClr w14:val="tx1"/>
                        </w14:solidFill>
                      </w14:textFill>
                    </w:rPr>
                  </w:pPr>
                  <w:r>
                    <w:rPr>
                      <w:rFonts w:hint="eastAsia"/>
                      <w:lang w:val="en-US" w:eastAsia="zh-CN"/>
                    </w:rPr>
                    <w:t>HW49：</w:t>
                  </w:r>
                  <w:r>
                    <w:rPr>
                      <w:rFonts w:hint="eastAsia"/>
                    </w:rPr>
                    <w:t>900-041-49</w:t>
                  </w:r>
                </w:p>
              </w:tc>
              <w:tc>
                <w:tcPr>
                  <w:tcW w:w="542" w:type="pct"/>
                  <w:vAlign w:val="center"/>
                </w:tcPr>
                <w:p>
                  <w:pPr>
                    <w:pStyle w:val="42"/>
                    <w:ind w:firstLine="0" w:firstLineChars="0"/>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4.0</w:t>
                  </w:r>
                </w:p>
              </w:tc>
              <w:tc>
                <w:tcPr>
                  <w:tcW w:w="549" w:type="pct"/>
                  <w:vAlign w:val="center"/>
                </w:tcPr>
                <w:p>
                  <w:pPr>
                    <w:pStyle w:val="42"/>
                    <w:ind w:firstLine="0"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w:t>
                  </w:r>
                </w:p>
              </w:tc>
              <w:tc>
                <w:tcPr>
                  <w:tcW w:w="524" w:type="pct"/>
                  <w:vAlign w:val="center"/>
                </w:tcPr>
                <w:p>
                  <w:pPr>
                    <w:pStyle w:val="42"/>
                    <w:ind w:firstLine="0" w:firstLineChars="0"/>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8" w:type="pct"/>
                  <w:vAlign w:val="center"/>
                </w:tcPr>
                <w:p>
                  <w:pPr>
                    <w:pStyle w:val="4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委托</w:t>
                  </w:r>
                  <w:r>
                    <w:rPr>
                      <w:rFonts w:hint="eastAsia"/>
                      <w:color w:val="000000" w:themeColor="text1"/>
                      <w:lang w:eastAsia="zh-CN"/>
                      <w14:textFill>
                        <w14:solidFill>
                          <w14:schemeClr w14:val="tx1"/>
                        </w14:solidFill>
                      </w14:textFill>
                    </w:rPr>
                    <w:t>扬州东晟固废环保处理</w:t>
                  </w:r>
                  <w:r>
                    <w:rPr>
                      <w:rFonts w:hint="eastAsia"/>
                      <w:color w:val="000000" w:themeColor="text1"/>
                      <w14:textFill>
                        <w14:solidFill>
                          <w14:schemeClr w14:val="tx1"/>
                        </w14:solidFill>
                      </w14:textFill>
                    </w:rPr>
                    <w:t>有限公司处理</w:t>
                  </w:r>
                </w:p>
              </w:tc>
              <w:tc>
                <w:tcPr>
                  <w:tcW w:w="359" w:type="pct"/>
                  <w:vMerge w:val="continue"/>
                  <w:vAlign w:val="center"/>
                </w:tcPr>
                <w:p>
                  <w:pPr>
                    <w:pStyle w:val="42"/>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3" w:hRule="atLeast"/>
                <w:jc w:val="center"/>
              </w:trPr>
              <w:tc>
                <w:tcPr>
                  <w:tcW w:w="514" w:type="pct"/>
                  <w:tcBorders>
                    <w:right w:val="single" w:color="auto" w:sz="4" w:space="0"/>
                  </w:tcBorders>
                  <w:vAlign w:val="center"/>
                </w:tcPr>
                <w:p>
                  <w:pPr>
                    <w:pStyle w:val="42"/>
                    <w:ind w:firstLine="0" w:firstLineChars="0"/>
                    <w:rPr>
                      <w:rFonts w:hint="eastAsia" w:ascii="Times New Roman" w:hAnsi="Times New Roman" w:eastAsia="仿宋_GB2312" w:cs="Times New Roman"/>
                      <w:kern w:val="2"/>
                      <w:sz w:val="21"/>
                      <w:szCs w:val="21"/>
                      <w:lang w:val="en-US" w:eastAsia="zh-CN" w:bidi="ar-SA"/>
                    </w:rPr>
                  </w:pPr>
                  <w:r>
                    <w:rPr>
                      <w:rFonts w:hint="eastAsia"/>
                      <w:lang w:eastAsia="zh-CN"/>
                    </w:rPr>
                    <w:t>职工</w:t>
                  </w:r>
                </w:p>
              </w:tc>
              <w:tc>
                <w:tcPr>
                  <w:tcW w:w="792" w:type="pct"/>
                  <w:tcBorders>
                    <w:left w:val="single" w:color="auto" w:sz="4" w:space="0"/>
                  </w:tcBorders>
                  <w:vAlign w:val="center"/>
                </w:tcPr>
                <w:p>
                  <w:pPr>
                    <w:pStyle w:val="42"/>
                    <w:ind w:firstLine="0" w:firstLineChars="0"/>
                    <w:rPr>
                      <w:rFonts w:hint="eastAsia" w:ascii="Times New Roman" w:hAnsi="Times New Roman" w:eastAsia="仿宋_GB2312" w:cs="Times New Roman"/>
                      <w:kern w:val="2"/>
                      <w:sz w:val="21"/>
                      <w:szCs w:val="21"/>
                      <w:lang w:val="en-US" w:eastAsia="zh-CN" w:bidi="ar-SA"/>
                    </w:rPr>
                  </w:pPr>
                  <w:r>
                    <w:rPr>
                      <w:rFonts w:hint="eastAsia"/>
                      <w:lang w:eastAsia="zh-CN"/>
                    </w:rPr>
                    <w:t>生活垃圾</w:t>
                  </w:r>
                </w:p>
              </w:tc>
              <w:tc>
                <w:tcPr>
                  <w:tcW w:w="738" w:type="pct"/>
                  <w:vAlign w:val="center"/>
                </w:tcPr>
                <w:p>
                  <w:pPr>
                    <w:pStyle w:val="42"/>
                    <w:ind w:firstLine="0" w:firstLineChars="0"/>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542" w:type="pct"/>
                  <w:vAlign w:val="center"/>
                </w:tcPr>
                <w:p>
                  <w:pPr>
                    <w:pStyle w:val="42"/>
                    <w:ind w:firstLine="0" w:firstLineChars="0"/>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549" w:type="pct"/>
                  <w:vAlign w:val="center"/>
                </w:tcPr>
                <w:p>
                  <w:pPr>
                    <w:pStyle w:val="42"/>
                    <w:ind w:firstLine="0" w:firstLineChars="0"/>
                    <w:rPr>
                      <w:rFonts w:hint="eastAsia" w:ascii="Times New Roman" w:hAnsi="Times New Roman" w:eastAsia="仿宋_GB2312"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0</w:t>
                  </w:r>
                </w:p>
              </w:tc>
              <w:tc>
                <w:tcPr>
                  <w:tcW w:w="524" w:type="pct"/>
                  <w:vAlign w:val="center"/>
                </w:tcPr>
                <w:p>
                  <w:pPr>
                    <w:pStyle w:val="42"/>
                    <w:ind w:firstLine="0" w:firstLineChars="0"/>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8" w:type="pct"/>
                  <w:vAlign w:val="center"/>
                </w:tcPr>
                <w:p>
                  <w:pPr>
                    <w:pStyle w:val="42"/>
                    <w:ind w:firstLine="0" w:firstLineChars="0"/>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由苏州市</w:t>
                  </w:r>
                  <w:r>
                    <w:rPr>
                      <w:rFonts w:hint="eastAsia"/>
                      <w:color w:val="000000" w:themeColor="text1"/>
                      <w:lang w:eastAsia="zh-CN"/>
                      <w14:textFill>
                        <w14:solidFill>
                          <w14:schemeClr w14:val="tx1"/>
                        </w14:solidFill>
                      </w14:textFill>
                    </w:rPr>
                    <w:t>阳山市政工程管理</w:t>
                  </w:r>
                  <w:r>
                    <w:rPr>
                      <w:rFonts w:hint="eastAsia"/>
                      <w:color w:val="000000" w:themeColor="text1"/>
                      <w14:textFill>
                        <w14:solidFill>
                          <w14:schemeClr w14:val="tx1"/>
                        </w14:solidFill>
                      </w14:textFill>
                    </w:rPr>
                    <w:t>有限公司代处理</w:t>
                  </w:r>
                </w:p>
              </w:tc>
              <w:tc>
                <w:tcPr>
                  <w:tcW w:w="359" w:type="pct"/>
                  <w:vMerge w:val="continue"/>
                  <w:vAlign w:val="center"/>
                </w:tcPr>
                <w:p>
                  <w:pPr>
                    <w:pStyle w:val="42"/>
                  </w:pPr>
                </w:p>
              </w:tc>
            </w:tr>
          </w:tbl>
          <w:p>
            <w:pPr>
              <w:spacing w:line="20" w:lineRule="exact"/>
              <w:rPr>
                <w:rFonts w:ascii="Times New Roman" w:hAnsi="Times New Roman" w:eastAsia="仿宋_GB2312" w:cs="Times New Roman"/>
                <w:sz w:val="28"/>
                <w:szCs w:val="28"/>
              </w:rPr>
            </w:pPr>
          </w:p>
          <w:p>
            <w:pPr>
              <w:spacing w:line="280" w:lineRule="exact"/>
              <w:rPr>
                <w:rFonts w:ascii="Times New Roman" w:hAnsi="Times New Roman" w:eastAsia="仿宋_GB2312" w:cs="Times New Roman"/>
                <w:szCs w:val="21"/>
              </w:rPr>
            </w:pPr>
          </w:p>
        </w:tc>
      </w:tr>
    </w:tbl>
    <w:p>
      <w:pPr>
        <w:rPr>
          <w:rFonts w:ascii="Times New Roman" w:hAnsi="Times New Roman" w:eastAsia="仿宋_GB2312" w:cs="Times New Roman"/>
          <w:color w:val="FF0000"/>
        </w:rPr>
        <w:sectPr>
          <w:pgSz w:w="11906" w:h="16838"/>
          <w:pgMar w:top="1440" w:right="1800" w:bottom="1440" w:left="1800" w:header="851" w:footer="992" w:gutter="0"/>
          <w:cols w:space="425" w:num="1"/>
          <w:docGrid w:type="lines" w:linePitch="312" w:charSpace="0"/>
        </w:sectPr>
      </w:pPr>
    </w:p>
    <w:p>
      <w:pPr>
        <w:pStyle w:val="37"/>
      </w:pPr>
      <w:r>
        <w:t>表</w:t>
      </w:r>
      <w:r>
        <w:rPr>
          <w:rFonts w:hint="eastAsia"/>
        </w:rPr>
        <w:t>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5" w:hRule="atLeast"/>
        </w:trPr>
        <w:tc>
          <w:tcPr>
            <w:tcW w:w="5000" w:type="pct"/>
          </w:tcPr>
          <w:p>
            <w:pPr>
              <w:pStyle w:val="35"/>
            </w:pPr>
            <w:r>
              <w:t>建设项目环境影响</w:t>
            </w:r>
            <w:r>
              <w:rPr>
                <w:rFonts w:hint="eastAsia"/>
              </w:rPr>
              <w:t>登记</w:t>
            </w:r>
            <w:r>
              <w:t>表</w:t>
            </w:r>
            <w:r>
              <w:rPr>
                <w:rFonts w:hint="eastAsia"/>
              </w:rPr>
              <w:t>审批决定</w:t>
            </w:r>
            <w:r>
              <w:t>：</w:t>
            </w:r>
          </w:p>
          <w:p>
            <w:pPr>
              <w:pStyle w:val="40"/>
            </w:pPr>
            <w:r>
              <w:t>表</w:t>
            </w:r>
            <w:r>
              <w:rPr>
                <w:rFonts w:hint="eastAsia"/>
              </w:rPr>
              <w:t>5</w:t>
            </w:r>
            <w:r>
              <w:t>-</w:t>
            </w:r>
            <w:r>
              <w:rPr>
                <w:rFonts w:hint="eastAsia"/>
              </w:rPr>
              <w:t>1</w:t>
            </w:r>
            <w:r>
              <w:t xml:space="preserve"> 审批部门审批决定</w:t>
            </w:r>
          </w:p>
          <w:tbl>
            <w:tblPr>
              <w:tblStyle w:val="10"/>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153"/>
              <w:gridCol w:w="415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499" w:type="pct"/>
                  <w:tcBorders>
                    <w:top w:val="single" w:color="000000" w:sz="12" w:space="0"/>
                    <w:bottom w:val="single" w:color="000000" w:sz="12" w:space="0"/>
                  </w:tcBorders>
                  <w:vAlign w:val="center"/>
                </w:tcPr>
                <w:p>
                  <w:pPr>
                    <w:pStyle w:val="24"/>
                    <w:rPr>
                      <w:rFonts w:eastAsia="仿宋_GB2312" w:cs="Times New Roman"/>
                      <w:b/>
                      <w:bCs/>
                    </w:rPr>
                  </w:pPr>
                  <w:r>
                    <w:rPr>
                      <w:rFonts w:eastAsia="仿宋_GB2312" w:cs="Times New Roman"/>
                      <w:b/>
                      <w:bCs/>
                    </w:rPr>
                    <w:t>该项目</w:t>
                  </w:r>
                  <w:r>
                    <w:rPr>
                      <w:rFonts w:hint="eastAsia" w:eastAsia="仿宋_GB2312" w:cs="Times New Roman"/>
                      <w:b/>
                      <w:bCs/>
                    </w:rPr>
                    <w:t>审批</w:t>
                  </w:r>
                  <w:r>
                    <w:rPr>
                      <w:rFonts w:eastAsia="仿宋_GB2312" w:cs="Times New Roman"/>
                      <w:b/>
                      <w:bCs/>
                    </w:rPr>
                    <w:t>意见</w:t>
                  </w:r>
                </w:p>
              </w:tc>
              <w:tc>
                <w:tcPr>
                  <w:tcW w:w="2500" w:type="pct"/>
                  <w:tcBorders>
                    <w:top w:val="single" w:color="000000" w:sz="12" w:space="0"/>
                    <w:bottom w:val="single" w:color="000000" w:sz="12" w:space="0"/>
                  </w:tcBorders>
                  <w:vAlign w:val="center"/>
                </w:tcPr>
                <w:p>
                  <w:pPr>
                    <w:pStyle w:val="24"/>
                    <w:rPr>
                      <w:rFonts w:eastAsia="仿宋_GB2312" w:cs="Times New Roman"/>
                      <w:b/>
                      <w:bCs/>
                    </w:rPr>
                  </w:pPr>
                  <w:r>
                    <w:rPr>
                      <w:rFonts w:eastAsia="仿宋_GB2312" w:cs="Times New Roman"/>
                      <w:b/>
                      <w:bCs/>
                    </w:rPr>
                    <w:t>实际执行情况检查结果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2499" w:type="pct"/>
                  <w:vAlign w:val="center"/>
                </w:tcPr>
                <w:p>
                  <w:pPr>
                    <w:pStyle w:val="24"/>
                    <w:jc w:val="left"/>
                    <w:rPr>
                      <w:rFonts w:eastAsia="仿宋_GB2312" w:cs="Times New Roman"/>
                    </w:rPr>
                  </w:pPr>
                  <w:r>
                    <w:rPr>
                      <w:rFonts w:eastAsia="仿宋_GB2312" w:cs="Times New Roman"/>
                    </w:rPr>
                    <w:t>1、项目工程设计、建设和环境管理中，必须切实落实《报告表》中提出的各项环保要求和污染防治措施，确保各污染物达标排放，不得使用废塑料用于生产加工。</w:t>
                  </w:r>
                </w:p>
              </w:tc>
              <w:tc>
                <w:tcPr>
                  <w:tcW w:w="2500" w:type="pct"/>
                  <w:vAlign w:val="center"/>
                </w:tcPr>
                <w:p>
                  <w:pPr>
                    <w:pStyle w:val="24"/>
                    <w:jc w:val="center"/>
                    <w:rPr>
                      <w:rFonts w:eastAsia="仿宋_GB2312" w:cs="Times New Roman"/>
                    </w:rPr>
                  </w:pPr>
                  <w:r>
                    <w:rPr>
                      <w:rFonts w:eastAsia="仿宋_GB2312" w:cs="Times New Roman"/>
                    </w:rPr>
                    <w:t>项目工程设计、建设和环境管理中，切实落实《报告表》中提出的各项环保要求和污染防治措施，经检测各污染物达标排放，未使用废塑料用于生产加工。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68" w:hRule="atLeast"/>
                <w:jc w:val="center"/>
              </w:trPr>
              <w:tc>
                <w:tcPr>
                  <w:tcW w:w="2499" w:type="pct"/>
                  <w:vAlign w:val="center"/>
                </w:tcPr>
                <w:p>
                  <w:pPr>
                    <w:pStyle w:val="24"/>
                    <w:jc w:val="left"/>
                    <w:rPr>
                      <w:rFonts w:eastAsia="仿宋_GB2312" w:cs="Times New Roman"/>
                    </w:rPr>
                  </w:pPr>
                  <w:r>
                    <w:rPr>
                      <w:rFonts w:eastAsia="仿宋_GB2312" w:cs="Times New Roman"/>
                    </w:rPr>
                    <w:t>2、厂区实行雨、污分流。该项目无生产废水，冷却水同生活污水一并排入市政污水管网，废水排放执行《污水综合排放标准》( GB8978-1996)三级标准，氨氮、总磷和总氮执行《污水排入城镇下水道水质标准》(CJ343-2010) 表1标准。</w:t>
                  </w:r>
                </w:p>
              </w:tc>
              <w:tc>
                <w:tcPr>
                  <w:tcW w:w="2500" w:type="pct"/>
                  <w:vAlign w:val="center"/>
                </w:tcPr>
                <w:p>
                  <w:pPr>
                    <w:pStyle w:val="24"/>
                    <w:jc w:val="center"/>
                    <w:rPr>
                      <w:rFonts w:eastAsia="仿宋_GB2312" w:cs="Times New Roman"/>
                    </w:rPr>
                  </w:pPr>
                  <w:r>
                    <w:rPr>
                      <w:rFonts w:eastAsia="仿宋_GB2312" w:cs="Times New Roman"/>
                    </w:rPr>
                    <w:t>厂区实行雨、污分流。该项目无生产废水，冷却水同生活污水一并排入市政污水管网，废水排放执行《污水综合排放标准》( GB8978-1996)三级标准，因《污水排入城镇下水道水质标准》(CJ343-2010)已废止，氨氮、总磷执行《污水排入城镇下水道水质标准》(GB/T31962-2015) 表1B级标准。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68" w:hRule="atLeast"/>
                <w:jc w:val="center"/>
              </w:trPr>
              <w:tc>
                <w:tcPr>
                  <w:tcW w:w="2499" w:type="pct"/>
                  <w:vAlign w:val="center"/>
                </w:tcPr>
                <w:p>
                  <w:pPr>
                    <w:pStyle w:val="24"/>
                    <w:jc w:val="left"/>
                    <w:rPr>
                      <w:rFonts w:eastAsia="仿宋_GB2312" w:cs="Times New Roman"/>
                    </w:rPr>
                  </w:pPr>
                  <w:r>
                    <w:rPr>
                      <w:rFonts w:eastAsia="仿宋_GB2312" w:cs="Times New Roman"/>
                    </w:rPr>
                    <w:t>3、加强废气排放管理，注塑废气经收集处理后通过15米高排气简排放，非甲烷总烃排放执行《大气污染物综合排放标准》(GB16296-1996)表2二级标准。严格执行《报告表》中提出的卫生防护距离要求。</w:t>
                  </w:r>
                </w:p>
              </w:tc>
              <w:tc>
                <w:tcPr>
                  <w:tcW w:w="2500" w:type="pct"/>
                  <w:vAlign w:val="center"/>
                </w:tcPr>
                <w:p>
                  <w:pPr>
                    <w:pStyle w:val="24"/>
                    <w:jc w:val="center"/>
                    <w:rPr>
                      <w:rFonts w:eastAsia="仿宋_GB2312" w:cs="Times New Roman"/>
                    </w:rPr>
                  </w:pPr>
                  <w:r>
                    <w:rPr>
                      <w:rFonts w:eastAsia="仿宋_GB2312" w:cs="Times New Roman"/>
                    </w:rPr>
                    <w:t>本项目注塑废气经集气罩收集后进入活性炭吸附装置</w:t>
                  </w:r>
                  <w:r>
                    <w:rPr>
                      <w:rFonts w:hint="eastAsia" w:eastAsia="仿宋_GB2312" w:cs="Times New Roman"/>
                    </w:rPr>
                    <w:t>+低温等离子设备</w:t>
                  </w:r>
                  <w:r>
                    <w:rPr>
                      <w:rFonts w:eastAsia="仿宋_GB2312" w:cs="Times New Roman"/>
                    </w:rPr>
                    <w:t>处理后通过15米高排气简排放，非甲烷总烃排放执行《大气污染物综合排放标准》(GB16296-1996)表2二级标准。已按《报告表》要求设置100米卫生防护距离，卫生防护距离内无居民等环境敏感点。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2499" w:type="pct"/>
                  <w:vAlign w:val="center"/>
                </w:tcPr>
                <w:p>
                  <w:pPr>
                    <w:pStyle w:val="24"/>
                    <w:jc w:val="left"/>
                    <w:rPr>
                      <w:rFonts w:eastAsia="仿宋_GB2312" w:cs="Times New Roman"/>
                    </w:rPr>
                  </w:pPr>
                  <w:r>
                    <w:rPr>
                      <w:rFonts w:eastAsia="仿宋_GB2312" w:cs="Times New Roman"/>
                    </w:rPr>
                    <w:t>4、采取切实有效的隔音降噪措施，确保厂界噪声排放达到《工业企业厂界环境噪声排放标准》(GB12348- 2008) 3类标准，昼间≤65dB(A)，夜间≤55dB (A)。</w:t>
                  </w:r>
                </w:p>
              </w:tc>
              <w:tc>
                <w:tcPr>
                  <w:tcW w:w="2500" w:type="pct"/>
                  <w:vAlign w:val="center"/>
                </w:tcPr>
                <w:p>
                  <w:pPr>
                    <w:pStyle w:val="24"/>
                    <w:jc w:val="center"/>
                    <w:rPr>
                      <w:rFonts w:eastAsia="仿宋_GB2312" w:cs="Times New Roman"/>
                    </w:rPr>
                  </w:pPr>
                  <w:r>
                    <w:rPr>
                      <w:rFonts w:eastAsia="仿宋_GB2312" w:cs="Times New Roman"/>
                    </w:rPr>
                    <w:t>已选用低噪声设备、合理布局，并采取有效的减振、隔声措施，经检测厂界噪声达到《工业企业厂界环境噪声排放标准》(GB12348-2008)3类标准要求。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883" w:hRule="atLeast"/>
                <w:jc w:val="center"/>
              </w:trPr>
              <w:tc>
                <w:tcPr>
                  <w:tcW w:w="2499" w:type="pct"/>
                  <w:vAlign w:val="center"/>
                </w:tcPr>
                <w:p>
                  <w:pPr>
                    <w:pStyle w:val="24"/>
                    <w:jc w:val="left"/>
                    <w:rPr>
                      <w:rFonts w:hint="eastAsia" w:eastAsia="仿宋_GB2312" w:cs="Times New Roman"/>
                    </w:rPr>
                  </w:pPr>
                  <w:r>
                    <w:rPr>
                      <w:rFonts w:eastAsia="仿宋_GB2312" w:cs="Times New Roman"/>
                    </w:rPr>
                    <w:t>5、固体废物分类收集妥善处置或利用，不得排放。危险废物根据就近处置原则，鼓励企业委托区内有资质单位进行处理，并执行危险废物转移联单制度.</w:t>
                  </w:r>
                </w:p>
              </w:tc>
              <w:tc>
                <w:tcPr>
                  <w:tcW w:w="2500" w:type="pct"/>
                  <w:vAlign w:val="center"/>
                </w:tcPr>
                <w:p>
                  <w:pPr>
                    <w:pStyle w:val="24"/>
                    <w:jc w:val="center"/>
                    <w:rPr>
                      <w:rFonts w:eastAsia="仿宋_GB2312" w:cs="Times New Roman"/>
                    </w:rPr>
                  </w:pPr>
                  <w:r>
                    <w:rPr>
                      <w:rFonts w:eastAsia="仿宋_GB2312" w:cs="Times New Roman"/>
                    </w:rPr>
                    <w:t>已落实各类固体废物的分类收集处理处置和综合利用措施，固体废物“零排放”，其中危险废物已委托具备危险废物处理、经营许可证的单位进行处理，且执行危险废物转移联单制度。厂内危险废物暂存场所符合《危险废物贮存污染控制标准》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221" w:hRule="atLeast"/>
                <w:jc w:val="center"/>
              </w:trPr>
              <w:tc>
                <w:tcPr>
                  <w:tcW w:w="2499" w:type="pct"/>
                  <w:vAlign w:val="center"/>
                </w:tcPr>
                <w:p>
                  <w:pPr>
                    <w:pStyle w:val="24"/>
                    <w:jc w:val="left"/>
                    <w:rPr>
                      <w:rFonts w:hint="eastAsia" w:eastAsia="仿宋_GB2312" w:cs="Times New Roman"/>
                    </w:rPr>
                  </w:pPr>
                  <w:r>
                    <w:rPr>
                      <w:rFonts w:eastAsia="仿宋_GB2312" w:cs="Times New Roman"/>
                    </w:rPr>
                    <w:t>6、你公司须积极推广循环经济理念，实施清洁生产措施，贯彻IS014000标准。</w:t>
                  </w:r>
                </w:p>
              </w:tc>
              <w:tc>
                <w:tcPr>
                  <w:tcW w:w="2500" w:type="pct"/>
                  <w:vAlign w:val="center"/>
                </w:tcPr>
                <w:p>
                  <w:pPr>
                    <w:pStyle w:val="24"/>
                    <w:jc w:val="center"/>
                    <w:rPr>
                      <w:rFonts w:eastAsia="仿宋_GB2312" w:cs="Times New Roman"/>
                    </w:rPr>
                  </w:pPr>
                  <w:r>
                    <w:rPr>
                      <w:rFonts w:eastAsia="仿宋_GB2312" w:cs="Times New Roman"/>
                    </w:rPr>
                    <w:t>积极推广循环经济理念，实施清洁生产措施，贯彻IS014000标准。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68" w:hRule="atLeast"/>
                <w:jc w:val="center"/>
              </w:trPr>
              <w:tc>
                <w:tcPr>
                  <w:tcW w:w="2499" w:type="pct"/>
                  <w:vAlign w:val="center"/>
                </w:tcPr>
                <w:p>
                  <w:pPr>
                    <w:pStyle w:val="24"/>
                    <w:jc w:val="left"/>
                    <w:rPr>
                      <w:rFonts w:hint="eastAsia" w:eastAsia="仿宋_GB2312" w:cs="Times New Roman"/>
                    </w:rPr>
                  </w:pPr>
                  <w:r>
                    <w:rPr>
                      <w:rFonts w:eastAsia="仿宋_GB2312" w:cs="Times New Roman"/>
                    </w:rPr>
                    <w:t>7、排污口设置按《江苏省排污口设置及规范化整治管理办法》(苏环控[1997]122号文)的要求执行。各类污染物排放口设置监测采样口并安装环保标志牌。</w:t>
                  </w:r>
                </w:p>
              </w:tc>
              <w:tc>
                <w:tcPr>
                  <w:tcW w:w="2500" w:type="pct"/>
                  <w:vAlign w:val="center"/>
                </w:tcPr>
                <w:p>
                  <w:pPr>
                    <w:pStyle w:val="24"/>
                    <w:rPr>
                      <w:rFonts w:eastAsia="仿宋_GB2312" w:cs="Times New Roman"/>
                    </w:rPr>
                  </w:pPr>
                  <w:r>
                    <w:rPr>
                      <w:rFonts w:eastAsia="仿宋_GB2312" w:cs="Times New Roman"/>
                    </w:rPr>
                    <w:t>已规范各类排污口及标识。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2499" w:type="pct"/>
                  <w:vAlign w:val="center"/>
                </w:tcPr>
                <w:p>
                  <w:pPr>
                    <w:pStyle w:val="24"/>
                    <w:jc w:val="left"/>
                    <w:rPr>
                      <w:rFonts w:hint="eastAsia" w:eastAsia="仿宋_GB2312" w:cs="Times New Roman"/>
                    </w:rPr>
                  </w:pPr>
                  <w:r>
                    <w:rPr>
                      <w:rFonts w:eastAsia="仿宋_GB2312" w:cs="Times New Roman"/>
                    </w:rPr>
                    <w:t>8、建设单位须采取有效的环境风险防范措施和应急措施，制定《突发环境事件应急预案》，建立完善的监控、监测及报警系统，防止各类污染事故发生。</w:t>
                  </w:r>
                </w:p>
              </w:tc>
              <w:tc>
                <w:tcPr>
                  <w:tcW w:w="2500" w:type="pct"/>
                  <w:vAlign w:val="center"/>
                </w:tcPr>
                <w:p>
                  <w:pPr>
                    <w:pStyle w:val="24"/>
                    <w:rPr>
                      <w:rFonts w:eastAsia="仿宋_GB2312" w:cs="Times New Roman"/>
                    </w:rPr>
                  </w:pPr>
                  <w:r>
                    <w:rPr>
                      <w:rFonts w:eastAsia="仿宋_GB2312" w:cs="Times New Roman"/>
                    </w:rPr>
                    <w:t>已经做好相关工作。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2499" w:type="pct"/>
                  <w:vAlign w:val="center"/>
                </w:tcPr>
                <w:p>
                  <w:pPr>
                    <w:pStyle w:val="24"/>
                    <w:jc w:val="left"/>
                    <w:rPr>
                      <w:rFonts w:hint="eastAsia" w:eastAsia="仿宋_GB2312" w:cs="Times New Roman"/>
                    </w:rPr>
                  </w:pPr>
                  <w:r>
                    <w:rPr>
                      <w:rFonts w:eastAsia="仿宋_GB2312" w:cs="Times New Roman"/>
                    </w:rPr>
                    <w:t>9、项目经我局验收合格后方可正式生产。</w:t>
                  </w:r>
                </w:p>
              </w:tc>
              <w:tc>
                <w:tcPr>
                  <w:tcW w:w="2500" w:type="pct"/>
                  <w:vAlign w:val="center"/>
                </w:tcPr>
                <w:p>
                  <w:pPr>
                    <w:pStyle w:val="24"/>
                    <w:rPr>
                      <w:rFonts w:eastAsia="仿宋_GB2312" w:cs="Times New Roman"/>
                    </w:rPr>
                  </w:pPr>
                  <w:r>
                    <w:rPr>
                      <w:rFonts w:eastAsia="仿宋_GB2312" w:cs="Times New Roman"/>
                    </w:rPr>
                    <w:t>正在进行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5" w:hRule="atLeast"/>
                <w:jc w:val="center"/>
              </w:trPr>
              <w:tc>
                <w:tcPr>
                  <w:tcW w:w="2499" w:type="pct"/>
                  <w:vAlign w:val="center"/>
                </w:tcPr>
                <w:p>
                  <w:pPr>
                    <w:pStyle w:val="24"/>
                    <w:jc w:val="left"/>
                    <w:rPr>
                      <w:rFonts w:eastAsia="仿宋_GB2312" w:cs="Times New Roman"/>
                    </w:rPr>
                  </w:pPr>
                  <w:r>
                    <w:rPr>
                      <w:rFonts w:eastAsia="仿宋_GB2312" w:cs="Times New Roman"/>
                    </w:rPr>
                    <w:t>10、本批复自审批之日起有效期5年。本项目5年后方开工建设或项目的性质、规模、地点、采用的生产工艺或拟采用的防治污染措施发生重大变化的，你公司须重新报批该项目环境影响评价文件。</w:t>
                  </w:r>
                </w:p>
              </w:tc>
              <w:tc>
                <w:tcPr>
                  <w:tcW w:w="2500" w:type="pct"/>
                  <w:vAlign w:val="center"/>
                </w:tcPr>
                <w:p>
                  <w:pPr>
                    <w:pStyle w:val="24"/>
                    <w:rPr>
                      <w:rFonts w:eastAsia="仿宋_GB2312" w:cs="Times New Roman"/>
                    </w:rPr>
                  </w:pPr>
                  <w:r>
                    <w:rPr>
                      <w:rFonts w:eastAsia="仿宋_GB2312" w:cs="Times New Roman"/>
                    </w:rPr>
                    <w:t>已在规定时间内建设完毕</w:t>
                  </w:r>
                </w:p>
              </w:tc>
            </w:tr>
          </w:tbl>
          <w:p>
            <w:pPr>
              <w:tabs>
                <w:tab w:val="left" w:pos="615"/>
              </w:tabs>
              <w:spacing w:line="500" w:lineRule="exact"/>
              <w:jc w:val="center"/>
              <w:rPr>
                <w:rFonts w:ascii="Times New Roman" w:hAnsi="Times New Roman" w:eastAsia="仿宋_GB2312" w:cs="Times New Roman"/>
                <w:color w:val="FF0000"/>
                <w:sz w:val="28"/>
                <w:szCs w:val="28"/>
              </w:rPr>
            </w:pPr>
          </w:p>
        </w:tc>
      </w:tr>
    </w:tbl>
    <w:p>
      <w:pPr>
        <w:pStyle w:val="37"/>
      </w:pPr>
    </w:p>
    <w:p>
      <w:pPr>
        <w:pStyle w:val="37"/>
      </w:pPr>
      <w:r>
        <w:t>表</w:t>
      </w:r>
      <w:r>
        <w:rPr>
          <w:rFonts w:hint="eastAsia"/>
        </w:rPr>
        <w:t>六</w:t>
      </w:r>
    </w:p>
    <w:tbl>
      <w:tblPr>
        <w:tblStyle w:val="10"/>
        <w:tblW w:w="9066"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8" w:hRule="atLeast"/>
        </w:trPr>
        <w:tc>
          <w:tcPr>
            <w:tcW w:w="9066" w:type="dxa"/>
          </w:tcPr>
          <w:p>
            <w:pPr>
              <w:pStyle w:val="35"/>
            </w:pPr>
            <w:r>
              <w:t>验收监测期间生产工况记录</w:t>
            </w:r>
          </w:p>
          <w:p>
            <w:pPr>
              <w:pStyle w:val="34"/>
              <w:ind w:firstLine="560"/>
            </w:pPr>
            <w:r>
              <w:t>本次是对</w:t>
            </w:r>
            <w:r>
              <w:rPr>
                <w:rFonts w:hint="eastAsia"/>
              </w:rPr>
              <w:t>苏州</w:t>
            </w:r>
            <w:r>
              <w:rPr>
                <w:rFonts w:cs="Times New Roman"/>
              </w:rPr>
              <w:t>源顺祥新材料有限公司年产塑料制品1500吨新建项目的竣工环境保护验收</w:t>
            </w:r>
            <w:r>
              <w:t>。苏州国泰环境检测有限公司于</w:t>
            </w:r>
            <w:r>
              <w:rPr>
                <w:rFonts w:cs="Times New Roman"/>
              </w:rPr>
              <w:t>2019年7月01日-02日</w:t>
            </w:r>
            <w:r>
              <w:t>，对该项目环境保护设施建设、管理和运行进行了全面考核和检查。检查结果为验收期间各设施运行正常、工况稳定，已达到设计生产能力要求，符合验收监测要求，具体生产情况见表7-1。</w:t>
            </w:r>
          </w:p>
          <w:p>
            <w:pPr>
              <w:pStyle w:val="40"/>
            </w:pPr>
            <w:r>
              <w:t>表7-1验收期间产能情况一览表</w:t>
            </w:r>
          </w:p>
          <w:tbl>
            <w:tblPr>
              <w:tblStyle w:val="11"/>
              <w:tblW w:w="5000" w:type="pct"/>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418"/>
              <w:gridCol w:w="1451"/>
              <w:gridCol w:w="1843"/>
              <w:gridCol w:w="1559"/>
              <w:gridCol w:w="1418"/>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pct"/>
                  <w:vAlign w:val="center"/>
                </w:tcPr>
                <w:p>
                  <w:pP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监测日期</w:t>
                  </w:r>
                </w:p>
              </w:tc>
              <w:tc>
                <w:tcPr>
                  <w:tcW w:w="801" w:type="pct"/>
                  <w:vAlign w:val="center"/>
                </w:tcPr>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产品名称</w:t>
                  </w:r>
                </w:p>
              </w:tc>
              <w:tc>
                <w:tcPr>
                  <w:tcW w:w="820" w:type="pct"/>
                  <w:vAlign w:val="center"/>
                </w:tcPr>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设计日产量（</w:t>
                  </w:r>
                  <w:r>
                    <w:rPr>
                      <w:rFonts w:hint="eastAsia" w:ascii="Times New Roman" w:hAnsi="Times New Roman" w:eastAsia="仿宋_GB2312" w:cs="Times New Roman"/>
                      <w:b/>
                      <w:bCs/>
                      <w:kern w:val="0"/>
                      <w:szCs w:val="21"/>
                      <w:lang w:eastAsia="zh-CN"/>
                    </w:rPr>
                    <w:t>吨</w:t>
                  </w:r>
                  <w:r>
                    <w:rPr>
                      <w:rFonts w:ascii="Times New Roman" w:hAnsi="Times New Roman" w:eastAsia="仿宋_GB2312" w:cs="Times New Roman"/>
                      <w:b/>
                      <w:bCs/>
                      <w:kern w:val="0"/>
                      <w:szCs w:val="21"/>
                    </w:rPr>
                    <w:t>/日）</w:t>
                  </w:r>
                </w:p>
              </w:tc>
              <w:tc>
                <w:tcPr>
                  <w:tcW w:w="1041" w:type="pct"/>
                  <w:vAlign w:val="center"/>
                </w:tcPr>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实际日产量</w:t>
                  </w:r>
                </w:p>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w:t>
                  </w:r>
                  <w:r>
                    <w:rPr>
                      <w:rFonts w:hint="eastAsia" w:ascii="Times New Roman" w:hAnsi="Times New Roman" w:eastAsia="仿宋_GB2312" w:cs="Times New Roman"/>
                      <w:b/>
                      <w:bCs/>
                      <w:kern w:val="0"/>
                      <w:szCs w:val="21"/>
                      <w:lang w:eastAsia="zh-CN"/>
                    </w:rPr>
                    <w:t>吨</w:t>
                  </w:r>
                  <w:r>
                    <w:rPr>
                      <w:rFonts w:ascii="Times New Roman" w:hAnsi="Times New Roman" w:eastAsia="仿宋_GB2312" w:cs="Times New Roman"/>
                      <w:b/>
                      <w:bCs/>
                      <w:kern w:val="0"/>
                      <w:szCs w:val="21"/>
                    </w:rPr>
                    <w:t>/日）</w:t>
                  </w:r>
                </w:p>
              </w:tc>
              <w:tc>
                <w:tcPr>
                  <w:tcW w:w="881" w:type="pct"/>
                  <w:vAlign w:val="center"/>
                </w:tcPr>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生产负荷（%）</w:t>
                  </w:r>
                </w:p>
              </w:tc>
              <w:tc>
                <w:tcPr>
                  <w:tcW w:w="801" w:type="pct"/>
                  <w:vAlign w:val="center"/>
                </w:tcPr>
                <w:p>
                  <w:pPr>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年运行时间</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2019.7.01</w:t>
                  </w:r>
                </w:p>
              </w:tc>
              <w:tc>
                <w:tcPr>
                  <w:tcW w:w="1418"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塑料制品</w:t>
                  </w:r>
                </w:p>
              </w:tc>
              <w:tc>
                <w:tcPr>
                  <w:tcW w:w="1451"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5</w:t>
                  </w:r>
                </w:p>
              </w:tc>
              <w:tc>
                <w:tcPr>
                  <w:tcW w:w="1843"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4.5</w:t>
                  </w:r>
                </w:p>
              </w:tc>
              <w:tc>
                <w:tcPr>
                  <w:tcW w:w="1559"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90%</w:t>
                  </w:r>
                </w:p>
              </w:tc>
              <w:tc>
                <w:tcPr>
                  <w:tcW w:w="801" w:type="pct"/>
                  <w:vAlign w:val="center"/>
                </w:tcPr>
                <w:p>
                  <w:pPr>
                    <w:pStyle w:val="24"/>
                    <w:spacing w:beforeLines="-2147483648" w:afterLines="-2147483648" w:line="240" w:lineRule="auto"/>
                    <w:ind w:firstLine="0" w:firstLineChars="0"/>
                    <w:rPr>
                      <w:rFonts w:eastAsia="仿宋_GB2312" w:cs="Times New Roman"/>
                    </w:rPr>
                  </w:pPr>
                  <w:r>
                    <w:rPr>
                      <w:rFonts w:hint="eastAsia" w:eastAsia="仿宋_GB2312" w:cs="Times New Roman"/>
                      <w:lang w:val="en-US" w:eastAsia="zh-CN"/>
                    </w:rPr>
                    <w:t>2400</w:t>
                  </w:r>
                  <w:r>
                    <w:rPr>
                      <w:rFonts w:eastAsia="仿宋_GB2312" w:cs="Times New Roman"/>
                    </w:rPr>
                    <w:t>h</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2019.7.02</w:t>
                  </w:r>
                </w:p>
              </w:tc>
              <w:tc>
                <w:tcPr>
                  <w:tcW w:w="1418"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塑料制品</w:t>
                  </w:r>
                </w:p>
              </w:tc>
              <w:tc>
                <w:tcPr>
                  <w:tcW w:w="1451"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5</w:t>
                  </w:r>
                </w:p>
              </w:tc>
              <w:tc>
                <w:tcPr>
                  <w:tcW w:w="1843"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4.5</w:t>
                  </w:r>
                </w:p>
              </w:tc>
              <w:tc>
                <w:tcPr>
                  <w:tcW w:w="1559" w:type="dxa"/>
                  <w:vAlign w:val="center"/>
                </w:tcPr>
                <w:p>
                  <w:pPr>
                    <w:pStyle w:val="24"/>
                    <w:spacing w:beforeLines="-2147483648" w:afterLines="-2147483648" w:line="240" w:lineRule="auto"/>
                    <w:ind w:firstLine="0" w:firstLineChars="0"/>
                    <w:rPr>
                      <w:rFonts w:eastAsia="仿宋_GB2312" w:cs="Times New Roman"/>
                    </w:rPr>
                  </w:pPr>
                  <w:r>
                    <w:rPr>
                      <w:rFonts w:eastAsia="仿宋_GB2312" w:cs="Times New Roman"/>
                    </w:rPr>
                    <w:t>90%</w:t>
                  </w:r>
                </w:p>
              </w:tc>
              <w:tc>
                <w:tcPr>
                  <w:tcW w:w="801" w:type="pct"/>
                  <w:vAlign w:val="center"/>
                </w:tcPr>
                <w:p>
                  <w:pPr>
                    <w:pStyle w:val="24"/>
                    <w:spacing w:beforeLines="-2147483648" w:afterLines="-2147483648" w:line="240" w:lineRule="auto"/>
                    <w:ind w:firstLine="0" w:firstLineChars="0"/>
                    <w:rPr>
                      <w:rFonts w:eastAsia="仿宋_GB2312" w:cs="Times New Roman"/>
                    </w:rPr>
                  </w:pPr>
                  <w:r>
                    <w:rPr>
                      <w:rFonts w:hint="eastAsia" w:eastAsia="仿宋_GB2312" w:cs="Times New Roman"/>
                      <w:lang w:val="en-US" w:eastAsia="zh-CN"/>
                    </w:rPr>
                    <w:t>2400</w:t>
                  </w:r>
                  <w:r>
                    <w:rPr>
                      <w:rFonts w:eastAsia="仿宋_GB2312" w:cs="Times New Roman"/>
                    </w:rPr>
                    <w:t>h</w:t>
                  </w:r>
                </w:p>
              </w:tc>
            </w:tr>
          </w:tbl>
          <w:p>
            <w:pPr>
              <w:pStyle w:val="34"/>
              <w:ind w:firstLine="560"/>
            </w:pPr>
          </w:p>
        </w:tc>
      </w:tr>
    </w:tbl>
    <w:p>
      <w:pPr>
        <w:spacing w:line="360" w:lineRule="auto"/>
        <w:rPr>
          <w:rFonts w:ascii="Times New Roman" w:hAnsi="Times New Roman" w:eastAsia="仿宋_GB2312" w:cs="Times New Roman"/>
          <w:color w:val="FF0000"/>
        </w:rPr>
        <w:sectPr>
          <w:pgSz w:w="11906" w:h="16838"/>
          <w:pgMar w:top="1440" w:right="1797" w:bottom="1440" w:left="1797" w:header="851" w:footer="992" w:gutter="0"/>
          <w:cols w:space="425" w:num="1"/>
          <w:docGrid w:type="lines" w:linePitch="312" w:charSpace="0"/>
        </w:sectPr>
      </w:pPr>
    </w:p>
    <w:p>
      <w:pPr>
        <w:pStyle w:val="37"/>
      </w:pPr>
      <w:r>
        <w:t>表</w:t>
      </w:r>
      <w:r>
        <w:rPr>
          <w:rFonts w:hint="eastAsia"/>
        </w:rPr>
        <w:t>七</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8" w:hRule="atLeast"/>
          <w:jc w:val="center"/>
        </w:trPr>
        <w:tc>
          <w:tcPr>
            <w:tcW w:w="8528" w:type="dxa"/>
          </w:tcPr>
          <w:p>
            <w:pPr>
              <w:pStyle w:val="35"/>
            </w:pPr>
            <w:r>
              <w:t>验收监测结论：</w:t>
            </w:r>
          </w:p>
          <w:p>
            <w:pPr>
              <w:pStyle w:val="34"/>
              <w:ind w:firstLine="560"/>
            </w:pPr>
            <w:r>
              <w:t>固体废物</w:t>
            </w:r>
          </w:p>
          <w:p>
            <w:pPr>
              <w:pStyle w:val="34"/>
              <w:ind w:firstLine="560"/>
            </w:pPr>
            <w:r>
              <w:rPr>
                <w:rFonts w:hint="eastAsia"/>
              </w:rPr>
              <w:t>企业产生的少量危险废物经收集后委托</w:t>
            </w:r>
            <w:r>
              <w:rPr>
                <w:rFonts w:hint="eastAsia"/>
                <w:color w:val="000000" w:themeColor="text1"/>
                <w:lang w:eastAsia="zh-CN"/>
                <w14:textFill>
                  <w14:solidFill>
                    <w14:schemeClr w14:val="tx1"/>
                  </w14:solidFill>
                </w14:textFill>
              </w:rPr>
              <w:t>扬州东晟固废环保处理</w:t>
            </w:r>
            <w:r>
              <w:rPr>
                <w:rFonts w:hint="eastAsia"/>
                <w:color w:val="000000" w:themeColor="text1"/>
                <w14:textFill>
                  <w14:solidFill>
                    <w14:schemeClr w14:val="tx1"/>
                  </w14:solidFill>
                </w14:textFill>
              </w:rPr>
              <w:t>有限公司</w:t>
            </w:r>
            <w:r>
              <w:rPr>
                <w:rFonts w:hint="eastAsia"/>
                <w:color w:val="000000" w:themeColor="text1"/>
                <w:lang w:eastAsia="zh-CN"/>
                <w14:textFill>
                  <w14:solidFill>
                    <w14:schemeClr w14:val="tx1"/>
                  </w14:solidFill>
                </w14:textFill>
              </w:rPr>
              <w:t>处理</w:t>
            </w:r>
            <w:r>
              <w:rPr>
                <w:rFonts w:hint="eastAsia"/>
              </w:rPr>
              <w:t>。生活垃圾由苏州</w:t>
            </w:r>
            <w:r>
              <w:rPr>
                <w:rFonts w:hint="eastAsia"/>
                <w:lang w:eastAsia="zh-CN"/>
              </w:rPr>
              <w:t>阳山市政工程</w:t>
            </w:r>
            <w:r>
              <w:rPr>
                <w:rFonts w:hint="eastAsia"/>
              </w:rPr>
              <w:t>管理有限公司代处理。</w:t>
            </w:r>
            <w:r>
              <w:t>固体废物处置率100%，不产生二次污染，零排放。</w:t>
            </w:r>
          </w:p>
          <w:p>
            <w:pPr>
              <w:pStyle w:val="34"/>
              <w:ind w:firstLine="560"/>
            </w:pPr>
            <w:r>
              <w:t>总结论</w:t>
            </w:r>
          </w:p>
          <w:p>
            <w:pPr>
              <w:pStyle w:val="34"/>
              <w:ind w:firstLine="562"/>
              <w:rPr>
                <w:b/>
                <w:bCs/>
              </w:rPr>
            </w:pPr>
            <w:r>
              <w:rPr>
                <w:rFonts w:cs="Times New Roman"/>
              </w:rPr>
              <w:t>本项目建设地址未发生变化；项目产能与环评一致；生产工艺未发生重大变化；环保“三同时”措施已落实到位，污染防治措施符合环评及批复要求；经监测，各类污染物均达标排放；污染物排放总量符合环评及批复要求。综上，本项目满足建设项目竣工环境保护验收条件，可以申请项目验收。</w:t>
            </w:r>
          </w:p>
        </w:tc>
      </w:tr>
    </w:tbl>
    <w:p>
      <w:pPr>
        <w:rPr>
          <w:rFonts w:hint="eastAsia"/>
          <w:color w:val="000000"/>
          <w:sz w:val="15"/>
          <w:szCs w:val="15"/>
          <w:lang w:val="en-US"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Sans Serif">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0"/>
              <wp:wrapNone/>
              <wp:docPr id="2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Times New Roman" w:hAnsi="Times New Roman" w:eastAsia="仿宋_GB2312" w:cs="Times New Roman"/>
                              <w:sz w:val="18"/>
                            </w:rPr>
                          </w:pPr>
                          <w:r>
                            <w:rPr>
                              <w:rFonts w:ascii="Times New Roman" w:hAnsi="Times New Roman" w:eastAsia="仿宋_GB2312" w:cs="Times New Roman"/>
                              <w:sz w:val="18"/>
                            </w:rPr>
                            <w:t>第</w:t>
                          </w:r>
                          <w:r>
                            <w:rPr>
                              <w:rFonts w:ascii="Times New Roman" w:hAnsi="Times New Roman" w:eastAsia="仿宋_GB2312" w:cs="Times New Roman"/>
                              <w:sz w:val="18"/>
                            </w:rPr>
                            <w:fldChar w:fldCharType="begin"/>
                          </w:r>
                          <w:r>
                            <w:rPr>
                              <w:rFonts w:ascii="Times New Roman" w:hAnsi="Times New Roman" w:eastAsia="仿宋_GB2312" w:cs="Times New Roman"/>
                              <w:sz w:val="18"/>
                            </w:rPr>
                            <w:instrText xml:space="preserve"> PAGE  \* MERGEFORMAT </w:instrText>
                          </w:r>
                          <w:r>
                            <w:rPr>
                              <w:rFonts w:ascii="Times New Roman" w:hAnsi="Times New Roman" w:eastAsia="仿宋_GB2312" w:cs="Times New Roman"/>
                              <w:sz w:val="18"/>
                            </w:rPr>
                            <w:fldChar w:fldCharType="separate"/>
                          </w:r>
                          <w:r>
                            <w:rPr>
                              <w:rFonts w:ascii="Times New Roman" w:hAnsi="Times New Roman" w:eastAsia="仿宋_GB2312" w:cs="Times New Roman"/>
                              <w:sz w:val="18"/>
                            </w:rPr>
                            <w:t>13</w:t>
                          </w:r>
                          <w:r>
                            <w:rPr>
                              <w:rFonts w:ascii="Times New Roman" w:hAnsi="Times New Roman" w:eastAsia="仿宋_GB2312" w:cs="Times New Roman"/>
                              <w:sz w:val="18"/>
                            </w:rPr>
                            <w:fldChar w:fldCharType="end"/>
                          </w:r>
                          <w:r>
                            <w:rPr>
                              <w:rFonts w:ascii="Times New Roman" w:hAnsi="Times New Roman" w:eastAsia="仿宋_GB2312" w:cs="Times New Roman"/>
                              <w:sz w:val="18"/>
                            </w:rPr>
                            <w:t>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0naTQ0gAAAAQBAAAPAAAAAAAAAAEAIAAAACIAAABkcnMvZG93bnJldi54bWxQSwECFAAU&#10;AAAACACHTuJANz1R4r4BAABjAwAADgAAAAAAAAABACAAAAAhAQAAZHJzL2Uyb0RvYy54bWxQSwUG&#10;AAAAAAYABgBZAQAAUQUAAAAA&#10;">
              <v:fill on="f" focussize="0,0"/>
              <v:stroke on="f"/>
              <v:imagedata o:title=""/>
              <o:lock v:ext="edit" aspectratio="f"/>
              <v:textbox inset="0mm,0mm,0mm,0mm" style="mso-fit-shape-to-text:t;">
                <w:txbxContent>
                  <w:p>
                    <w:pPr>
                      <w:snapToGrid w:val="0"/>
                      <w:rPr>
                        <w:rFonts w:ascii="Times New Roman" w:hAnsi="Times New Roman" w:eastAsia="仿宋_GB2312" w:cs="Times New Roman"/>
                        <w:sz w:val="18"/>
                      </w:rPr>
                    </w:pPr>
                    <w:r>
                      <w:rPr>
                        <w:rFonts w:ascii="Times New Roman" w:hAnsi="Times New Roman" w:eastAsia="仿宋_GB2312" w:cs="Times New Roman"/>
                        <w:sz w:val="18"/>
                      </w:rPr>
                      <w:t>第</w:t>
                    </w:r>
                    <w:r>
                      <w:rPr>
                        <w:rFonts w:ascii="Times New Roman" w:hAnsi="Times New Roman" w:eastAsia="仿宋_GB2312" w:cs="Times New Roman"/>
                        <w:sz w:val="18"/>
                      </w:rPr>
                      <w:fldChar w:fldCharType="begin"/>
                    </w:r>
                    <w:r>
                      <w:rPr>
                        <w:rFonts w:ascii="Times New Roman" w:hAnsi="Times New Roman" w:eastAsia="仿宋_GB2312" w:cs="Times New Roman"/>
                        <w:sz w:val="18"/>
                      </w:rPr>
                      <w:instrText xml:space="preserve"> PAGE  \* MERGEFORMAT </w:instrText>
                    </w:r>
                    <w:r>
                      <w:rPr>
                        <w:rFonts w:ascii="Times New Roman" w:hAnsi="Times New Roman" w:eastAsia="仿宋_GB2312" w:cs="Times New Roman"/>
                        <w:sz w:val="18"/>
                      </w:rPr>
                      <w:fldChar w:fldCharType="separate"/>
                    </w:r>
                    <w:r>
                      <w:rPr>
                        <w:rFonts w:ascii="Times New Roman" w:hAnsi="Times New Roman" w:eastAsia="仿宋_GB2312" w:cs="Times New Roman"/>
                        <w:sz w:val="18"/>
                      </w:rPr>
                      <w:t>13</w:t>
                    </w:r>
                    <w:r>
                      <w:rPr>
                        <w:rFonts w:ascii="Times New Roman" w:hAnsi="Times New Roman" w:eastAsia="仿宋_GB2312" w:cs="Times New Roman"/>
                        <w:sz w:val="18"/>
                      </w:rPr>
                      <w:fldChar w:fldCharType="end"/>
                    </w:r>
                    <w:r>
                      <w:rPr>
                        <w:rFonts w:ascii="Times New Roman" w:hAnsi="Times New Roman" w:eastAsia="仿宋_GB2312" w:cs="Times New Roman"/>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firstLine="0" w:firstLineChars="0"/>
    </w:pPr>
    <w:r>
      <w:rPr>
        <w:rFonts w:hint="eastAsia" w:cs="Times New Roman"/>
        <w:bCs/>
      </w:rPr>
      <w:t>苏州源顺祥新材料有限公司年产塑料制品1</w:t>
    </w:r>
    <w:r>
      <w:rPr>
        <w:rFonts w:cs="Times New Roman"/>
        <w:bCs/>
      </w:rPr>
      <w:t>500</w:t>
    </w:r>
    <w:r>
      <w:rPr>
        <w:rFonts w:hint="eastAsia" w:cs="Times New Roman"/>
        <w:bCs/>
      </w:rPr>
      <w:t>吨新建项目</w:t>
    </w:r>
    <w:r>
      <w:rPr>
        <w:rFonts w:hint="eastAsia" w:cs="Times New Roman"/>
      </w:rPr>
      <w:t>固体废物污染防治设施竣工验收监测报告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8E"/>
    <w:rsid w:val="00000A3E"/>
    <w:rsid w:val="00001DE9"/>
    <w:rsid w:val="000020AE"/>
    <w:rsid w:val="00002107"/>
    <w:rsid w:val="00002E5C"/>
    <w:rsid w:val="00003425"/>
    <w:rsid w:val="00003D36"/>
    <w:rsid w:val="00003E4C"/>
    <w:rsid w:val="00003E79"/>
    <w:rsid w:val="0000413C"/>
    <w:rsid w:val="00004AA8"/>
    <w:rsid w:val="00007259"/>
    <w:rsid w:val="00007F8F"/>
    <w:rsid w:val="000105F6"/>
    <w:rsid w:val="000106FB"/>
    <w:rsid w:val="00010CA6"/>
    <w:rsid w:val="00010E37"/>
    <w:rsid w:val="0001125F"/>
    <w:rsid w:val="00011760"/>
    <w:rsid w:val="000122DD"/>
    <w:rsid w:val="00013D3C"/>
    <w:rsid w:val="0001423C"/>
    <w:rsid w:val="00015AE2"/>
    <w:rsid w:val="000162DC"/>
    <w:rsid w:val="000172A0"/>
    <w:rsid w:val="00017E4B"/>
    <w:rsid w:val="00017FCB"/>
    <w:rsid w:val="00020436"/>
    <w:rsid w:val="00020761"/>
    <w:rsid w:val="00020CAC"/>
    <w:rsid w:val="0002211C"/>
    <w:rsid w:val="000222BA"/>
    <w:rsid w:val="000232AA"/>
    <w:rsid w:val="000233D5"/>
    <w:rsid w:val="00023B18"/>
    <w:rsid w:val="000245A4"/>
    <w:rsid w:val="000247F1"/>
    <w:rsid w:val="000256E3"/>
    <w:rsid w:val="00025A45"/>
    <w:rsid w:val="00025D9C"/>
    <w:rsid w:val="000262DF"/>
    <w:rsid w:val="00027B30"/>
    <w:rsid w:val="000303DE"/>
    <w:rsid w:val="00030B09"/>
    <w:rsid w:val="00036C75"/>
    <w:rsid w:val="00036EBD"/>
    <w:rsid w:val="00041716"/>
    <w:rsid w:val="00042E29"/>
    <w:rsid w:val="00043316"/>
    <w:rsid w:val="00043497"/>
    <w:rsid w:val="0004387B"/>
    <w:rsid w:val="00044297"/>
    <w:rsid w:val="00044D26"/>
    <w:rsid w:val="00045784"/>
    <w:rsid w:val="00046299"/>
    <w:rsid w:val="00046A08"/>
    <w:rsid w:val="000506B5"/>
    <w:rsid w:val="0005151A"/>
    <w:rsid w:val="00051C29"/>
    <w:rsid w:val="0005252F"/>
    <w:rsid w:val="00052B0A"/>
    <w:rsid w:val="00052DD3"/>
    <w:rsid w:val="00053621"/>
    <w:rsid w:val="00054185"/>
    <w:rsid w:val="000541AF"/>
    <w:rsid w:val="00055C38"/>
    <w:rsid w:val="000564AF"/>
    <w:rsid w:val="00056A75"/>
    <w:rsid w:val="0005783E"/>
    <w:rsid w:val="0005799D"/>
    <w:rsid w:val="00057A58"/>
    <w:rsid w:val="00060D74"/>
    <w:rsid w:val="000613A0"/>
    <w:rsid w:val="00061BA5"/>
    <w:rsid w:val="00061DAB"/>
    <w:rsid w:val="000627A5"/>
    <w:rsid w:val="00063161"/>
    <w:rsid w:val="00063E78"/>
    <w:rsid w:val="0006463F"/>
    <w:rsid w:val="00064B73"/>
    <w:rsid w:val="0006506A"/>
    <w:rsid w:val="00065A5E"/>
    <w:rsid w:val="00065D9A"/>
    <w:rsid w:val="0006686C"/>
    <w:rsid w:val="00066CD4"/>
    <w:rsid w:val="00072003"/>
    <w:rsid w:val="00072A55"/>
    <w:rsid w:val="00073134"/>
    <w:rsid w:val="00073FF0"/>
    <w:rsid w:val="0007434E"/>
    <w:rsid w:val="00074357"/>
    <w:rsid w:val="00074D5A"/>
    <w:rsid w:val="00077FA1"/>
    <w:rsid w:val="00080C22"/>
    <w:rsid w:val="00080E26"/>
    <w:rsid w:val="0008281D"/>
    <w:rsid w:val="000830F9"/>
    <w:rsid w:val="00083308"/>
    <w:rsid w:val="00083329"/>
    <w:rsid w:val="00084684"/>
    <w:rsid w:val="0008584D"/>
    <w:rsid w:val="00085C06"/>
    <w:rsid w:val="00086EB7"/>
    <w:rsid w:val="00091CF0"/>
    <w:rsid w:val="00092331"/>
    <w:rsid w:val="00092DD7"/>
    <w:rsid w:val="000939CC"/>
    <w:rsid w:val="00095551"/>
    <w:rsid w:val="00096E42"/>
    <w:rsid w:val="000A1BFA"/>
    <w:rsid w:val="000A1DD9"/>
    <w:rsid w:val="000A1E3B"/>
    <w:rsid w:val="000A31E2"/>
    <w:rsid w:val="000A3B2E"/>
    <w:rsid w:val="000A40BE"/>
    <w:rsid w:val="000A4881"/>
    <w:rsid w:val="000A4A43"/>
    <w:rsid w:val="000A533A"/>
    <w:rsid w:val="000A663E"/>
    <w:rsid w:val="000A76D5"/>
    <w:rsid w:val="000A7AFC"/>
    <w:rsid w:val="000B0B03"/>
    <w:rsid w:val="000B2EA8"/>
    <w:rsid w:val="000B48B9"/>
    <w:rsid w:val="000B5C2C"/>
    <w:rsid w:val="000B5F28"/>
    <w:rsid w:val="000B6CFB"/>
    <w:rsid w:val="000C06A1"/>
    <w:rsid w:val="000C18EA"/>
    <w:rsid w:val="000C285C"/>
    <w:rsid w:val="000C2D62"/>
    <w:rsid w:val="000C2F94"/>
    <w:rsid w:val="000C3489"/>
    <w:rsid w:val="000C3911"/>
    <w:rsid w:val="000C3A2E"/>
    <w:rsid w:val="000C46B5"/>
    <w:rsid w:val="000C5828"/>
    <w:rsid w:val="000C5B43"/>
    <w:rsid w:val="000D1090"/>
    <w:rsid w:val="000D36E1"/>
    <w:rsid w:val="000D3740"/>
    <w:rsid w:val="000D4DEB"/>
    <w:rsid w:val="000D5AB7"/>
    <w:rsid w:val="000D5B98"/>
    <w:rsid w:val="000D5F7E"/>
    <w:rsid w:val="000D6B7A"/>
    <w:rsid w:val="000D79B8"/>
    <w:rsid w:val="000E076E"/>
    <w:rsid w:val="000E095C"/>
    <w:rsid w:val="000E0ABE"/>
    <w:rsid w:val="000E2242"/>
    <w:rsid w:val="000E2E46"/>
    <w:rsid w:val="000E3E49"/>
    <w:rsid w:val="000E41E3"/>
    <w:rsid w:val="000E535C"/>
    <w:rsid w:val="000E5DF3"/>
    <w:rsid w:val="000E620F"/>
    <w:rsid w:val="000E7233"/>
    <w:rsid w:val="000E7353"/>
    <w:rsid w:val="000E75C3"/>
    <w:rsid w:val="000E7C0B"/>
    <w:rsid w:val="000F02AD"/>
    <w:rsid w:val="000F0346"/>
    <w:rsid w:val="000F05D0"/>
    <w:rsid w:val="000F0804"/>
    <w:rsid w:val="000F189E"/>
    <w:rsid w:val="000F1A00"/>
    <w:rsid w:val="000F1B91"/>
    <w:rsid w:val="000F25AB"/>
    <w:rsid w:val="000F265D"/>
    <w:rsid w:val="000F3083"/>
    <w:rsid w:val="000F3435"/>
    <w:rsid w:val="000F3C91"/>
    <w:rsid w:val="000F3FC9"/>
    <w:rsid w:val="000F4FFC"/>
    <w:rsid w:val="000F53C1"/>
    <w:rsid w:val="000F615D"/>
    <w:rsid w:val="000F773E"/>
    <w:rsid w:val="000F7795"/>
    <w:rsid w:val="000F7D09"/>
    <w:rsid w:val="0010039C"/>
    <w:rsid w:val="0010276C"/>
    <w:rsid w:val="00103217"/>
    <w:rsid w:val="0010465C"/>
    <w:rsid w:val="001051A4"/>
    <w:rsid w:val="0010521E"/>
    <w:rsid w:val="00105521"/>
    <w:rsid w:val="001064E9"/>
    <w:rsid w:val="00106A68"/>
    <w:rsid w:val="00106DD5"/>
    <w:rsid w:val="00107ED4"/>
    <w:rsid w:val="001105D0"/>
    <w:rsid w:val="00110760"/>
    <w:rsid w:val="00110ACA"/>
    <w:rsid w:val="001123EA"/>
    <w:rsid w:val="00112985"/>
    <w:rsid w:val="00113095"/>
    <w:rsid w:val="0011315E"/>
    <w:rsid w:val="0011373A"/>
    <w:rsid w:val="00113D10"/>
    <w:rsid w:val="001149E3"/>
    <w:rsid w:val="00116BBD"/>
    <w:rsid w:val="0011703C"/>
    <w:rsid w:val="001209B1"/>
    <w:rsid w:val="00121348"/>
    <w:rsid w:val="001222F2"/>
    <w:rsid w:val="00122CFA"/>
    <w:rsid w:val="001234D6"/>
    <w:rsid w:val="00123F53"/>
    <w:rsid w:val="00123F9F"/>
    <w:rsid w:val="00124ED1"/>
    <w:rsid w:val="00124FE3"/>
    <w:rsid w:val="0012570F"/>
    <w:rsid w:val="00125EE5"/>
    <w:rsid w:val="00126556"/>
    <w:rsid w:val="00127466"/>
    <w:rsid w:val="00130B4E"/>
    <w:rsid w:val="0013117E"/>
    <w:rsid w:val="00132A8E"/>
    <w:rsid w:val="00133565"/>
    <w:rsid w:val="00134A86"/>
    <w:rsid w:val="00135EED"/>
    <w:rsid w:val="00137137"/>
    <w:rsid w:val="001372F8"/>
    <w:rsid w:val="00137486"/>
    <w:rsid w:val="0013750F"/>
    <w:rsid w:val="0013796D"/>
    <w:rsid w:val="00137E71"/>
    <w:rsid w:val="0014101D"/>
    <w:rsid w:val="001414F1"/>
    <w:rsid w:val="00141576"/>
    <w:rsid w:val="00141D32"/>
    <w:rsid w:val="001445A4"/>
    <w:rsid w:val="00145065"/>
    <w:rsid w:val="001459E6"/>
    <w:rsid w:val="00145F20"/>
    <w:rsid w:val="001466B0"/>
    <w:rsid w:val="001508AE"/>
    <w:rsid w:val="00150BFB"/>
    <w:rsid w:val="0015114E"/>
    <w:rsid w:val="001522C1"/>
    <w:rsid w:val="00153750"/>
    <w:rsid w:val="00153C84"/>
    <w:rsid w:val="00154365"/>
    <w:rsid w:val="001547E7"/>
    <w:rsid w:val="00154F20"/>
    <w:rsid w:val="00155601"/>
    <w:rsid w:val="00155962"/>
    <w:rsid w:val="0015656E"/>
    <w:rsid w:val="0015663B"/>
    <w:rsid w:val="001566AD"/>
    <w:rsid w:val="00157F13"/>
    <w:rsid w:val="00160115"/>
    <w:rsid w:val="00161DAE"/>
    <w:rsid w:val="00161E01"/>
    <w:rsid w:val="001623FD"/>
    <w:rsid w:val="00162EF0"/>
    <w:rsid w:val="00165934"/>
    <w:rsid w:val="00167304"/>
    <w:rsid w:val="001677ED"/>
    <w:rsid w:val="00167A84"/>
    <w:rsid w:val="00167CB0"/>
    <w:rsid w:val="001705E6"/>
    <w:rsid w:val="0017078E"/>
    <w:rsid w:val="0017132F"/>
    <w:rsid w:val="00171383"/>
    <w:rsid w:val="00171A91"/>
    <w:rsid w:val="00172A27"/>
    <w:rsid w:val="00173B81"/>
    <w:rsid w:val="0017402F"/>
    <w:rsid w:val="00174447"/>
    <w:rsid w:val="00174913"/>
    <w:rsid w:val="00174C50"/>
    <w:rsid w:val="0017539C"/>
    <w:rsid w:val="00180544"/>
    <w:rsid w:val="0018102C"/>
    <w:rsid w:val="00181D83"/>
    <w:rsid w:val="0018230F"/>
    <w:rsid w:val="00182854"/>
    <w:rsid w:val="00182A55"/>
    <w:rsid w:val="001844FB"/>
    <w:rsid w:val="00184606"/>
    <w:rsid w:val="00186A6E"/>
    <w:rsid w:val="00187249"/>
    <w:rsid w:val="00190CBA"/>
    <w:rsid w:val="00190DA5"/>
    <w:rsid w:val="00191DA0"/>
    <w:rsid w:val="00191F79"/>
    <w:rsid w:val="00192AB7"/>
    <w:rsid w:val="00192DA0"/>
    <w:rsid w:val="00192F49"/>
    <w:rsid w:val="00193A71"/>
    <w:rsid w:val="0019591C"/>
    <w:rsid w:val="00195F3A"/>
    <w:rsid w:val="00195F92"/>
    <w:rsid w:val="001962CE"/>
    <w:rsid w:val="001A0241"/>
    <w:rsid w:val="001A2946"/>
    <w:rsid w:val="001A306B"/>
    <w:rsid w:val="001A331A"/>
    <w:rsid w:val="001A4F0F"/>
    <w:rsid w:val="001A6049"/>
    <w:rsid w:val="001A6290"/>
    <w:rsid w:val="001A69AF"/>
    <w:rsid w:val="001A6AAA"/>
    <w:rsid w:val="001A7540"/>
    <w:rsid w:val="001A75C7"/>
    <w:rsid w:val="001A7983"/>
    <w:rsid w:val="001B1E2B"/>
    <w:rsid w:val="001B1EAD"/>
    <w:rsid w:val="001B3A51"/>
    <w:rsid w:val="001B3EC9"/>
    <w:rsid w:val="001B4B27"/>
    <w:rsid w:val="001B575E"/>
    <w:rsid w:val="001B580C"/>
    <w:rsid w:val="001B5B47"/>
    <w:rsid w:val="001B6A9C"/>
    <w:rsid w:val="001B6DD6"/>
    <w:rsid w:val="001B6EB0"/>
    <w:rsid w:val="001B7778"/>
    <w:rsid w:val="001C1334"/>
    <w:rsid w:val="001C3202"/>
    <w:rsid w:val="001C33D2"/>
    <w:rsid w:val="001C34C8"/>
    <w:rsid w:val="001C362E"/>
    <w:rsid w:val="001C3AD8"/>
    <w:rsid w:val="001C4D5A"/>
    <w:rsid w:val="001C5E10"/>
    <w:rsid w:val="001D033E"/>
    <w:rsid w:val="001D062F"/>
    <w:rsid w:val="001D06D2"/>
    <w:rsid w:val="001D11FF"/>
    <w:rsid w:val="001D242C"/>
    <w:rsid w:val="001D303B"/>
    <w:rsid w:val="001D378C"/>
    <w:rsid w:val="001D4A64"/>
    <w:rsid w:val="001D5078"/>
    <w:rsid w:val="001D5576"/>
    <w:rsid w:val="001D5892"/>
    <w:rsid w:val="001D5C40"/>
    <w:rsid w:val="001D601D"/>
    <w:rsid w:val="001D6685"/>
    <w:rsid w:val="001D705A"/>
    <w:rsid w:val="001E03BC"/>
    <w:rsid w:val="001E1485"/>
    <w:rsid w:val="001E1709"/>
    <w:rsid w:val="001E2568"/>
    <w:rsid w:val="001E370D"/>
    <w:rsid w:val="001E39AF"/>
    <w:rsid w:val="001E3DAB"/>
    <w:rsid w:val="001E4F75"/>
    <w:rsid w:val="001E56F5"/>
    <w:rsid w:val="001E6416"/>
    <w:rsid w:val="001E6599"/>
    <w:rsid w:val="001E795F"/>
    <w:rsid w:val="001F07CF"/>
    <w:rsid w:val="001F1FB0"/>
    <w:rsid w:val="001F20DA"/>
    <w:rsid w:val="001F251D"/>
    <w:rsid w:val="001F3C15"/>
    <w:rsid w:val="001F3E35"/>
    <w:rsid w:val="001F4453"/>
    <w:rsid w:val="001F4FEC"/>
    <w:rsid w:val="001F5BCD"/>
    <w:rsid w:val="001F5F8B"/>
    <w:rsid w:val="001F6036"/>
    <w:rsid w:val="001F668C"/>
    <w:rsid w:val="001F699E"/>
    <w:rsid w:val="001F69C3"/>
    <w:rsid w:val="001F6CDB"/>
    <w:rsid w:val="001F7259"/>
    <w:rsid w:val="001F72AB"/>
    <w:rsid w:val="002019DC"/>
    <w:rsid w:val="00202B05"/>
    <w:rsid w:val="00202BF9"/>
    <w:rsid w:val="00203208"/>
    <w:rsid w:val="00203F25"/>
    <w:rsid w:val="002042A5"/>
    <w:rsid w:val="00206000"/>
    <w:rsid w:val="00210952"/>
    <w:rsid w:val="00210C5B"/>
    <w:rsid w:val="00211983"/>
    <w:rsid w:val="00211D18"/>
    <w:rsid w:val="00211FDE"/>
    <w:rsid w:val="002140F5"/>
    <w:rsid w:val="00214D37"/>
    <w:rsid w:val="0021616F"/>
    <w:rsid w:val="00217639"/>
    <w:rsid w:val="0021790B"/>
    <w:rsid w:val="00221DB3"/>
    <w:rsid w:val="00222390"/>
    <w:rsid w:val="00222C50"/>
    <w:rsid w:val="00225591"/>
    <w:rsid w:val="00225AA4"/>
    <w:rsid w:val="00226F4F"/>
    <w:rsid w:val="002326B9"/>
    <w:rsid w:val="00232D9E"/>
    <w:rsid w:val="0023362F"/>
    <w:rsid w:val="00233D3C"/>
    <w:rsid w:val="00234D05"/>
    <w:rsid w:val="00234DAB"/>
    <w:rsid w:val="0023551C"/>
    <w:rsid w:val="00236566"/>
    <w:rsid w:val="00237717"/>
    <w:rsid w:val="00241036"/>
    <w:rsid w:val="0024140B"/>
    <w:rsid w:val="002414BA"/>
    <w:rsid w:val="00241CB0"/>
    <w:rsid w:val="00243137"/>
    <w:rsid w:val="00243C8A"/>
    <w:rsid w:val="00243F66"/>
    <w:rsid w:val="0024479A"/>
    <w:rsid w:val="00244FDB"/>
    <w:rsid w:val="00246619"/>
    <w:rsid w:val="002467C8"/>
    <w:rsid w:val="00246E25"/>
    <w:rsid w:val="0024737B"/>
    <w:rsid w:val="002478BB"/>
    <w:rsid w:val="0025015D"/>
    <w:rsid w:val="002505AF"/>
    <w:rsid w:val="00250735"/>
    <w:rsid w:val="00250D19"/>
    <w:rsid w:val="00250D6D"/>
    <w:rsid w:val="00250E7D"/>
    <w:rsid w:val="002517BF"/>
    <w:rsid w:val="00251C69"/>
    <w:rsid w:val="00251E3F"/>
    <w:rsid w:val="00252B14"/>
    <w:rsid w:val="00254319"/>
    <w:rsid w:val="002555CF"/>
    <w:rsid w:val="002567DE"/>
    <w:rsid w:val="002576D0"/>
    <w:rsid w:val="00257F46"/>
    <w:rsid w:val="002608B8"/>
    <w:rsid w:val="00261583"/>
    <w:rsid w:val="002623E7"/>
    <w:rsid w:val="00264555"/>
    <w:rsid w:val="00264CCB"/>
    <w:rsid w:val="00265321"/>
    <w:rsid w:val="00265804"/>
    <w:rsid w:val="00265B41"/>
    <w:rsid w:val="0026731C"/>
    <w:rsid w:val="00267AC3"/>
    <w:rsid w:val="00267EA2"/>
    <w:rsid w:val="002722B2"/>
    <w:rsid w:val="002725F7"/>
    <w:rsid w:val="00272F58"/>
    <w:rsid w:val="002731BE"/>
    <w:rsid w:val="00273A22"/>
    <w:rsid w:val="00273C14"/>
    <w:rsid w:val="00273FC4"/>
    <w:rsid w:val="00274BEC"/>
    <w:rsid w:val="00274E51"/>
    <w:rsid w:val="00275602"/>
    <w:rsid w:val="00275B24"/>
    <w:rsid w:val="00275ED7"/>
    <w:rsid w:val="00276006"/>
    <w:rsid w:val="0027648F"/>
    <w:rsid w:val="00276EBF"/>
    <w:rsid w:val="002803F4"/>
    <w:rsid w:val="002809C1"/>
    <w:rsid w:val="00282ACD"/>
    <w:rsid w:val="002830AF"/>
    <w:rsid w:val="00283259"/>
    <w:rsid w:val="00284347"/>
    <w:rsid w:val="00285454"/>
    <w:rsid w:val="00285B1D"/>
    <w:rsid w:val="00286199"/>
    <w:rsid w:val="00286C96"/>
    <w:rsid w:val="00287B15"/>
    <w:rsid w:val="002906E4"/>
    <w:rsid w:val="00291F63"/>
    <w:rsid w:val="002941FB"/>
    <w:rsid w:val="002944D7"/>
    <w:rsid w:val="00294785"/>
    <w:rsid w:val="00297B9B"/>
    <w:rsid w:val="00297BB3"/>
    <w:rsid w:val="002A00A3"/>
    <w:rsid w:val="002A10DD"/>
    <w:rsid w:val="002A22DA"/>
    <w:rsid w:val="002A4BEE"/>
    <w:rsid w:val="002A4F2E"/>
    <w:rsid w:val="002A661A"/>
    <w:rsid w:val="002A706B"/>
    <w:rsid w:val="002A77CD"/>
    <w:rsid w:val="002A7FA4"/>
    <w:rsid w:val="002B1100"/>
    <w:rsid w:val="002B11D1"/>
    <w:rsid w:val="002B2836"/>
    <w:rsid w:val="002B2C38"/>
    <w:rsid w:val="002B2CE7"/>
    <w:rsid w:val="002B3B8A"/>
    <w:rsid w:val="002B4029"/>
    <w:rsid w:val="002B6479"/>
    <w:rsid w:val="002C0824"/>
    <w:rsid w:val="002C132A"/>
    <w:rsid w:val="002C20F3"/>
    <w:rsid w:val="002C292A"/>
    <w:rsid w:val="002C2A4B"/>
    <w:rsid w:val="002C2A61"/>
    <w:rsid w:val="002C320F"/>
    <w:rsid w:val="002C3BEB"/>
    <w:rsid w:val="002C3D55"/>
    <w:rsid w:val="002C52BC"/>
    <w:rsid w:val="002C5BDD"/>
    <w:rsid w:val="002C6091"/>
    <w:rsid w:val="002C610F"/>
    <w:rsid w:val="002C678C"/>
    <w:rsid w:val="002C6B69"/>
    <w:rsid w:val="002C799A"/>
    <w:rsid w:val="002D0A69"/>
    <w:rsid w:val="002D251F"/>
    <w:rsid w:val="002D3720"/>
    <w:rsid w:val="002D4469"/>
    <w:rsid w:val="002D4E12"/>
    <w:rsid w:val="002D4F84"/>
    <w:rsid w:val="002D504E"/>
    <w:rsid w:val="002D6C28"/>
    <w:rsid w:val="002E0863"/>
    <w:rsid w:val="002E0900"/>
    <w:rsid w:val="002E098A"/>
    <w:rsid w:val="002E0A2A"/>
    <w:rsid w:val="002E0D1F"/>
    <w:rsid w:val="002E12B6"/>
    <w:rsid w:val="002E1AC0"/>
    <w:rsid w:val="002E29F6"/>
    <w:rsid w:val="002E2DD2"/>
    <w:rsid w:val="002E3E63"/>
    <w:rsid w:val="002E3F8D"/>
    <w:rsid w:val="002E436B"/>
    <w:rsid w:val="002E4B11"/>
    <w:rsid w:val="002E4F7C"/>
    <w:rsid w:val="002E5299"/>
    <w:rsid w:val="002E5403"/>
    <w:rsid w:val="002E7BDF"/>
    <w:rsid w:val="002F036F"/>
    <w:rsid w:val="002F0A6E"/>
    <w:rsid w:val="002F11BF"/>
    <w:rsid w:val="002F1671"/>
    <w:rsid w:val="002F1A7B"/>
    <w:rsid w:val="002F279E"/>
    <w:rsid w:val="002F30BC"/>
    <w:rsid w:val="002F4166"/>
    <w:rsid w:val="002F433C"/>
    <w:rsid w:val="002F4EC7"/>
    <w:rsid w:val="002F611C"/>
    <w:rsid w:val="002F6812"/>
    <w:rsid w:val="002F7227"/>
    <w:rsid w:val="0030097D"/>
    <w:rsid w:val="00301459"/>
    <w:rsid w:val="003029D4"/>
    <w:rsid w:val="00303095"/>
    <w:rsid w:val="003034AE"/>
    <w:rsid w:val="0030485C"/>
    <w:rsid w:val="00305565"/>
    <w:rsid w:val="003102E3"/>
    <w:rsid w:val="00311A5E"/>
    <w:rsid w:val="00312019"/>
    <w:rsid w:val="00313471"/>
    <w:rsid w:val="00313AF6"/>
    <w:rsid w:val="003142C9"/>
    <w:rsid w:val="0031460A"/>
    <w:rsid w:val="003149F0"/>
    <w:rsid w:val="00314FEC"/>
    <w:rsid w:val="0031662E"/>
    <w:rsid w:val="00317BAD"/>
    <w:rsid w:val="00317D25"/>
    <w:rsid w:val="0032006C"/>
    <w:rsid w:val="00321038"/>
    <w:rsid w:val="00321606"/>
    <w:rsid w:val="003223D1"/>
    <w:rsid w:val="0032290B"/>
    <w:rsid w:val="003249D3"/>
    <w:rsid w:val="00326094"/>
    <w:rsid w:val="00326895"/>
    <w:rsid w:val="0033036A"/>
    <w:rsid w:val="00330502"/>
    <w:rsid w:val="00330EDA"/>
    <w:rsid w:val="00331A3E"/>
    <w:rsid w:val="00331ECB"/>
    <w:rsid w:val="00333D58"/>
    <w:rsid w:val="003342E4"/>
    <w:rsid w:val="00334CA9"/>
    <w:rsid w:val="003359AA"/>
    <w:rsid w:val="0033658B"/>
    <w:rsid w:val="00337194"/>
    <w:rsid w:val="0034038E"/>
    <w:rsid w:val="00340D5D"/>
    <w:rsid w:val="003413A1"/>
    <w:rsid w:val="00341C96"/>
    <w:rsid w:val="003439F6"/>
    <w:rsid w:val="00343F90"/>
    <w:rsid w:val="00344648"/>
    <w:rsid w:val="00344A18"/>
    <w:rsid w:val="00344C7A"/>
    <w:rsid w:val="00345D35"/>
    <w:rsid w:val="00346915"/>
    <w:rsid w:val="00347017"/>
    <w:rsid w:val="00347A75"/>
    <w:rsid w:val="00347AC2"/>
    <w:rsid w:val="003510B5"/>
    <w:rsid w:val="0035122A"/>
    <w:rsid w:val="00351773"/>
    <w:rsid w:val="00352910"/>
    <w:rsid w:val="003545EF"/>
    <w:rsid w:val="00354B23"/>
    <w:rsid w:val="003550F8"/>
    <w:rsid w:val="00355D31"/>
    <w:rsid w:val="0035611F"/>
    <w:rsid w:val="00357407"/>
    <w:rsid w:val="00357998"/>
    <w:rsid w:val="003579DB"/>
    <w:rsid w:val="00357AB8"/>
    <w:rsid w:val="00357E84"/>
    <w:rsid w:val="003621A7"/>
    <w:rsid w:val="00362C3A"/>
    <w:rsid w:val="0036341E"/>
    <w:rsid w:val="0037049F"/>
    <w:rsid w:val="00370C6C"/>
    <w:rsid w:val="0037140A"/>
    <w:rsid w:val="003719B2"/>
    <w:rsid w:val="00371C0F"/>
    <w:rsid w:val="003722D4"/>
    <w:rsid w:val="00375881"/>
    <w:rsid w:val="003764D3"/>
    <w:rsid w:val="00381634"/>
    <w:rsid w:val="00382FBD"/>
    <w:rsid w:val="003837AA"/>
    <w:rsid w:val="00384492"/>
    <w:rsid w:val="00384764"/>
    <w:rsid w:val="0038520D"/>
    <w:rsid w:val="00385282"/>
    <w:rsid w:val="003856DB"/>
    <w:rsid w:val="003856E9"/>
    <w:rsid w:val="00385985"/>
    <w:rsid w:val="00386580"/>
    <w:rsid w:val="00387740"/>
    <w:rsid w:val="00387E8B"/>
    <w:rsid w:val="0039167C"/>
    <w:rsid w:val="00391F39"/>
    <w:rsid w:val="003925C5"/>
    <w:rsid w:val="00392609"/>
    <w:rsid w:val="00392CD4"/>
    <w:rsid w:val="00393292"/>
    <w:rsid w:val="00393DBC"/>
    <w:rsid w:val="0039482D"/>
    <w:rsid w:val="00395739"/>
    <w:rsid w:val="003971D1"/>
    <w:rsid w:val="003974BD"/>
    <w:rsid w:val="00397612"/>
    <w:rsid w:val="003978FE"/>
    <w:rsid w:val="00397D72"/>
    <w:rsid w:val="003A0445"/>
    <w:rsid w:val="003A06E6"/>
    <w:rsid w:val="003A0835"/>
    <w:rsid w:val="003A1617"/>
    <w:rsid w:val="003A251D"/>
    <w:rsid w:val="003A25C4"/>
    <w:rsid w:val="003A2812"/>
    <w:rsid w:val="003A2CA0"/>
    <w:rsid w:val="003A3257"/>
    <w:rsid w:val="003A335A"/>
    <w:rsid w:val="003A3B1D"/>
    <w:rsid w:val="003A44AF"/>
    <w:rsid w:val="003A5264"/>
    <w:rsid w:val="003A5AD8"/>
    <w:rsid w:val="003A5D2E"/>
    <w:rsid w:val="003A7A75"/>
    <w:rsid w:val="003B0835"/>
    <w:rsid w:val="003B0DC5"/>
    <w:rsid w:val="003B12B2"/>
    <w:rsid w:val="003B2A13"/>
    <w:rsid w:val="003B2E0A"/>
    <w:rsid w:val="003B2F17"/>
    <w:rsid w:val="003B3079"/>
    <w:rsid w:val="003B4282"/>
    <w:rsid w:val="003B4C28"/>
    <w:rsid w:val="003B61E8"/>
    <w:rsid w:val="003B66A2"/>
    <w:rsid w:val="003B6A24"/>
    <w:rsid w:val="003B7D70"/>
    <w:rsid w:val="003B7DA8"/>
    <w:rsid w:val="003B7E23"/>
    <w:rsid w:val="003C0681"/>
    <w:rsid w:val="003C0CBA"/>
    <w:rsid w:val="003C0DCE"/>
    <w:rsid w:val="003C3B26"/>
    <w:rsid w:val="003C55B9"/>
    <w:rsid w:val="003C5A2D"/>
    <w:rsid w:val="003C6EB1"/>
    <w:rsid w:val="003C759D"/>
    <w:rsid w:val="003C7F06"/>
    <w:rsid w:val="003D2711"/>
    <w:rsid w:val="003D278C"/>
    <w:rsid w:val="003D3009"/>
    <w:rsid w:val="003D3BF1"/>
    <w:rsid w:val="003D5543"/>
    <w:rsid w:val="003D579D"/>
    <w:rsid w:val="003D5D67"/>
    <w:rsid w:val="003D7498"/>
    <w:rsid w:val="003E02D2"/>
    <w:rsid w:val="003E0FAB"/>
    <w:rsid w:val="003E2F0D"/>
    <w:rsid w:val="003E3C68"/>
    <w:rsid w:val="003E4CE5"/>
    <w:rsid w:val="003E5EDB"/>
    <w:rsid w:val="003E6116"/>
    <w:rsid w:val="003E6AE8"/>
    <w:rsid w:val="003E70E9"/>
    <w:rsid w:val="003E7765"/>
    <w:rsid w:val="003E7C01"/>
    <w:rsid w:val="003E7C04"/>
    <w:rsid w:val="003F0387"/>
    <w:rsid w:val="003F0A71"/>
    <w:rsid w:val="003F1286"/>
    <w:rsid w:val="003F12BC"/>
    <w:rsid w:val="003F16C7"/>
    <w:rsid w:val="003F2ABF"/>
    <w:rsid w:val="003F6A90"/>
    <w:rsid w:val="003F6E14"/>
    <w:rsid w:val="00400060"/>
    <w:rsid w:val="00400078"/>
    <w:rsid w:val="00400359"/>
    <w:rsid w:val="00401325"/>
    <w:rsid w:val="00401337"/>
    <w:rsid w:val="004013D7"/>
    <w:rsid w:val="00401F9D"/>
    <w:rsid w:val="004031C2"/>
    <w:rsid w:val="00404093"/>
    <w:rsid w:val="004045DB"/>
    <w:rsid w:val="00404B05"/>
    <w:rsid w:val="004052B1"/>
    <w:rsid w:val="0040589E"/>
    <w:rsid w:val="00405E64"/>
    <w:rsid w:val="00407A03"/>
    <w:rsid w:val="00410AA1"/>
    <w:rsid w:val="00410F4D"/>
    <w:rsid w:val="004115C7"/>
    <w:rsid w:val="004123F3"/>
    <w:rsid w:val="00412448"/>
    <w:rsid w:val="00412ADA"/>
    <w:rsid w:val="00413267"/>
    <w:rsid w:val="00413530"/>
    <w:rsid w:val="00414595"/>
    <w:rsid w:val="00414CB3"/>
    <w:rsid w:val="00414D44"/>
    <w:rsid w:val="00414EC0"/>
    <w:rsid w:val="004166E4"/>
    <w:rsid w:val="00416ACD"/>
    <w:rsid w:val="00421057"/>
    <w:rsid w:val="0042167D"/>
    <w:rsid w:val="0042239B"/>
    <w:rsid w:val="004224A0"/>
    <w:rsid w:val="00422E3B"/>
    <w:rsid w:val="0042306C"/>
    <w:rsid w:val="004230D5"/>
    <w:rsid w:val="0042322F"/>
    <w:rsid w:val="00423349"/>
    <w:rsid w:val="00424FF0"/>
    <w:rsid w:val="00425454"/>
    <w:rsid w:val="004275D3"/>
    <w:rsid w:val="0042760B"/>
    <w:rsid w:val="004277FB"/>
    <w:rsid w:val="004310E7"/>
    <w:rsid w:val="00431E8E"/>
    <w:rsid w:val="00434073"/>
    <w:rsid w:val="004354D9"/>
    <w:rsid w:val="0043784A"/>
    <w:rsid w:val="004400F1"/>
    <w:rsid w:val="0044169D"/>
    <w:rsid w:val="004426C2"/>
    <w:rsid w:val="004431BE"/>
    <w:rsid w:val="00443260"/>
    <w:rsid w:val="00443A49"/>
    <w:rsid w:val="00443B66"/>
    <w:rsid w:val="00443B83"/>
    <w:rsid w:val="00444008"/>
    <w:rsid w:val="0044413A"/>
    <w:rsid w:val="00445E8D"/>
    <w:rsid w:val="00446A82"/>
    <w:rsid w:val="00447584"/>
    <w:rsid w:val="00450305"/>
    <w:rsid w:val="004504F9"/>
    <w:rsid w:val="00451D80"/>
    <w:rsid w:val="00451E16"/>
    <w:rsid w:val="004524C8"/>
    <w:rsid w:val="00452543"/>
    <w:rsid w:val="0045339F"/>
    <w:rsid w:val="00453FAE"/>
    <w:rsid w:val="00454264"/>
    <w:rsid w:val="004546E8"/>
    <w:rsid w:val="00454BBE"/>
    <w:rsid w:val="00454C1F"/>
    <w:rsid w:val="00455651"/>
    <w:rsid w:val="00455D60"/>
    <w:rsid w:val="00457929"/>
    <w:rsid w:val="00457AB8"/>
    <w:rsid w:val="00457CEF"/>
    <w:rsid w:val="004633EB"/>
    <w:rsid w:val="00463956"/>
    <w:rsid w:val="004651A8"/>
    <w:rsid w:val="00465723"/>
    <w:rsid w:val="00466589"/>
    <w:rsid w:val="00467613"/>
    <w:rsid w:val="00467636"/>
    <w:rsid w:val="00470525"/>
    <w:rsid w:val="0047054B"/>
    <w:rsid w:val="004705C5"/>
    <w:rsid w:val="004715E7"/>
    <w:rsid w:val="004717A5"/>
    <w:rsid w:val="004717EA"/>
    <w:rsid w:val="00472829"/>
    <w:rsid w:val="00475148"/>
    <w:rsid w:val="00475784"/>
    <w:rsid w:val="00480492"/>
    <w:rsid w:val="00480CBD"/>
    <w:rsid w:val="00480D2B"/>
    <w:rsid w:val="00480F00"/>
    <w:rsid w:val="0048182D"/>
    <w:rsid w:val="00481834"/>
    <w:rsid w:val="00483072"/>
    <w:rsid w:val="00485F82"/>
    <w:rsid w:val="0048683E"/>
    <w:rsid w:val="004869A8"/>
    <w:rsid w:val="004869B0"/>
    <w:rsid w:val="004869E5"/>
    <w:rsid w:val="00486A9D"/>
    <w:rsid w:val="00486FB4"/>
    <w:rsid w:val="00487CB8"/>
    <w:rsid w:val="00487F5B"/>
    <w:rsid w:val="00487FA9"/>
    <w:rsid w:val="004900FF"/>
    <w:rsid w:val="00491A97"/>
    <w:rsid w:val="004921BD"/>
    <w:rsid w:val="00492782"/>
    <w:rsid w:val="004930BF"/>
    <w:rsid w:val="00494019"/>
    <w:rsid w:val="00494101"/>
    <w:rsid w:val="00494568"/>
    <w:rsid w:val="00495301"/>
    <w:rsid w:val="0049658C"/>
    <w:rsid w:val="004965A0"/>
    <w:rsid w:val="004A0BF1"/>
    <w:rsid w:val="004A0C99"/>
    <w:rsid w:val="004A30F0"/>
    <w:rsid w:val="004A38B4"/>
    <w:rsid w:val="004A3DF6"/>
    <w:rsid w:val="004A3E94"/>
    <w:rsid w:val="004A4C69"/>
    <w:rsid w:val="004A5D4E"/>
    <w:rsid w:val="004A648B"/>
    <w:rsid w:val="004A69FB"/>
    <w:rsid w:val="004A6FD4"/>
    <w:rsid w:val="004B09E8"/>
    <w:rsid w:val="004B0BD6"/>
    <w:rsid w:val="004B249E"/>
    <w:rsid w:val="004B3112"/>
    <w:rsid w:val="004B3443"/>
    <w:rsid w:val="004B3D09"/>
    <w:rsid w:val="004B4A91"/>
    <w:rsid w:val="004B4E87"/>
    <w:rsid w:val="004B4FF1"/>
    <w:rsid w:val="004B50D7"/>
    <w:rsid w:val="004B53A4"/>
    <w:rsid w:val="004B53D8"/>
    <w:rsid w:val="004B5A0F"/>
    <w:rsid w:val="004B5C4C"/>
    <w:rsid w:val="004B69B8"/>
    <w:rsid w:val="004B7AD0"/>
    <w:rsid w:val="004C1925"/>
    <w:rsid w:val="004C219A"/>
    <w:rsid w:val="004C46D1"/>
    <w:rsid w:val="004C520C"/>
    <w:rsid w:val="004C5363"/>
    <w:rsid w:val="004C591B"/>
    <w:rsid w:val="004C62A8"/>
    <w:rsid w:val="004C7E2A"/>
    <w:rsid w:val="004D0456"/>
    <w:rsid w:val="004D074A"/>
    <w:rsid w:val="004D1153"/>
    <w:rsid w:val="004D2747"/>
    <w:rsid w:val="004D2F30"/>
    <w:rsid w:val="004D3255"/>
    <w:rsid w:val="004D41B8"/>
    <w:rsid w:val="004D41EE"/>
    <w:rsid w:val="004D451C"/>
    <w:rsid w:val="004D6A8D"/>
    <w:rsid w:val="004E07CC"/>
    <w:rsid w:val="004E151A"/>
    <w:rsid w:val="004E19AF"/>
    <w:rsid w:val="004E1F91"/>
    <w:rsid w:val="004E2900"/>
    <w:rsid w:val="004E3334"/>
    <w:rsid w:val="004E392A"/>
    <w:rsid w:val="004E3DEC"/>
    <w:rsid w:val="004E4214"/>
    <w:rsid w:val="004E4D66"/>
    <w:rsid w:val="004E4DEE"/>
    <w:rsid w:val="004E530D"/>
    <w:rsid w:val="004E6984"/>
    <w:rsid w:val="004E6D29"/>
    <w:rsid w:val="004F0ACC"/>
    <w:rsid w:val="004F148B"/>
    <w:rsid w:val="004F1E8F"/>
    <w:rsid w:val="004F2158"/>
    <w:rsid w:val="004F2F81"/>
    <w:rsid w:val="004F330D"/>
    <w:rsid w:val="004F421D"/>
    <w:rsid w:val="004F4AAB"/>
    <w:rsid w:val="004F564D"/>
    <w:rsid w:val="004F56EA"/>
    <w:rsid w:val="004F5C35"/>
    <w:rsid w:val="004F67B1"/>
    <w:rsid w:val="004F6864"/>
    <w:rsid w:val="004F6902"/>
    <w:rsid w:val="004F6B35"/>
    <w:rsid w:val="00500CED"/>
    <w:rsid w:val="005012A7"/>
    <w:rsid w:val="005013B3"/>
    <w:rsid w:val="00502874"/>
    <w:rsid w:val="00503865"/>
    <w:rsid w:val="00504B75"/>
    <w:rsid w:val="005132A3"/>
    <w:rsid w:val="00513FA1"/>
    <w:rsid w:val="00515382"/>
    <w:rsid w:val="00515444"/>
    <w:rsid w:val="005156B5"/>
    <w:rsid w:val="00515760"/>
    <w:rsid w:val="00515DD6"/>
    <w:rsid w:val="005162E4"/>
    <w:rsid w:val="00516C89"/>
    <w:rsid w:val="00516FF0"/>
    <w:rsid w:val="005178AE"/>
    <w:rsid w:val="005203DD"/>
    <w:rsid w:val="00521260"/>
    <w:rsid w:val="00521403"/>
    <w:rsid w:val="0052297D"/>
    <w:rsid w:val="00522A43"/>
    <w:rsid w:val="00522E25"/>
    <w:rsid w:val="005235E2"/>
    <w:rsid w:val="005237DE"/>
    <w:rsid w:val="00523857"/>
    <w:rsid w:val="00523AA8"/>
    <w:rsid w:val="005243F7"/>
    <w:rsid w:val="00525517"/>
    <w:rsid w:val="00526B99"/>
    <w:rsid w:val="00527EC0"/>
    <w:rsid w:val="0053097B"/>
    <w:rsid w:val="00533578"/>
    <w:rsid w:val="00533769"/>
    <w:rsid w:val="00533884"/>
    <w:rsid w:val="00533A23"/>
    <w:rsid w:val="00533E63"/>
    <w:rsid w:val="0053404E"/>
    <w:rsid w:val="005342F8"/>
    <w:rsid w:val="00536079"/>
    <w:rsid w:val="005411D7"/>
    <w:rsid w:val="0054190F"/>
    <w:rsid w:val="00542CBA"/>
    <w:rsid w:val="00542DE9"/>
    <w:rsid w:val="00542FA3"/>
    <w:rsid w:val="005430FF"/>
    <w:rsid w:val="005447DF"/>
    <w:rsid w:val="005457D7"/>
    <w:rsid w:val="00545CD5"/>
    <w:rsid w:val="00545E32"/>
    <w:rsid w:val="00546B11"/>
    <w:rsid w:val="00546B4C"/>
    <w:rsid w:val="00546F2B"/>
    <w:rsid w:val="00547113"/>
    <w:rsid w:val="00550400"/>
    <w:rsid w:val="00550DA3"/>
    <w:rsid w:val="00551131"/>
    <w:rsid w:val="00551363"/>
    <w:rsid w:val="005516F2"/>
    <w:rsid w:val="0055174C"/>
    <w:rsid w:val="00551C49"/>
    <w:rsid w:val="005532DB"/>
    <w:rsid w:val="0055363C"/>
    <w:rsid w:val="00553806"/>
    <w:rsid w:val="00553A0A"/>
    <w:rsid w:val="00553D1A"/>
    <w:rsid w:val="00554953"/>
    <w:rsid w:val="00554C0B"/>
    <w:rsid w:val="00555F2A"/>
    <w:rsid w:val="00557A41"/>
    <w:rsid w:val="00557ACE"/>
    <w:rsid w:val="00557D7B"/>
    <w:rsid w:val="00560164"/>
    <w:rsid w:val="00561816"/>
    <w:rsid w:val="00561AE3"/>
    <w:rsid w:val="00562BF6"/>
    <w:rsid w:val="00565A6C"/>
    <w:rsid w:val="00566179"/>
    <w:rsid w:val="005663BE"/>
    <w:rsid w:val="0056769F"/>
    <w:rsid w:val="005677E4"/>
    <w:rsid w:val="005678A6"/>
    <w:rsid w:val="005702BD"/>
    <w:rsid w:val="00570C94"/>
    <w:rsid w:val="00571A4D"/>
    <w:rsid w:val="00572224"/>
    <w:rsid w:val="00572A38"/>
    <w:rsid w:val="00573141"/>
    <w:rsid w:val="0057326F"/>
    <w:rsid w:val="00574860"/>
    <w:rsid w:val="005752F5"/>
    <w:rsid w:val="005757B9"/>
    <w:rsid w:val="00575883"/>
    <w:rsid w:val="00576331"/>
    <w:rsid w:val="00576707"/>
    <w:rsid w:val="00576999"/>
    <w:rsid w:val="00576CCC"/>
    <w:rsid w:val="00577E54"/>
    <w:rsid w:val="005800A5"/>
    <w:rsid w:val="00580151"/>
    <w:rsid w:val="0058061B"/>
    <w:rsid w:val="00580721"/>
    <w:rsid w:val="00580827"/>
    <w:rsid w:val="00581703"/>
    <w:rsid w:val="00581999"/>
    <w:rsid w:val="005839A6"/>
    <w:rsid w:val="005852B2"/>
    <w:rsid w:val="00585554"/>
    <w:rsid w:val="00585AF4"/>
    <w:rsid w:val="00586062"/>
    <w:rsid w:val="005868E4"/>
    <w:rsid w:val="00586D46"/>
    <w:rsid w:val="0058718B"/>
    <w:rsid w:val="0059029C"/>
    <w:rsid w:val="00591CF2"/>
    <w:rsid w:val="00591FB5"/>
    <w:rsid w:val="00592D0E"/>
    <w:rsid w:val="00593BF6"/>
    <w:rsid w:val="00593F49"/>
    <w:rsid w:val="00594999"/>
    <w:rsid w:val="00595C11"/>
    <w:rsid w:val="005969FD"/>
    <w:rsid w:val="00596CBD"/>
    <w:rsid w:val="00596FAD"/>
    <w:rsid w:val="00597365"/>
    <w:rsid w:val="005A084D"/>
    <w:rsid w:val="005A10FA"/>
    <w:rsid w:val="005A13DE"/>
    <w:rsid w:val="005A1C89"/>
    <w:rsid w:val="005A1FC6"/>
    <w:rsid w:val="005A29DE"/>
    <w:rsid w:val="005A2C0F"/>
    <w:rsid w:val="005A2E6A"/>
    <w:rsid w:val="005A56D0"/>
    <w:rsid w:val="005A5C9A"/>
    <w:rsid w:val="005A765A"/>
    <w:rsid w:val="005A7B7D"/>
    <w:rsid w:val="005B00E1"/>
    <w:rsid w:val="005B052E"/>
    <w:rsid w:val="005B06DF"/>
    <w:rsid w:val="005B1EFB"/>
    <w:rsid w:val="005B2067"/>
    <w:rsid w:val="005B22A3"/>
    <w:rsid w:val="005B2E0A"/>
    <w:rsid w:val="005B2EF2"/>
    <w:rsid w:val="005B3B67"/>
    <w:rsid w:val="005B4790"/>
    <w:rsid w:val="005B493C"/>
    <w:rsid w:val="005B5739"/>
    <w:rsid w:val="005B5AF4"/>
    <w:rsid w:val="005B64FA"/>
    <w:rsid w:val="005B6ABB"/>
    <w:rsid w:val="005B6C5C"/>
    <w:rsid w:val="005B6EC8"/>
    <w:rsid w:val="005B74C2"/>
    <w:rsid w:val="005C039F"/>
    <w:rsid w:val="005C14D9"/>
    <w:rsid w:val="005C1968"/>
    <w:rsid w:val="005C38F5"/>
    <w:rsid w:val="005C3E1F"/>
    <w:rsid w:val="005C4139"/>
    <w:rsid w:val="005C5159"/>
    <w:rsid w:val="005C52BB"/>
    <w:rsid w:val="005C75C4"/>
    <w:rsid w:val="005D1B9D"/>
    <w:rsid w:val="005D1D94"/>
    <w:rsid w:val="005D25FF"/>
    <w:rsid w:val="005D3D15"/>
    <w:rsid w:val="005D49CD"/>
    <w:rsid w:val="005D5E4F"/>
    <w:rsid w:val="005D668F"/>
    <w:rsid w:val="005D6C74"/>
    <w:rsid w:val="005D7166"/>
    <w:rsid w:val="005D73D7"/>
    <w:rsid w:val="005D7EC8"/>
    <w:rsid w:val="005E098B"/>
    <w:rsid w:val="005E0C13"/>
    <w:rsid w:val="005E146A"/>
    <w:rsid w:val="005E1C78"/>
    <w:rsid w:val="005E264E"/>
    <w:rsid w:val="005E426F"/>
    <w:rsid w:val="005E4A77"/>
    <w:rsid w:val="005E5A6D"/>
    <w:rsid w:val="005E629A"/>
    <w:rsid w:val="005E71C6"/>
    <w:rsid w:val="005E779E"/>
    <w:rsid w:val="005E7D1E"/>
    <w:rsid w:val="005F01E9"/>
    <w:rsid w:val="005F07A3"/>
    <w:rsid w:val="005F0D54"/>
    <w:rsid w:val="005F0EA2"/>
    <w:rsid w:val="005F22FA"/>
    <w:rsid w:val="005F257A"/>
    <w:rsid w:val="005F2BA5"/>
    <w:rsid w:val="005F48EF"/>
    <w:rsid w:val="005F695F"/>
    <w:rsid w:val="005F7D8E"/>
    <w:rsid w:val="006023F5"/>
    <w:rsid w:val="00603AB0"/>
    <w:rsid w:val="00603B8A"/>
    <w:rsid w:val="00603E4C"/>
    <w:rsid w:val="00604217"/>
    <w:rsid w:val="006055C4"/>
    <w:rsid w:val="0060564C"/>
    <w:rsid w:val="00605B10"/>
    <w:rsid w:val="0060646B"/>
    <w:rsid w:val="00606A8D"/>
    <w:rsid w:val="00611F20"/>
    <w:rsid w:val="00612E99"/>
    <w:rsid w:val="006134FD"/>
    <w:rsid w:val="0061393E"/>
    <w:rsid w:val="00613B87"/>
    <w:rsid w:val="006140EC"/>
    <w:rsid w:val="006159C7"/>
    <w:rsid w:val="006164A0"/>
    <w:rsid w:val="00616748"/>
    <w:rsid w:val="00616EA8"/>
    <w:rsid w:val="00617B4B"/>
    <w:rsid w:val="00617F8C"/>
    <w:rsid w:val="00620886"/>
    <w:rsid w:val="00620E73"/>
    <w:rsid w:val="006215DB"/>
    <w:rsid w:val="00621704"/>
    <w:rsid w:val="00621B3A"/>
    <w:rsid w:val="006228A5"/>
    <w:rsid w:val="00622F36"/>
    <w:rsid w:val="0062397D"/>
    <w:rsid w:val="00624533"/>
    <w:rsid w:val="00625292"/>
    <w:rsid w:val="0062589D"/>
    <w:rsid w:val="006259A9"/>
    <w:rsid w:val="00626DD2"/>
    <w:rsid w:val="00627551"/>
    <w:rsid w:val="00627877"/>
    <w:rsid w:val="00627B77"/>
    <w:rsid w:val="00627F49"/>
    <w:rsid w:val="006311B7"/>
    <w:rsid w:val="0063237E"/>
    <w:rsid w:val="006335AE"/>
    <w:rsid w:val="006338DA"/>
    <w:rsid w:val="0063489F"/>
    <w:rsid w:val="0063492C"/>
    <w:rsid w:val="0063510E"/>
    <w:rsid w:val="006354BA"/>
    <w:rsid w:val="00635C6E"/>
    <w:rsid w:val="00636BAF"/>
    <w:rsid w:val="006374C3"/>
    <w:rsid w:val="00637A6D"/>
    <w:rsid w:val="00640560"/>
    <w:rsid w:val="00640B99"/>
    <w:rsid w:val="006416D7"/>
    <w:rsid w:val="00642ADE"/>
    <w:rsid w:val="00642AE3"/>
    <w:rsid w:val="00642AF1"/>
    <w:rsid w:val="0064344B"/>
    <w:rsid w:val="00643DDB"/>
    <w:rsid w:val="00643F86"/>
    <w:rsid w:val="0064487B"/>
    <w:rsid w:val="0064629C"/>
    <w:rsid w:val="00646406"/>
    <w:rsid w:val="00647627"/>
    <w:rsid w:val="00647B5C"/>
    <w:rsid w:val="006500D8"/>
    <w:rsid w:val="00650B19"/>
    <w:rsid w:val="0065100D"/>
    <w:rsid w:val="00651C34"/>
    <w:rsid w:val="00652242"/>
    <w:rsid w:val="00652A43"/>
    <w:rsid w:val="006533F9"/>
    <w:rsid w:val="00653988"/>
    <w:rsid w:val="00653E17"/>
    <w:rsid w:val="00654D2A"/>
    <w:rsid w:val="00655540"/>
    <w:rsid w:val="0065706A"/>
    <w:rsid w:val="00657B46"/>
    <w:rsid w:val="00660338"/>
    <w:rsid w:val="0066273C"/>
    <w:rsid w:val="006641BA"/>
    <w:rsid w:val="00664323"/>
    <w:rsid w:val="006655D4"/>
    <w:rsid w:val="00667213"/>
    <w:rsid w:val="006674CA"/>
    <w:rsid w:val="0066767C"/>
    <w:rsid w:val="00667C96"/>
    <w:rsid w:val="00670FDC"/>
    <w:rsid w:val="00671063"/>
    <w:rsid w:val="0067160D"/>
    <w:rsid w:val="00671972"/>
    <w:rsid w:val="00671D77"/>
    <w:rsid w:val="00672457"/>
    <w:rsid w:val="0067268F"/>
    <w:rsid w:val="00672868"/>
    <w:rsid w:val="00673ECC"/>
    <w:rsid w:val="006747B6"/>
    <w:rsid w:val="006747F5"/>
    <w:rsid w:val="00676A73"/>
    <w:rsid w:val="0067749D"/>
    <w:rsid w:val="00677AA9"/>
    <w:rsid w:val="006807EE"/>
    <w:rsid w:val="00681327"/>
    <w:rsid w:val="006829D0"/>
    <w:rsid w:val="006835E0"/>
    <w:rsid w:val="006837B7"/>
    <w:rsid w:val="006838AE"/>
    <w:rsid w:val="00683CB3"/>
    <w:rsid w:val="006840E7"/>
    <w:rsid w:val="006847F5"/>
    <w:rsid w:val="0068559C"/>
    <w:rsid w:val="00686DAD"/>
    <w:rsid w:val="006905D3"/>
    <w:rsid w:val="00690E2B"/>
    <w:rsid w:val="00693416"/>
    <w:rsid w:val="00695048"/>
    <w:rsid w:val="006953E5"/>
    <w:rsid w:val="006955D0"/>
    <w:rsid w:val="0069642D"/>
    <w:rsid w:val="0069664B"/>
    <w:rsid w:val="0069668A"/>
    <w:rsid w:val="00697506"/>
    <w:rsid w:val="00697992"/>
    <w:rsid w:val="006A01D0"/>
    <w:rsid w:val="006A101D"/>
    <w:rsid w:val="006A2059"/>
    <w:rsid w:val="006A3432"/>
    <w:rsid w:val="006A3AD3"/>
    <w:rsid w:val="006A3C1D"/>
    <w:rsid w:val="006A3C6E"/>
    <w:rsid w:val="006A45EA"/>
    <w:rsid w:val="006A47AF"/>
    <w:rsid w:val="006A539F"/>
    <w:rsid w:val="006A5922"/>
    <w:rsid w:val="006A59E9"/>
    <w:rsid w:val="006A6AB2"/>
    <w:rsid w:val="006A7014"/>
    <w:rsid w:val="006A79E0"/>
    <w:rsid w:val="006B0A23"/>
    <w:rsid w:val="006B12DC"/>
    <w:rsid w:val="006B1E1A"/>
    <w:rsid w:val="006B31E2"/>
    <w:rsid w:val="006B3EFF"/>
    <w:rsid w:val="006B66B6"/>
    <w:rsid w:val="006B7273"/>
    <w:rsid w:val="006B7B45"/>
    <w:rsid w:val="006C077D"/>
    <w:rsid w:val="006C0A58"/>
    <w:rsid w:val="006C149D"/>
    <w:rsid w:val="006C18EA"/>
    <w:rsid w:val="006C1DB2"/>
    <w:rsid w:val="006C21DC"/>
    <w:rsid w:val="006C3C51"/>
    <w:rsid w:val="006C3DE8"/>
    <w:rsid w:val="006C4F2B"/>
    <w:rsid w:val="006C6F56"/>
    <w:rsid w:val="006C757B"/>
    <w:rsid w:val="006C7973"/>
    <w:rsid w:val="006D2277"/>
    <w:rsid w:val="006D3E5A"/>
    <w:rsid w:val="006D532C"/>
    <w:rsid w:val="006D59D6"/>
    <w:rsid w:val="006D666F"/>
    <w:rsid w:val="006D777E"/>
    <w:rsid w:val="006E0355"/>
    <w:rsid w:val="006E06D1"/>
    <w:rsid w:val="006E0A8C"/>
    <w:rsid w:val="006E232D"/>
    <w:rsid w:val="006E3E3F"/>
    <w:rsid w:val="006E4947"/>
    <w:rsid w:val="006E5216"/>
    <w:rsid w:val="006E5660"/>
    <w:rsid w:val="006E5E51"/>
    <w:rsid w:val="006E65C5"/>
    <w:rsid w:val="006E7D08"/>
    <w:rsid w:val="006F0A86"/>
    <w:rsid w:val="006F1985"/>
    <w:rsid w:val="006F1DF1"/>
    <w:rsid w:val="006F27EA"/>
    <w:rsid w:val="006F2AF0"/>
    <w:rsid w:val="006F2C1F"/>
    <w:rsid w:val="006F4C57"/>
    <w:rsid w:val="006F64C4"/>
    <w:rsid w:val="006F75C3"/>
    <w:rsid w:val="006F7D53"/>
    <w:rsid w:val="00701546"/>
    <w:rsid w:val="00702FBE"/>
    <w:rsid w:val="007042C6"/>
    <w:rsid w:val="00704358"/>
    <w:rsid w:val="007059CC"/>
    <w:rsid w:val="00705BDB"/>
    <w:rsid w:val="00706E5E"/>
    <w:rsid w:val="0070718E"/>
    <w:rsid w:val="00707D5E"/>
    <w:rsid w:val="007104FA"/>
    <w:rsid w:val="007109EE"/>
    <w:rsid w:val="00711361"/>
    <w:rsid w:val="007117A4"/>
    <w:rsid w:val="00711E4F"/>
    <w:rsid w:val="00712116"/>
    <w:rsid w:val="00713780"/>
    <w:rsid w:val="0071382D"/>
    <w:rsid w:val="00714DB1"/>
    <w:rsid w:val="0071517A"/>
    <w:rsid w:val="0071519D"/>
    <w:rsid w:val="00715ED9"/>
    <w:rsid w:val="00716525"/>
    <w:rsid w:val="0071661F"/>
    <w:rsid w:val="0071674B"/>
    <w:rsid w:val="007167B7"/>
    <w:rsid w:val="00716838"/>
    <w:rsid w:val="00716CB4"/>
    <w:rsid w:val="007207F4"/>
    <w:rsid w:val="007229ED"/>
    <w:rsid w:val="0072379B"/>
    <w:rsid w:val="00724596"/>
    <w:rsid w:val="00724891"/>
    <w:rsid w:val="00724F8C"/>
    <w:rsid w:val="00726C34"/>
    <w:rsid w:val="007276DD"/>
    <w:rsid w:val="00727925"/>
    <w:rsid w:val="00731168"/>
    <w:rsid w:val="00731539"/>
    <w:rsid w:val="00731B45"/>
    <w:rsid w:val="00732457"/>
    <w:rsid w:val="0073251C"/>
    <w:rsid w:val="00732616"/>
    <w:rsid w:val="00733387"/>
    <w:rsid w:val="00733865"/>
    <w:rsid w:val="007347D6"/>
    <w:rsid w:val="00734AB8"/>
    <w:rsid w:val="00734D92"/>
    <w:rsid w:val="00736213"/>
    <w:rsid w:val="00736932"/>
    <w:rsid w:val="00736B14"/>
    <w:rsid w:val="007370E3"/>
    <w:rsid w:val="00740185"/>
    <w:rsid w:val="0074028C"/>
    <w:rsid w:val="007402BD"/>
    <w:rsid w:val="0074129D"/>
    <w:rsid w:val="00741E7E"/>
    <w:rsid w:val="00743128"/>
    <w:rsid w:val="00743475"/>
    <w:rsid w:val="007440D7"/>
    <w:rsid w:val="00744BE1"/>
    <w:rsid w:val="00744D7B"/>
    <w:rsid w:val="007451A6"/>
    <w:rsid w:val="00745798"/>
    <w:rsid w:val="007470D1"/>
    <w:rsid w:val="007474EC"/>
    <w:rsid w:val="00747712"/>
    <w:rsid w:val="00747AD1"/>
    <w:rsid w:val="0075255A"/>
    <w:rsid w:val="007533AE"/>
    <w:rsid w:val="00753445"/>
    <w:rsid w:val="007538EB"/>
    <w:rsid w:val="00754E16"/>
    <w:rsid w:val="00755280"/>
    <w:rsid w:val="0075533C"/>
    <w:rsid w:val="00755AC5"/>
    <w:rsid w:val="00757902"/>
    <w:rsid w:val="00762EA2"/>
    <w:rsid w:val="00763404"/>
    <w:rsid w:val="0076557A"/>
    <w:rsid w:val="00767A54"/>
    <w:rsid w:val="00767FCB"/>
    <w:rsid w:val="00770C51"/>
    <w:rsid w:val="00770D0C"/>
    <w:rsid w:val="0077119B"/>
    <w:rsid w:val="00771F1F"/>
    <w:rsid w:val="00774735"/>
    <w:rsid w:val="007770E3"/>
    <w:rsid w:val="007774A3"/>
    <w:rsid w:val="00780065"/>
    <w:rsid w:val="00781833"/>
    <w:rsid w:val="00781C6D"/>
    <w:rsid w:val="00781D2C"/>
    <w:rsid w:val="007834FE"/>
    <w:rsid w:val="007854F8"/>
    <w:rsid w:val="00785689"/>
    <w:rsid w:val="007870CE"/>
    <w:rsid w:val="00787A65"/>
    <w:rsid w:val="007906AE"/>
    <w:rsid w:val="0079084E"/>
    <w:rsid w:val="007920A9"/>
    <w:rsid w:val="00792FDA"/>
    <w:rsid w:val="0079446E"/>
    <w:rsid w:val="00794517"/>
    <w:rsid w:val="0079552F"/>
    <w:rsid w:val="0079610B"/>
    <w:rsid w:val="00797419"/>
    <w:rsid w:val="007A00A2"/>
    <w:rsid w:val="007A080D"/>
    <w:rsid w:val="007A0CC3"/>
    <w:rsid w:val="007A1F71"/>
    <w:rsid w:val="007A3392"/>
    <w:rsid w:val="007A3C0F"/>
    <w:rsid w:val="007A42AB"/>
    <w:rsid w:val="007A4A2C"/>
    <w:rsid w:val="007A5EA5"/>
    <w:rsid w:val="007A6C75"/>
    <w:rsid w:val="007A71C6"/>
    <w:rsid w:val="007B0269"/>
    <w:rsid w:val="007B0EAD"/>
    <w:rsid w:val="007B2CAD"/>
    <w:rsid w:val="007B2D1C"/>
    <w:rsid w:val="007B4AEA"/>
    <w:rsid w:val="007B5ECB"/>
    <w:rsid w:val="007B664A"/>
    <w:rsid w:val="007B7111"/>
    <w:rsid w:val="007C0C32"/>
    <w:rsid w:val="007C0E82"/>
    <w:rsid w:val="007C1F36"/>
    <w:rsid w:val="007C256A"/>
    <w:rsid w:val="007C29B1"/>
    <w:rsid w:val="007C2A6D"/>
    <w:rsid w:val="007C402C"/>
    <w:rsid w:val="007C407D"/>
    <w:rsid w:val="007C4218"/>
    <w:rsid w:val="007C4815"/>
    <w:rsid w:val="007C49F2"/>
    <w:rsid w:val="007C5833"/>
    <w:rsid w:val="007C5E7C"/>
    <w:rsid w:val="007C65A0"/>
    <w:rsid w:val="007C71B8"/>
    <w:rsid w:val="007C7282"/>
    <w:rsid w:val="007C7766"/>
    <w:rsid w:val="007D0003"/>
    <w:rsid w:val="007D28BA"/>
    <w:rsid w:val="007D2C83"/>
    <w:rsid w:val="007D3B6C"/>
    <w:rsid w:val="007D3E25"/>
    <w:rsid w:val="007D42C5"/>
    <w:rsid w:val="007D4473"/>
    <w:rsid w:val="007D4BBC"/>
    <w:rsid w:val="007D4C0F"/>
    <w:rsid w:val="007D645F"/>
    <w:rsid w:val="007D6977"/>
    <w:rsid w:val="007D716F"/>
    <w:rsid w:val="007D722E"/>
    <w:rsid w:val="007D7C17"/>
    <w:rsid w:val="007D7FB2"/>
    <w:rsid w:val="007E0473"/>
    <w:rsid w:val="007E0586"/>
    <w:rsid w:val="007E085A"/>
    <w:rsid w:val="007E0D0C"/>
    <w:rsid w:val="007E1E76"/>
    <w:rsid w:val="007E37AA"/>
    <w:rsid w:val="007E3EC1"/>
    <w:rsid w:val="007E4CE3"/>
    <w:rsid w:val="007E55E3"/>
    <w:rsid w:val="007E68A1"/>
    <w:rsid w:val="007E6C9C"/>
    <w:rsid w:val="007F04AF"/>
    <w:rsid w:val="007F14A3"/>
    <w:rsid w:val="007F157B"/>
    <w:rsid w:val="007F30CF"/>
    <w:rsid w:val="007F349C"/>
    <w:rsid w:val="007F427D"/>
    <w:rsid w:val="007F4C08"/>
    <w:rsid w:val="007F51B9"/>
    <w:rsid w:val="007F6726"/>
    <w:rsid w:val="007F6900"/>
    <w:rsid w:val="007F696E"/>
    <w:rsid w:val="007F7401"/>
    <w:rsid w:val="007F77E5"/>
    <w:rsid w:val="00801922"/>
    <w:rsid w:val="00801B5F"/>
    <w:rsid w:val="0080269C"/>
    <w:rsid w:val="00803182"/>
    <w:rsid w:val="00803E3B"/>
    <w:rsid w:val="00804D27"/>
    <w:rsid w:val="00804FB1"/>
    <w:rsid w:val="00805372"/>
    <w:rsid w:val="00805448"/>
    <w:rsid w:val="00805D0A"/>
    <w:rsid w:val="00807B6A"/>
    <w:rsid w:val="00807F4A"/>
    <w:rsid w:val="008124A1"/>
    <w:rsid w:val="00812870"/>
    <w:rsid w:val="0081335B"/>
    <w:rsid w:val="00815744"/>
    <w:rsid w:val="00815E2B"/>
    <w:rsid w:val="00817F25"/>
    <w:rsid w:val="0082015F"/>
    <w:rsid w:val="008219AA"/>
    <w:rsid w:val="00822B3A"/>
    <w:rsid w:val="008254C8"/>
    <w:rsid w:val="0082570D"/>
    <w:rsid w:val="008258AC"/>
    <w:rsid w:val="0082763D"/>
    <w:rsid w:val="008279D0"/>
    <w:rsid w:val="00830F29"/>
    <w:rsid w:val="008319C4"/>
    <w:rsid w:val="00831AD8"/>
    <w:rsid w:val="00834101"/>
    <w:rsid w:val="00834BCE"/>
    <w:rsid w:val="00835404"/>
    <w:rsid w:val="008354AC"/>
    <w:rsid w:val="00836A84"/>
    <w:rsid w:val="00836BD6"/>
    <w:rsid w:val="00837C4E"/>
    <w:rsid w:val="00837CF2"/>
    <w:rsid w:val="00841423"/>
    <w:rsid w:val="0084223B"/>
    <w:rsid w:val="00842B5A"/>
    <w:rsid w:val="00843404"/>
    <w:rsid w:val="00843AD7"/>
    <w:rsid w:val="00843EF1"/>
    <w:rsid w:val="00844217"/>
    <w:rsid w:val="00845F50"/>
    <w:rsid w:val="0084620E"/>
    <w:rsid w:val="0084753E"/>
    <w:rsid w:val="00850E96"/>
    <w:rsid w:val="00852347"/>
    <w:rsid w:val="008527DB"/>
    <w:rsid w:val="00852F8C"/>
    <w:rsid w:val="0085371A"/>
    <w:rsid w:val="00854D06"/>
    <w:rsid w:val="008554B2"/>
    <w:rsid w:val="00855BBE"/>
    <w:rsid w:val="0086156D"/>
    <w:rsid w:val="00861795"/>
    <w:rsid w:val="008620B9"/>
    <w:rsid w:val="00862412"/>
    <w:rsid w:val="008633E5"/>
    <w:rsid w:val="00863AB9"/>
    <w:rsid w:val="00866F83"/>
    <w:rsid w:val="00867836"/>
    <w:rsid w:val="00870B8D"/>
    <w:rsid w:val="00871358"/>
    <w:rsid w:val="008714C1"/>
    <w:rsid w:val="008716AC"/>
    <w:rsid w:val="00872568"/>
    <w:rsid w:val="00872A0E"/>
    <w:rsid w:val="00872CCE"/>
    <w:rsid w:val="00872EDE"/>
    <w:rsid w:val="00876949"/>
    <w:rsid w:val="00877113"/>
    <w:rsid w:val="00880A82"/>
    <w:rsid w:val="0088207A"/>
    <w:rsid w:val="0088474F"/>
    <w:rsid w:val="008849FC"/>
    <w:rsid w:val="00884D86"/>
    <w:rsid w:val="008905A1"/>
    <w:rsid w:val="00890748"/>
    <w:rsid w:val="0089175B"/>
    <w:rsid w:val="00891EB9"/>
    <w:rsid w:val="00893575"/>
    <w:rsid w:val="00893F4E"/>
    <w:rsid w:val="00894CAF"/>
    <w:rsid w:val="00894F1D"/>
    <w:rsid w:val="00895A6B"/>
    <w:rsid w:val="00896C2C"/>
    <w:rsid w:val="00896E80"/>
    <w:rsid w:val="0089784B"/>
    <w:rsid w:val="00897AD7"/>
    <w:rsid w:val="008A097F"/>
    <w:rsid w:val="008A111E"/>
    <w:rsid w:val="008A15B1"/>
    <w:rsid w:val="008A2F85"/>
    <w:rsid w:val="008A2FBA"/>
    <w:rsid w:val="008A3CA7"/>
    <w:rsid w:val="008A3DE4"/>
    <w:rsid w:val="008A44FB"/>
    <w:rsid w:val="008A4BF9"/>
    <w:rsid w:val="008A558F"/>
    <w:rsid w:val="008A5DE2"/>
    <w:rsid w:val="008A605C"/>
    <w:rsid w:val="008A690C"/>
    <w:rsid w:val="008A7322"/>
    <w:rsid w:val="008A7955"/>
    <w:rsid w:val="008B021B"/>
    <w:rsid w:val="008B1AC3"/>
    <w:rsid w:val="008B1E4B"/>
    <w:rsid w:val="008B2225"/>
    <w:rsid w:val="008B26D2"/>
    <w:rsid w:val="008B28EF"/>
    <w:rsid w:val="008B2EA7"/>
    <w:rsid w:val="008B3082"/>
    <w:rsid w:val="008B3759"/>
    <w:rsid w:val="008B3E4C"/>
    <w:rsid w:val="008B4436"/>
    <w:rsid w:val="008B5E82"/>
    <w:rsid w:val="008B6236"/>
    <w:rsid w:val="008B71A3"/>
    <w:rsid w:val="008B7F4E"/>
    <w:rsid w:val="008C00D3"/>
    <w:rsid w:val="008C0386"/>
    <w:rsid w:val="008C052C"/>
    <w:rsid w:val="008C10DE"/>
    <w:rsid w:val="008C1B65"/>
    <w:rsid w:val="008C2D43"/>
    <w:rsid w:val="008C3391"/>
    <w:rsid w:val="008C3DF2"/>
    <w:rsid w:val="008C5FF2"/>
    <w:rsid w:val="008C5FF3"/>
    <w:rsid w:val="008C63B1"/>
    <w:rsid w:val="008C6503"/>
    <w:rsid w:val="008C6CB7"/>
    <w:rsid w:val="008D014F"/>
    <w:rsid w:val="008D072D"/>
    <w:rsid w:val="008D0FC5"/>
    <w:rsid w:val="008D13BB"/>
    <w:rsid w:val="008D2141"/>
    <w:rsid w:val="008D2BBE"/>
    <w:rsid w:val="008D3814"/>
    <w:rsid w:val="008D4000"/>
    <w:rsid w:val="008D41A5"/>
    <w:rsid w:val="008D60CA"/>
    <w:rsid w:val="008D6567"/>
    <w:rsid w:val="008D6688"/>
    <w:rsid w:val="008D6D48"/>
    <w:rsid w:val="008D6FBC"/>
    <w:rsid w:val="008E13EA"/>
    <w:rsid w:val="008E1A93"/>
    <w:rsid w:val="008E2786"/>
    <w:rsid w:val="008E33DC"/>
    <w:rsid w:val="008E3487"/>
    <w:rsid w:val="008E46F0"/>
    <w:rsid w:val="008E4F08"/>
    <w:rsid w:val="008E5BD6"/>
    <w:rsid w:val="008F0E00"/>
    <w:rsid w:val="008F1285"/>
    <w:rsid w:val="008F198E"/>
    <w:rsid w:val="008F421F"/>
    <w:rsid w:val="008F4579"/>
    <w:rsid w:val="008F4A08"/>
    <w:rsid w:val="008F4DAD"/>
    <w:rsid w:val="008F55AA"/>
    <w:rsid w:val="008F6175"/>
    <w:rsid w:val="008F64BF"/>
    <w:rsid w:val="008F75A0"/>
    <w:rsid w:val="008F7DC9"/>
    <w:rsid w:val="008F7F83"/>
    <w:rsid w:val="00900037"/>
    <w:rsid w:val="009006C2"/>
    <w:rsid w:val="00900953"/>
    <w:rsid w:val="009015BF"/>
    <w:rsid w:val="00901FEA"/>
    <w:rsid w:val="0090213D"/>
    <w:rsid w:val="00902AEF"/>
    <w:rsid w:val="00902C83"/>
    <w:rsid w:val="009033DF"/>
    <w:rsid w:val="00904325"/>
    <w:rsid w:val="00904B25"/>
    <w:rsid w:val="00905B73"/>
    <w:rsid w:val="00905D3A"/>
    <w:rsid w:val="009069E5"/>
    <w:rsid w:val="00906B91"/>
    <w:rsid w:val="009078F7"/>
    <w:rsid w:val="00907FDA"/>
    <w:rsid w:val="00910675"/>
    <w:rsid w:val="0091083D"/>
    <w:rsid w:val="009108B1"/>
    <w:rsid w:val="009118FA"/>
    <w:rsid w:val="00911E9D"/>
    <w:rsid w:val="009134D3"/>
    <w:rsid w:val="00914D69"/>
    <w:rsid w:val="00915836"/>
    <w:rsid w:val="00916034"/>
    <w:rsid w:val="0091656B"/>
    <w:rsid w:val="0091664F"/>
    <w:rsid w:val="00921008"/>
    <w:rsid w:val="00922B1A"/>
    <w:rsid w:val="009251D5"/>
    <w:rsid w:val="00925959"/>
    <w:rsid w:val="009275FE"/>
    <w:rsid w:val="00927836"/>
    <w:rsid w:val="0093083D"/>
    <w:rsid w:val="0093140D"/>
    <w:rsid w:val="00931CF2"/>
    <w:rsid w:val="00932A92"/>
    <w:rsid w:val="0093419C"/>
    <w:rsid w:val="00934543"/>
    <w:rsid w:val="00934F26"/>
    <w:rsid w:val="00935E90"/>
    <w:rsid w:val="00937D3D"/>
    <w:rsid w:val="00940303"/>
    <w:rsid w:val="009403DC"/>
    <w:rsid w:val="00940AB4"/>
    <w:rsid w:val="00941999"/>
    <w:rsid w:val="00941A3B"/>
    <w:rsid w:val="00941C52"/>
    <w:rsid w:val="009430A1"/>
    <w:rsid w:val="009436D8"/>
    <w:rsid w:val="00943C2A"/>
    <w:rsid w:val="009441B3"/>
    <w:rsid w:val="0094553C"/>
    <w:rsid w:val="00946852"/>
    <w:rsid w:val="009469EC"/>
    <w:rsid w:val="00946C8E"/>
    <w:rsid w:val="009473CB"/>
    <w:rsid w:val="00950D32"/>
    <w:rsid w:val="0095108B"/>
    <w:rsid w:val="009512F7"/>
    <w:rsid w:val="00951782"/>
    <w:rsid w:val="009521D1"/>
    <w:rsid w:val="009525FD"/>
    <w:rsid w:val="00952CBC"/>
    <w:rsid w:val="00953276"/>
    <w:rsid w:val="0095333A"/>
    <w:rsid w:val="00953887"/>
    <w:rsid w:val="00953D53"/>
    <w:rsid w:val="00954433"/>
    <w:rsid w:val="009545B7"/>
    <w:rsid w:val="00954627"/>
    <w:rsid w:val="00954876"/>
    <w:rsid w:val="009548CF"/>
    <w:rsid w:val="009560C0"/>
    <w:rsid w:val="00957DB4"/>
    <w:rsid w:val="0096060A"/>
    <w:rsid w:val="00960650"/>
    <w:rsid w:val="009608C6"/>
    <w:rsid w:val="00961719"/>
    <w:rsid w:val="009617EA"/>
    <w:rsid w:val="00963961"/>
    <w:rsid w:val="0096485E"/>
    <w:rsid w:val="00965339"/>
    <w:rsid w:val="00965E06"/>
    <w:rsid w:val="00965FB7"/>
    <w:rsid w:val="00966642"/>
    <w:rsid w:val="00966BA4"/>
    <w:rsid w:val="00966ECE"/>
    <w:rsid w:val="00967500"/>
    <w:rsid w:val="009678A1"/>
    <w:rsid w:val="00967F0A"/>
    <w:rsid w:val="00970189"/>
    <w:rsid w:val="009702D8"/>
    <w:rsid w:val="009706DD"/>
    <w:rsid w:val="00970725"/>
    <w:rsid w:val="009707D3"/>
    <w:rsid w:val="00970D97"/>
    <w:rsid w:val="0097175A"/>
    <w:rsid w:val="009724E3"/>
    <w:rsid w:val="00973CE2"/>
    <w:rsid w:val="00974CE7"/>
    <w:rsid w:val="00976156"/>
    <w:rsid w:val="0097647E"/>
    <w:rsid w:val="009765D7"/>
    <w:rsid w:val="00976BED"/>
    <w:rsid w:val="00977E4C"/>
    <w:rsid w:val="00980A5B"/>
    <w:rsid w:val="00980FE1"/>
    <w:rsid w:val="0098263E"/>
    <w:rsid w:val="009826FE"/>
    <w:rsid w:val="009833BC"/>
    <w:rsid w:val="0098440F"/>
    <w:rsid w:val="009851E3"/>
    <w:rsid w:val="0098570E"/>
    <w:rsid w:val="00986D85"/>
    <w:rsid w:val="00987A38"/>
    <w:rsid w:val="00987FB9"/>
    <w:rsid w:val="00990617"/>
    <w:rsid w:val="009934BB"/>
    <w:rsid w:val="00993C30"/>
    <w:rsid w:val="009944D9"/>
    <w:rsid w:val="00994886"/>
    <w:rsid w:val="0099538F"/>
    <w:rsid w:val="00996918"/>
    <w:rsid w:val="0099702A"/>
    <w:rsid w:val="00997817"/>
    <w:rsid w:val="00997D03"/>
    <w:rsid w:val="009A0250"/>
    <w:rsid w:val="009A07F1"/>
    <w:rsid w:val="009A0E42"/>
    <w:rsid w:val="009A175D"/>
    <w:rsid w:val="009A1916"/>
    <w:rsid w:val="009A2889"/>
    <w:rsid w:val="009A3733"/>
    <w:rsid w:val="009A41B5"/>
    <w:rsid w:val="009A43A6"/>
    <w:rsid w:val="009A4883"/>
    <w:rsid w:val="009A5873"/>
    <w:rsid w:val="009A5BCF"/>
    <w:rsid w:val="009A79BF"/>
    <w:rsid w:val="009B1435"/>
    <w:rsid w:val="009B151B"/>
    <w:rsid w:val="009B18A1"/>
    <w:rsid w:val="009B19D7"/>
    <w:rsid w:val="009B1CAD"/>
    <w:rsid w:val="009B1D51"/>
    <w:rsid w:val="009B1FA0"/>
    <w:rsid w:val="009B3D91"/>
    <w:rsid w:val="009B4101"/>
    <w:rsid w:val="009B53B4"/>
    <w:rsid w:val="009B58D1"/>
    <w:rsid w:val="009B6828"/>
    <w:rsid w:val="009B696A"/>
    <w:rsid w:val="009B6D38"/>
    <w:rsid w:val="009B7F8A"/>
    <w:rsid w:val="009C01F3"/>
    <w:rsid w:val="009C0632"/>
    <w:rsid w:val="009C17FA"/>
    <w:rsid w:val="009C2190"/>
    <w:rsid w:val="009C2323"/>
    <w:rsid w:val="009C2377"/>
    <w:rsid w:val="009C2494"/>
    <w:rsid w:val="009C4095"/>
    <w:rsid w:val="009C4E74"/>
    <w:rsid w:val="009C638A"/>
    <w:rsid w:val="009C6DD5"/>
    <w:rsid w:val="009D034C"/>
    <w:rsid w:val="009D1229"/>
    <w:rsid w:val="009D1518"/>
    <w:rsid w:val="009D19A0"/>
    <w:rsid w:val="009D2F75"/>
    <w:rsid w:val="009D306B"/>
    <w:rsid w:val="009D4255"/>
    <w:rsid w:val="009D78A9"/>
    <w:rsid w:val="009E0378"/>
    <w:rsid w:val="009E114E"/>
    <w:rsid w:val="009E126B"/>
    <w:rsid w:val="009E1CB9"/>
    <w:rsid w:val="009E1FC4"/>
    <w:rsid w:val="009E3203"/>
    <w:rsid w:val="009E36F7"/>
    <w:rsid w:val="009E3D55"/>
    <w:rsid w:val="009E419F"/>
    <w:rsid w:val="009E4B58"/>
    <w:rsid w:val="009E4F82"/>
    <w:rsid w:val="009E754E"/>
    <w:rsid w:val="009E7E55"/>
    <w:rsid w:val="009F01C0"/>
    <w:rsid w:val="009F036D"/>
    <w:rsid w:val="009F05A1"/>
    <w:rsid w:val="009F29E6"/>
    <w:rsid w:val="009F2F6B"/>
    <w:rsid w:val="009F37FD"/>
    <w:rsid w:val="009F4B10"/>
    <w:rsid w:val="009F58A3"/>
    <w:rsid w:val="009F5F02"/>
    <w:rsid w:val="009F6083"/>
    <w:rsid w:val="009F67EE"/>
    <w:rsid w:val="009F6FA4"/>
    <w:rsid w:val="00A00DE4"/>
    <w:rsid w:val="00A02C0C"/>
    <w:rsid w:val="00A04350"/>
    <w:rsid w:val="00A06433"/>
    <w:rsid w:val="00A0764A"/>
    <w:rsid w:val="00A1238D"/>
    <w:rsid w:val="00A12477"/>
    <w:rsid w:val="00A125D7"/>
    <w:rsid w:val="00A128F0"/>
    <w:rsid w:val="00A1390B"/>
    <w:rsid w:val="00A14DAA"/>
    <w:rsid w:val="00A1516E"/>
    <w:rsid w:val="00A15F19"/>
    <w:rsid w:val="00A16CFF"/>
    <w:rsid w:val="00A17D83"/>
    <w:rsid w:val="00A17EAC"/>
    <w:rsid w:val="00A20DCC"/>
    <w:rsid w:val="00A22385"/>
    <w:rsid w:val="00A223FD"/>
    <w:rsid w:val="00A227FC"/>
    <w:rsid w:val="00A25302"/>
    <w:rsid w:val="00A25DF8"/>
    <w:rsid w:val="00A267DD"/>
    <w:rsid w:val="00A26C2F"/>
    <w:rsid w:val="00A26E0C"/>
    <w:rsid w:val="00A27706"/>
    <w:rsid w:val="00A301A2"/>
    <w:rsid w:val="00A316C1"/>
    <w:rsid w:val="00A3204A"/>
    <w:rsid w:val="00A331E0"/>
    <w:rsid w:val="00A3396E"/>
    <w:rsid w:val="00A339AD"/>
    <w:rsid w:val="00A33E46"/>
    <w:rsid w:val="00A34798"/>
    <w:rsid w:val="00A34C7F"/>
    <w:rsid w:val="00A34E4C"/>
    <w:rsid w:val="00A35ECC"/>
    <w:rsid w:val="00A3647D"/>
    <w:rsid w:val="00A364A8"/>
    <w:rsid w:val="00A36E7E"/>
    <w:rsid w:val="00A36F27"/>
    <w:rsid w:val="00A373E3"/>
    <w:rsid w:val="00A3764F"/>
    <w:rsid w:val="00A378A7"/>
    <w:rsid w:val="00A37CB7"/>
    <w:rsid w:val="00A4042F"/>
    <w:rsid w:val="00A4107E"/>
    <w:rsid w:val="00A41619"/>
    <w:rsid w:val="00A431FD"/>
    <w:rsid w:val="00A437E5"/>
    <w:rsid w:val="00A444A0"/>
    <w:rsid w:val="00A45F75"/>
    <w:rsid w:val="00A46729"/>
    <w:rsid w:val="00A46D46"/>
    <w:rsid w:val="00A47BB0"/>
    <w:rsid w:val="00A50400"/>
    <w:rsid w:val="00A50829"/>
    <w:rsid w:val="00A51E36"/>
    <w:rsid w:val="00A5253A"/>
    <w:rsid w:val="00A52877"/>
    <w:rsid w:val="00A52FFE"/>
    <w:rsid w:val="00A53298"/>
    <w:rsid w:val="00A539F2"/>
    <w:rsid w:val="00A5419F"/>
    <w:rsid w:val="00A54236"/>
    <w:rsid w:val="00A543ED"/>
    <w:rsid w:val="00A544A8"/>
    <w:rsid w:val="00A54901"/>
    <w:rsid w:val="00A54C5B"/>
    <w:rsid w:val="00A553BC"/>
    <w:rsid w:val="00A55429"/>
    <w:rsid w:val="00A5619E"/>
    <w:rsid w:val="00A56B78"/>
    <w:rsid w:val="00A56E71"/>
    <w:rsid w:val="00A56FE5"/>
    <w:rsid w:val="00A6353D"/>
    <w:rsid w:val="00A63871"/>
    <w:rsid w:val="00A6463E"/>
    <w:rsid w:val="00A64E93"/>
    <w:rsid w:val="00A652A5"/>
    <w:rsid w:val="00A65520"/>
    <w:rsid w:val="00A6568E"/>
    <w:rsid w:val="00A65985"/>
    <w:rsid w:val="00A66707"/>
    <w:rsid w:val="00A6691C"/>
    <w:rsid w:val="00A679A4"/>
    <w:rsid w:val="00A70165"/>
    <w:rsid w:val="00A70885"/>
    <w:rsid w:val="00A7092E"/>
    <w:rsid w:val="00A70D78"/>
    <w:rsid w:val="00A71B3A"/>
    <w:rsid w:val="00A735BF"/>
    <w:rsid w:val="00A74002"/>
    <w:rsid w:val="00A741F6"/>
    <w:rsid w:val="00A74DDE"/>
    <w:rsid w:val="00A8008E"/>
    <w:rsid w:val="00A80FC9"/>
    <w:rsid w:val="00A81033"/>
    <w:rsid w:val="00A81A80"/>
    <w:rsid w:val="00A81DA7"/>
    <w:rsid w:val="00A81DAB"/>
    <w:rsid w:val="00A82C62"/>
    <w:rsid w:val="00A82DB6"/>
    <w:rsid w:val="00A832E1"/>
    <w:rsid w:val="00A83B14"/>
    <w:rsid w:val="00A83E3F"/>
    <w:rsid w:val="00A90129"/>
    <w:rsid w:val="00A91635"/>
    <w:rsid w:val="00A917E0"/>
    <w:rsid w:val="00A92648"/>
    <w:rsid w:val="00A9318B"/>
    <w:rsid w:val="00A938F3"/>
    <w:rsid w:val="00A94209"/>
    <w:rsid w:val="00A94937"/>
    <w:rsid w:val="00A963F8"/>
    <w:rsid w:val="00A9658C"/>
    <w:rsid w:val="00A96C40"/>
    <w:rsid w:val="00A97058"/>
    <w:rsid w:val="00A974F8"/>
    <w:rsid w:val="00A97963"/>
    <w:rsid w:val="00AA0331"/>
    <w:rsid w:val="00AA03AA"/>
    <w:rsid w:val="00AA18CA"/>
    <w:rsid w:val="00AA1FE1"/>
    <w:rsid w:val="00AA20C7"/>
    <w:rsid w:val="00AA20EC"/>
    <w:rsid w:val="00AA2C39"/>
    <w:rsid w:val="00AA53C2"/>
    <w:rsid w:val="00AA6C47"/>
    <w:rsid w:val="00AA78C3"/>
    <w:rsid w:val="00AA7EED"/>
    <w:rsid w:val="00AB0984"/>
    <w:rsid w:val="00AB0A2F"/>
    <w:rsid w:val="00AB0C8D"/>
    <w:rsid w:val="00AB1212"/>
    <w:rsid w:val="00AB153B"/>
    <w:rsid w:val="00AB22AC"/>
    <w:rsid w:val="00AB2B08"/>
    <w:rsid w:val="00AB2F47"/>
    <w:rsid w:val="00AB3265"/>
    <w:rsid w:val="00AB4562"/>
    <w:rsid w:val="00AB568C"/>
    <w:rsid w:val="00AB5696"/>
    <w:rsid w:val="00AB5B1E"/>
    <w:rsid w:val="00AB5B80"/>
    <w:rsid w:val="00AB5FB4"/>
    <w:rsid w:val="00AB60D7"/>
    <w:rsid w:val="00AB66F0"/>
    <w:rsid w:val="00AC2FA2"/>
    <w:rsid w:val="00AC5E04"/>
    <w:rsid w:val="00AC6091"/>
    <w:rsid w:val="00AC60CB"/>
    <w:rsid w:val="00AC7492"/>
    <w:rsid w:val="00AC78FC"/>
    <w:rsid w:val="00AC7C3B"/>
    <w:rsid w:val="00AC7F04"/>
    <w:rsid w:val="00AD0218"/>
    <w:rsid w:val="00AD1CD7"/>
    <w:rsid w:val="00AD1FCF"/>
    <w:rsid w:val="00AD4A09"/>
    <w:rsid w:val="00AD66C9"/>
    <w:rsid w:val="00AD6F51"/>
    <w:rsid w:val="00AE08E5"/>
    <w:rsid w:val="00AE1181"/>
    <w:rsid w:val="00AE1287"/>
    <w:rsid w:val="00AE175C"/>
    <w:rsid w:val="00AE1A74"/>
    <w:rsid w:val="00AE4534"/>
    <w:rsid w:val="00AE46B8"/>
    <w:rsid w:val="00AE4757"/>
    <w:rsid w:val="00AE5555"/>
    <w:rsid w:val="00AE625A"/>
    <w:rsid w:val="00AF02B2"/>
    <w:rsid w:val="00AF03F9"/>
    <w:rsid w:val="00AF0AF5"/>
    <w:rsid w:val="00AF1420"/>
    <w:rsid w:val="00AF1F2C"/>
    <w:rsid w:val="00AF269A"/>
    <w:rsid w:val="00AF2C1F"/>
    <w:rsid w:val="00AF2DF0"/>
    <w:rsid w:val="00AF3B5C"/>
    <w:rsid w:val="00AF4040"/>
    <w:rsid w:val="00AF4F02"/>
    <w:rsid w:val="00AF59B6"/>
    <w:rsid w:val="00AF63FC"/>
    <w:rsid w:val="00AF6BA6"/>
    <w:rsid w:val="00AF7635"/>
    <w:rsid w:val="00B001C6"/>
    <w:rsid w:val="00B01BE0"/>
    <w:rsid w:val="00B02B62"/>
    <w:rsid w:val="00B03668"/>
    <w:rsid w:val="00B03719"/>
    <w:rsid w:val="00B03FF5"/>
    <w:rsid w:val="00B05A8D"/>
    <w:rsid w:val="00B0679D"/>
    <w:rsid w:val="00B07384"/>
    <w:rsid w:val="00B07B71"/>
    <w:rsid w:val="00B07D63"/>
    <w:rsid w:val="00B1163D"/>
    <w:rsid w:val="00B11BE3"/>
    <w:rsid w:val="00B12536"/>
    <w:rsid w:val="00B134BB"/>
    <w:rsid w:val="00B13EA6"/>
    <w:rsid w:val="00B14E34"/>
    <w:rsid w:val="00B15551"/>
    <w:rsid w:val="00B1560D"/>
    <w:rsid w:val="00B1575D"/>
    <w:rsid w:val="00B16CDE"/>
    <w:rsid w:val="00B16F06"/>
    <w:rsid w:val="00B170E6"/>
    <w:rsid w:val="00B17150"/>
    <w:rsid w:val="00B17DAE"/>
    <w:rsid w:val="00B20866"/>
    <w:rsid w:val="00B20888"/>
    <w:rsid w:val="00B20D8B"/>
    <w:rsid w:val="00B21360"/>
    <w:rsid w:val="00B223BC"/>
    <w:rsid w:val="00B2282D"/>
    <w:rsid w:val="00B230C0"/>
    <w:rsid w:val="00B235AC"/>
    <w:rsid w:val="00B24AF7"/>
    <w:rsid w:val="00B24C1C"/>
    <w:rsid w:val="00B25520"/>
    <w:rsid w:val="00B268A2"/>
    <w:rsid w:val="00B27A92"/>
    <w:rsid w:val="00B27C5F"/>
    <w:rsid w:val="00B30776"/>
    <w:rsid w:val="00B30796"/>
    <w:rsid w:val="00B32436"/>
    <w:rsid w:val="00B32B8B"/>
    <w:rsid w:val="00B330D7"/>
    <w:rsid w:val="00B3359E"/>
    <w:rsid w:val="00B340E1"/>
    <w:rsid w:val="00B346B7"/>
    <w:rsid w:val="00B34D44"/>
    <w:rsid w:val="00B36A94"/>
    <w:rsid w:val="00B40227"/>
    <w:rsid w:val="00B42306"/>
    <w:rsid w:val="00B42517"/>
    <w:rsid w:val="00B42D2F"/>
    <w:rsid w:val="00B42F22"/>
    <w:rsid w:val="00B436EC"/>
    <w:rsid w:val="00B438D1"/>
    <w:rsid w:val="00B43FBB"/>
    <w:rsid w:val="00B4518B"/>
    <w:rsid w:val="00B4560F"/>
    <w:rsid w:val="00B46503"/>
    <w:rsid w:val="00B469A0"/>
    <w:rsid w:val="00B46B52"/>
    <w:rsid w:val="00B50B42"/>
    <w:rsid w:val="00B5119E"/>
    <w:rsid w:val="00B5131E"/>
    <w:rsid w:val="00B51627"/>
    <w:rsid w:val="00B525C9"/>
    <w:rsid w:val="00B54294"/>
    <w:rsid w:val="00B54BD9"/>
    <w:rsid w:val="00B55DA2"/>
    <w:rsid w:val="00B566FC"/>
    <w:rsid w:val="00B603E9"/>
    <w:rsid w:val="00B60A42"/>
    <w:rsid w:val="00B63DC0"/>
    <w:rsid w:val="00B63EE1"/>
    <w:rsid w:val="00B64A4D"/>
    <w:rsid w:val="00B65D46"/>
    <w:rsid w:val="00B662CE"/>
    <w:rsid w:val="00B6724D"/>
    <w:rsid w:val="00B7013F"/>
    <w:rsid w:val="00B70CD5"/>
    <w:rsid w:val="00B7202D"/>
    <w:rsid w:val="00B72669"/>
    <w:rsid w:val="00B73387"/>
    <w:rsid w:val="00B733C2"/>
    <w:rsid w:val="00B735EF"/>
    <w:rsid w:val="00B73A53"/>
    <w:rsid w:val="00B743D2"/>
    <w:rsid w:val="00B74F6E"/>
    <w:rsid w:val="00B75B57"/>
    <w:rsid w:val="00B75E41"/>
    <w:rsid w:val="00B779BB"/>
    <w:rsid w:val="00B81586"/>
    <w:rsid w:val="00B82E0B"/>
    <w:rsid w:val="00B8531C"/>
    <w:rsid w:val="00B85694"/>
    <w:rsid w:val="00B85C66"/>
    <w:rsid w:val="00B86E9E"/>
    <w:rsid w:val="00B9091C"/>
    <w:rsid w:val="00B90CC4"/>
    <w:rsid w:val="00B90F6C"/>
    <w:rsid w:val="00B93676"/>
    <w:rsid w:val="00B94541"/>
    <w:rsid w:val="00B94742"/>
    <w:rsid w:val="00B94DE8"/>
    <w:rsid w:val="00B952E6"/>
    <w:rsid w:val="00BA1AD0"/>
    <w:rsid w:val="00BA278E"/>
    <w:rsid w:val="00BA4B52"/>
    <w:rsid w:val="00BA5493"/>
    <w:rsid w:val="00BA54DC"/>
    <w:rsid w:val="00BA6378"/>
    <w:rsid w:val="00BA688C"/>
    <w:rsid w:val="00BA6A27"/>
    <w:rsid w:val="00BA7617"/>
    <w:rsid w:val="00BB0403"/>
    <w:rsid w:val="00BB0A45"/>
    <w:rsid w:val="00BB137E"/>
    <w:rsid w:val="00BB14C7"/>
    <w:rsid w:val="00BB1DD6"/>
    <w:rsid w:val="00BB21B3"/>
    <w:rsid w:val="00BB2A71"/>
    <w:rsid w:val="00BB2D29"/>
    <w:rsid w:val="00BB2EB6"/>
    <w:rsid w:val="00BB402C"/>
    <w:rsid w:val="00BB4D76"/>
    <w:rsid w:val="00BB556B"/>
    <w:rsid w:val="00BB5747"/>
    <w:rsid w:val="00BB6002"/>
    <w:rsid w:val="00BB6B30"/>
    <w:rsid w:val="00BB6C6B"/>
    <w:rsid w:val="00BB6E75"/>
    <w:rsid w:val="00BC0676"/>
    <w:rsid w:val="00BC1180"/>
    <w:rsid w:val="00BC23D3"/>
    <w:rsid w:val="00BC26DC"/>
    <w:rsid w:val="00BC2CDE"/>
    <w:rsid w:val="00BC3177"/>
    <w:rsid w:val="00BC3434"/>
    <w:rsid w:val="00BC3FF0"/>
    <w:rsid w:val="00BC4C78"/>
    <w:rsid w:val="00BC5D4E"/>
    <w:rsid w:val="00BC6046"/>
    <w:rsid w:val="00BC626E"/>
    <w:rsid w:val="00BC6D09"/>
    <w:rsid w:val="00BC704D"/>
    <w:rsid w:val="00BD1835"/>
    <w:rsid w:val="00BD27D4"/>
    <w:rsid w:val="00BD28E6"/>
    <w:rsid w:val="00BD33BB"/>
    <w:rsid w:val="00BD4ADD"/>
    <w:rsid w:val="00BD521B"/>
    <w:rsid w:val="00BE0554"/>
    <w:rsid w:val="00BE1E64"/>
    <w:rsid w:val="00BE2A67"/>
    <w:rsid w:val="00BE2F13"/>
    <w:rsid w:val="00BE39DA"/>
    <w:rsid w:val="00BE3A68"/>
    <w:rsid w:val="00BE4A06"/>
    <w:rsid w:val="00BE5326"/>
    <w:rsid w:val="00BE580A"/>
    <w:rsid w:val="00BE5D63"/>
    <w:rsid w:val="00BE5F8D"/>
    <w:rsid w:val="00BE693F"/>
    <w:rsid w:val="00BE6A95"/>
    <w:rsid w:val="00BE70BB"/>
    <w:rsid w:val="00BE724B"/>
    <w:rsid w:val="00BE7405"/>
    <w:rsid w:val="00BE79C9"/>
    <w:rsid w:val="00BE7FD7"/>
    <w:rsid w:val="00BF0EF5"/>
    <w:rsid w:val="00BF3B05"/>
    <w:rsid w:val="00BF3DD6"/>
    <w:rsid w:val="00BF3E22"/>
    <w:rsid w:val="00BF4990"/>
    <w:rsid w:val="00BF49C2"/>
    <w:rsid w:val="00C009D7"/>
    <w:rsid w:val="00C00D8E"/>
    <w:rsid w:val="00C017F7"/>
    <w:rsid w:val="00C021B7"/>
    <w:rsid w:val="00C03C87"/>
    <w:rsid w:val="00C041AD"/>
    <w:rsid w:val="00C04F65"/>
    <w:rsid w:val="00C06B5D"/>
    <w:rsid w:val="00C06E6B"/>
    <w:rsid w:val="00C1060E"/>
    <w:rsid w:val="00C11CE7"/>
    <w:rsid w:val="00C12119"/>
    <w:rsid w:val="00C12C01"/>
    <w:rsid w:val="00C12FDD"/>
    <w:rsid w:val="00C1712A"/>
    <w:rsid w:val="00C177E4"/>
    <w:rsid w:val="00C2025E"/>
    <w:rsid w:val="00C20E7C"/>
    <w:rsid w:val="00C215B1"/>
    <w:rsid w:val="00C22D66"/>
    <w:rsid w:val="00C23844"/>
    <w:rsid w:val="00C23E21"/>
    <w:rsid w:val="00C24ED8"/>
    <w:rsid w:val="00C25071"/>
    <w:rsid w:val="00C251E3"/>
    <w:rsid w:val="00C26CEF"/>
    <w:rsid w:val="00C31F0D"/>
    <w:rsid w:val="00C3380D"/>
    <w:rsid w:val="00C33A57"/>
    <w:rsid w:val="00C351F3"/>
    <w:rsid w:val="00C352AA"/>
    <w:rsid w:val="00C356BA"/>
    <w:rsid w:val="00C408F9"/>
    <w:rsid w:val="00C40E41"/>
    <w:rsid w:val="00C41163"/>
    <w:rsid w:val="00C41A95"/>
    <w:rsid w:val="00C41F70"/>
    <w:rsid w:val="00C43195"/>
    <w:rsid w:val="00C44303"/>
    <w:rsid w:val="00C4531C"/>
    <w:rsid w:val="00C45954"/>
    <w:rsid w:val="00C461B4"/>
    <w:rsid w:val="00C5095E"/>
    <w:rsid w:val="00C51395"/>
    <w:rsid w:val="00C51632"/>
    <w:rsid w:val="00C517B7"/>
    <w:rsid w:val="00C51A03"/>
    <w:rsid w:val="00C52F72"/>
    <w:rsid w:val="00C5365B"/>
    <w:rsid w:val="00C5432C"/>
    <w:rsid w:val="00C54685"/>
    <w:rsid w:val="00C54868"/>
    <w:rsid w:val="00C56306"/>
    <w:rsid w:val="00C60231"/>
    <w:rsid w:val="00C6024C"/>
    <w:rsid w:val="00C60A13"/>
    <w:rsid w:val="00C622CF"/>
    <w:rsid w:val="00C627EA"/>
    <w:rsid w:val="00C6344D"/>
    <w:rsid w:val="00C63732"/>
    <w:rsid w:val="00C6471F"/>
    <w:rsid w:val="00C66591"/>
    <w:rsid w:val="00C66B89"/>
    <w:rsid w:val="00C66F32"/>
    <w:rsid w:val="00C66F66"/>
    <w:rsid w:val="00C67D6A"/>
    <w:rsid w:val="00C701DD"/>
    <w:rsid w:val="00C702D2"/>
    <w:rsid w:val="00C722D8"/>
    <w:rsid w:val="00C729C7"/>
    <w:rsid w:val="00C73A26"/>
    <w:rsid w:val="00C73AAB"/>
    <w:rsid w:val="00C73B3D"/>
    <w:rsid w:val="00C73FB1"/>
    <w:rsid w:val="00C74408"/>
    <w:rsid w:val="00C7459E"/>
    <w:rsid w:val="00C745F7"/>
    <w:rsid w:val="00C7564B"/>
    <w:rsid w:val="00C75728"/>
    <w:rsid w:val="00C759ED"/>
    <w:rsid w:val="00C7694B"/>
    <w:rsid w:val="00C76BEB"/>
    <w:rsid w:val="00C76C99"/>
    <w:rsid w:val="00C76CAA"/>
    <w:rsid w:val="00C77A2D"/>
    <w:rsid w:val="00C801FF"/>
    <w:rsid w:val="00C80C71"/>
    <w:rsid w:val="00C8175F"/>
    <w:rsid w:val="00C8176D"/>
    <w:rsid w:val="00C81E1B"/>
    <w:rsid w:val="00C82029"/>
    <w:rsid w:val="00C8242F"/>
    <w:rsid w:val="00C8273C"/>
    <w:rsid w:val="00C8319A"/>
    <w:rsid w:val="00C838E8"/>
    <w:rsid w:val="00C83DF6"/>
    <w:rsid w:val="00C84884"/>
    <w:rsid w:val="00C84D43"/>
    <w:rsid w:val="00C84D9E"/>
    <w:rsid w:val="00C85721"/>
    <w:rsid w:val="00C86646"/>
    <w:rsid w:val="00C867B8"/>
    <w:rsid w:val="00C86D01"/>
    <w:rsid w:val="00C87609"/>
    <w:rsid w:val="00C87775"/>
    <w:rsid w:val="00C878DE"/>
    <w:rsid w:val="00C87962"/>
    <w:rsid w:val="00C90286"/>
    <w:rsid w:val="00C9041A"/>
    <w:rsid w:val="00C90AD0"/>
    <w:rsid w:val="00C91491"/>
    <w:rsid w:val="00C916E5"/>
    <w:rsid w:val="00C92549"/>
    <w:rsid w:val="00C92555"/>
    <w:rsid w:val="00C92AB2"/>
    <w:rsid w:val="00C93273"/>
    <w:rsid w:val="00C9414D"/>
    <w:rsid w:val="00C94FB0"/>
    <w:rsid w:val="00C9587D"/>
    <w:rsid w:val="00C96991"/>
    <w:rsid w:val="00C978C2"/>
    <w:rsid w:val="00C97B29"/>
    <w:rsid w:val="00C97C10"/>
    <w:rsid w:val="00CA057E"/>
    <w:rsid w:val="00CA2014"/>
    <w:rsid w:val="00CA2679"/>
    <w:rsid w:val="00CA2AEC"/>
    <w:rsid w:val="00CA3148"/>
    <w:rsid w:val="00CA3A8D"/>
    <w:rsid w:val="00CA4767"/>
    <w:rsid w:val="00CA5219"/>
    <w:rsid w:val="00CB096E"/>
    <w:rsid w:val="00CB1567"/>
    <w:rsid w:val="00CB1793"/>
    <w:rsid w:val="00CB1D65"/>
    <w:rsid w:val="00CB2090"/>
    <w:rsid w:val="00CB2816"/>
    <w:rsid w:val="00CB3476"/>
    <w:rsid w:val="00CB3AAC"/>
    <w:rsid w:val="00CB3AC8"/>
    <w:rsid w:val="00CB4415"/>
    <w:rsid w:val="00CB5415"/>
    <w:rsid w:val="00CB559A"/>
    <w:rsid w:val="00CB5EF2"/>
    <w:rsid w:val="00CB5F79"/>
    <w:rsid w:val="00CB6EA0"/>
    <w:rsid w:val="00CB7BF3"/>
    <w:rsid w:val="00CC06C2"/>
    <w:rsid w:val="00CC0C28"/>
    <w:rsid w:val="00CC16EE"/>
    <w:rsid w:val="00CC1D1C"/>
    <w:rsid w:val="00CC2D13"/>
    <w:rsid w:val="00CC4E97"/>
    <w:rsid w:val="00CC52F9"/>
    <w:rsid w:val="00CC590B"/>
    <w:rsid w:val="00CC5D72"/>
    <w:rsid w:val="00CC6F53"/>
    <w:rsid w:val="00CC708A"/>
    <w:rsid w:val="00CC7174"/>
    <w:rsid w:val="00CD1DB8"/>
    <w:rsid w:val="00CD2129"/>
    <w:rsid w:val="00CD2510"/>
    <w:rsid w:val="00CD25C7"/>
    <w:rsid w:val="00CD5A33"/>
    <w:rsid w:val="00CD621D"/>
    <w:rsid w:val="00CD646D"/>
    <w:rsid w:val="00CD6638"/>
    <w:rsid w:val="00CD6E86"/>
    <w:rsid w:val="00CD7ABD"/>
    <w:rsid w:val="00CD7B7D"/>
    <w:rsid w:val="00CE1315"/>
    <w:rsid w:val="00CE1413"/>
    <w:rsid w:val="00CE26AB"/>
    <w:rsid w:val="00CE34F7"/>
    <w:rsid w:val="00CE4AE5"/>
    <w:rsid w:val="00CE52DA"/>
    <w:rsid w:val="00CE53E9"/>
    <w:rsid w:val="00CE66D9"/>
    <w:rsid w:val="00CE69D6"/>
    <w:rsid w:val="00CE7486"/>
    <w:rsid w:val="00CE7644"/>
    <w:rsid w:val="00CF088F"/>
    <w:rsid w:val="00CF18CD"/>
    <w:rsid w:val="00CF1CAA"/>
    <w:rsid w:val="00CF26C7"/>
    <w:rsid w:val="00CF3FED"/>
    <w:rsid w:val="00CF427A"/>
    <w:rsid w:val="00CF46C0"/>
    <w:rsid w:val="00CF4CFA"/>
    <w:rsid w:val="00CF4D0B"/>
    <w:rsid w:val="00CF50EA"/>
    <w:rsid w:val="00CF64D0"/>
    <w:rsid w:val="00CF7624"/>
    <w:rsid w:val="00D00151"/>
    <w:rsid w:val="00D033C4"/>
    <w:rsid w:val="00D044F7"/>
    <w:rsid w:val="00D046BC"/>
    <w:rsid w:val="00D04AA4"/>
    <w:rsid w:val="00D04C21"/>
    <w:rsid w:val="00D050A7"/>
    <w:rsid w:val="00D05200"/>
    <w:rsid w:val="00D05280"/>
    <w:rsid w:val="00D059EE"/>
    <w:rsid w:val="00D0713D"/>
    <w:rsid w:val="00D0757C"/>
    <w:rsid w:val="00D0775A"/>
    <w:rsid w:val="00D1063D"/>
    <w:rsid w:val="00D10B90"/>
    <w:rsid w:val="00D124E6"/>
    <w:rsid w:val="00D12CAB"/>
    <w:rsid w:val="00D138FF"/>
    <w:rsid w:val="00D13C98"/>
    <w:rsid w:val="00D14DFA"/>
    <w:rsid w:val="00D1546A"/>
    <w:rsid w:val="00D15D97"/>
    <w:rsid w:val="00D16429"/>
    <w:rsid w:val="00D168AF"/>
    <w:rsid w:val="00D176A4"/>
    <w:rsid w:val="00D204FD"/>
    <w:rsid w:val="00D231C6"/>
    <w:rsid w:val="00D23355"/>
    <w:rsid w:val="00D24D09"/>
    <w:rsid w:val="00D2514A"/>
    <w:rsid w:val="00D251B5"/>
    <w:rsid w:val="00D25393"/>
    <w:rsid w:val="00D257A3"/>
    <w:rsid w:val="00D267A8"/>
    <w:rsid w:val="00D26C19"/>
    <w:rsid w:val="00D27141"/>
    <w:rsid w:val="00D27E25"/>
    <w:rsid w:val="00D31A69"/>
    <w:rsid w:val="00D32A22"/>
    <w:rsid w:val="00D32C8D"/>
    <w:rsid w:val="00D32E8C"/>
    <w:rsid w:val="00D33134"/>
    <w:rsid w:val="00D33A6F"/>
    <w:rsid w:val="00D3467B"/>
    <w:rsid w:val="00D34F3B"/>
    <w:rsid w:val="00D35B61"/>
    <w:rsid w:val="00D40957"/>
    <w:rsid w:val="00D4216B"/>
    <w:rsid w:val="00D42E35"/>
    <w:rsid w:val="00D44B8E"/>
    <w:rsid w:val="00D44D20"/>
    <w:rsid w:val="00D45895"/>
    <w:rsid w:val="00D45B77"/>
    <w:rsid w:val="00D46EA9"/>
    <w:rsid w:val="00D4793A"/>
    <w:rsid w:val="00D47C56"/>
    <w:rsid w:val="00D47FF4"/>
    <w:rsid w:val="00D50CAB"/>
    <w:rsid w:val="00D50E42"/>
    <w:rsid w:val="00D51136"/>
    <w:rsid w:val="00D52949"/>
    <w:rsid w:val="00D533A3"/>
    <w:rsid w:val="00D53590"/>
    <w:rsid w:val="00D53E5D"/>
    <w:rsid w:val="00D54231"/>
    <w:rsid w:val="00D543BB"/>
    <w:rsid w:val="00D56770"/>
    <w:rsid w:val="00D56781"/>
    <w:rsid w:val="00D57038"/>
    <w:rsid w:val="00D57D9E"/>
    <w:rsid w:val="00D601CE"/>
    <w:rsid w:val="00D6089C"/>
    <w:rsid w:val="00D6094E"/>
    <w:rsid w:val="00D61C70"/>
    <w:rsid w:val="00D627C4"/>
    <w:rsid w:val="00D63BC5"/>
    <w:rsid w:val="00D63E82"/>
    <w:rsid w:val="00D64123"/>
    <w:rsid w:val="00D6454B"/>
    <w:rsid w:val="00D64D2A"/>
    <w:rsid w:val="00D65194"/>
    <w:rsid w:val="00D65B44"/>
    <w:rsid w:val="00D70226"/>
    <w:rsid w:val="00D7077B"/>
    <w:rsid w:val="00D70A4D"/>
    <w:rsid w:val="00D7154F"/>
    <w:rsid w:val="00D7274B"/>
    <w:rsid w:val="00D73602"/>
    <w:rsid w:val="00D73C9C"/>
    <w:rsid w:val="00D73CA7"/>
    <w:rsid w:val="00D74568"/>
    <w:rsid w:val="00D758B1"/>
    <w:rsid w:val="00D82E39"/>
    <w:rsid w:val="00D84901"/>
    <w:rsid w:val="00D84A3D"/>
    <w:rsid w:val="00D85A75"/>
    <w:rsid w:val="00D86D5A"/>
    <w:rsid w:val="00D86EA4"/>
    <w:rsid w:val="00D905CE"/>
    <w:rsid w:val="00D90C6D"/>
    <w:rsid w:val="00D91CC8"/>
    <w:rsid w:val="00D92A2A"/>
    <w:rsid w:val="00D92AC3"/>
    <w:rsid w:val="00D94110"/>
    <w:rsid w:val="00D94994"/>
    <w:rsid w:val="00D94F31"/>
    <w:rsid w:val="00D95AF3"/>
    <w:rsid w:val="00D963E8"/>
    <w:rsid w:val="00D964B0"/>
    <w:rsid w:val="00D96622"/>
    <w:rsid w:val="00D96906"/>
    <w:rsid w:val="00D97137"/>
    <w:rsid w:val="00D9732B"/>
    <w:rsid w:val="00D979DB"/>
    <w:rsid w:val="00D97C8B"/>
    <w:rsid w:val="00DA0004"/>
    <w:rsid w:val="00DA0AEB"/>
    <w:rsid w:val="00DA1B87"/>
    <w:rsid w:val="00DA1C12"/>
    <w:rsid w:val="00DA2421"/>
    <w:rsid w:val="00DA3E93"/>
    <w:rsid w:val="00DA3FE5"/>
    <w:rsid w:val="00DA4742"/>
    <w:rsid w:val="00DA5574"/>
    <w:rsid w:val="00DA5851"/>
    <w:rsid w:val="00DA6364"/>
    <w:rsid w:val="00DA6477"/>
    <w:rsid w:val="00DA6AB0"/>
    <w:rsid w:val="00DA73F9"/>
    <w:rsid w:val="00DB03E2"/>
    <w:rsid w:val="00DB1518"/>
    <w:rsid w:val="00DB208F"/>
    <w:rsid w:val="00DB3B12"/>
    <w:rsid w:val="00DB527D"/>
    <w:rsid w:val="00DB5CD8"/>
    <w:rsid w:val="00DB5EE3"/>
    <w:rsid w:val="00DB67F9"/>
    <w:rsid w:val="00DB6F10"/>
    <w:rsid w:val="00DB7759"/>
    <w:rsid w:val="00DB7BC5"/>
    <w:rsid w:val="00DC0498"/>
    <w:rsid w:val="00DC0D8E"/>
    <w:rsid w:val="00DC115D"/>
    <w:rsid w:val="00DC2E54"/>
    <w:rsid w:val="00DC2E57"/>
    <w:rsid w:val="00DC3045"/>
    <w:rsid w:val="00DC3107"/>
    <w:rsid w:val="00DC3A59"/>
    <w:rsid w:val="00DC43DC"/>
    <w:rsid w:val="00DC5452"/>
    <w:rsid w:val="00DC5755"/>
    <w:rsid w:val="00DC6185"/>
    <w:rsid w:val="00DC68FC"/>
    <w:rsid w:val="00DD05D0"/>
    <w:rsid w:val="00DD2054"/>
    <w:rsid w:val="00DD2074"/>
    <w:rsid w:val="00DD2E9B"/>
    <w:rsid w:val="00DD32F4"/>
    <w:rsid w:val="00DD33D6"/>
    <w:rsid w:val="00DD3872"/>
    <w:rsid w:val="00DD4626"/>
    <w:rsid w:val="00DD5871"/>
    <w:rsid w:val="00DD674B"/>
    <w:rsid w:val="00DE0D55"/>
    <w:rsid w:val="00DE1CF4"/>
    <w:rsid w:val="00DE2126"/>
    <w:rsid w:val="00DE2449"/>
    <w:rsid w:val="00DE2D2A"/>
    <w:rsid w:val="00DE3726"/>
    <w:rsid w:val="00DE4921"/>
    <w:rsid w:val="00DE4A82"/>
    <w:rsid w:val="00DE50B9"/>
    <w:rsid w:val="00DE61D8"/>
    <w:rsid w:val="00DE7FA2"/>
    <w:rsid w:val="00DF2959"/>
    <w:rsid w:val="00DF4C4F"/>
    <w:rsid w:val="00DF507B"/>
    <w:rsid w:val="00DF5A03"/>
    <w:rsid w:val="00E00220"/>
    <w:rsid w:val="00E00A41"/>
    <w:rsid w:val="00E01357"/>
    <w:rsid w:val="00E01B1D"/>
    <w:rsid w:val="00E031AB"/>
    <w:rsid w:val="00E047B8"/>
    <w:rsid w:val="00E05323"/>
    <w:rsid w:val="00E053A4"/>
    <w:rsid w:val="00E05666"/>
    <w:rsid w:val="00E05FCF"/>
    <w:rsid w:val="00E06373"/>
    <w:rsid w:val="00E10ADA"/>
    <w:rsid w:val="00E10CC3"/>
    <w:rsid w:val="00E11088"/>
    <w:rsid w:val="00E11541"/>
    <w:rsid w:val="00E11849"/>
    <w:rsid w:val="00E11D3B"/>
    <w:rsid w:val="00E129F8"/>
    <w:rsid w:val="00E12A2F"/>
    <w:rsid w:val="00E12EE4"/>
    <w:rsid w:val="00E134C2"/>
    <w:rsid w:val="00E144C4"/>
    <w:rsid w:val="00E15FFD"/>
    <w:rsid w:val="00E1687B"/>
    <w:rsid w:val="00E17633"/>
    <w:rsid w:val="00E1773E"/>
    <w:rsid w:val="00E20BA2"/>
    <w:rsid w:val="00E21634"/>
    <w:rsid w:val="00E225A6"/>
    <w:rsid w:val="00E22755"/>
    <w:rsid w:val="00E23D57"/>
    <w:rsid w:val="00E240F2"/>
    <w:rsid w:val="00E242D9"/>
    <w:rsid w:val="00E2563B"/>
    <w:rsid w:val="00E266DF"/>
    <w:rsid w:val="00E26F25"/>
    <w:rsid w:val="00E272AD"/>
    <w:rsid w:val="00E27C8B"/>
    <w:rsid w:val="00E30330"/>
    <w:rsid w:val="00E312DF"/>
    <w:rsid w:val="00E329E4"/>
    <w:rsid w:val="00E3629C"/>
    <w:rsid w:val="00E367CF"/>
    <w:rsid w:val="00E36973"/>
    <w:rsid w:val="00E37E9F"/>
    <w:rsid w:val="00E40FBB"/>
    <w:rsid w:val="00E41510"/>
    <w:rsid w:val="00E4170F"/>
    <w:rsid w:val="00E42FE2"/>
    <w:rsid w:val="00E4373C"/>
    <w:rsid w:val="00E4388B"/>
    <w:rsid w:val="00E43B0E"/>
    <w:rsid w:val="00E43E2B"/>
    <w:rsid w:val="00E4621D"/>
    <w:rsid w:val="00E47385"/>
    <w:rsid w:val="00E501EF"/>
    <w:rsid w:val="00E50A41"/>
    <w:rsid w:val="00E51EDB"/>
    <w:rsid w:val="00E52555"/>
    <w:rsid w:val="00E52820"/>
    <w:rsid w:val="00E52926"/>
    <w:rsid w:val="00E52B34"/>
    <w:rsid w:val="00E52D60"/>
    <w:rsid w:val="00E542AF"/>
    <w:rsid w:val="00E544AC"/>
    <w:rsid w:val="00E54C20"/>
    <w:rsid w:val="00E55B17"/>
    <w:rsid w:val="00E55E36"/>
    <w:rsid w:val="00E5642E"/>
    <w:rsid w:val="00E610D9"/>
    <w:rsid w:val="00E61A8E"/>
    <w:rsid w:val="00E61B67"/>
    <w:rsid w:val="00E62150"/>
    <w:rsid w:val="00E623D4"/>
    <w:rsid w:val="00E64288"/>
    <w:rsid w:val="00E66064"/>
    <w:rsid w:val="00E66DC6"/>
    <w:rsid w:val="00E67B48"/>
    <w:rsid w:val="00E67F49"/>
    <w:rsid w:val="00E700EE"/>
    <w:rsid w:val="00E71084"/>
    <w:rsid w:val="00E712CA"/>
    <w:rsid w:val="00E71302"/>
    <w:rsid w:val="00E71576"/>
    <w:rsid w:val="00E71A07"/>
    <w:rsid w:val="00E72591"/>
    <w:rsid w:val="00E72CD4"/>
    <w:rsid w:val="00E731E3"/>
    <w:rsid w:val="00E736D7"/>
    <w:rsid w:val="00E75811"/>
    <w:rsid w:val="00E80D58"/>
    <w:rsid w:val="00E813BB"/>
    <w:rsid w:val="00E8170B"/>
    <w:rsid w:val="00E81BAF"/>
    <w:rsid w:val="00E82AC6"/>
    <w:rsid w:val="00E82B29"/>
    <w:rsid w:val="00E83E8F"/>
    <w:rsid w:val="00E84086"/>
    <w:rsid w:val="00E85F93"/>
    <w:rsid w:val="00E8634A"/>
    <w:rsid w:val="00E86C06"/>
    <w:rsid w:val="00E875C8"/>
    <w:rsid w:val="00E90125"/>
    <w:rsid w:val="00E90285"/>
    <w:rsid w:val="00E9066E"/>
    <w:rsid w:val="00E91A0F"/>
    <w:rsid w:val="00E9274E"/>
    <w:rsid w:val="00E93D42"/>
    <w:rsid w:val="00E9424E"/>
    <w:rsid w:val="00E945CB"/>
    <w:rsid w:val="00E948AB"/>
    <w:rsid w:val="00E94C7D"/>
    <w:rsid w:val="00E96AA8"/>
    <w:rsid w:val="00E978AA"/>
    <w:rsid w:val="00EA0FB4"/>
    <w:rsid w:val="00EA1A0B"/>
    <w:rsid w:val="00EA1AEA"/>
    <w:rsid w:val="00EA1E6D"/>
    <w:rsid w:val="00EA26AB"/>
    <w:rsid w:val="00EA4EBC"/>
    <w:rsid w:val="00EA634A"/>
    <w:rsid w:val="00EA6BE7"/>
    <w:rsid w:val="00EB01AD"/>
    <w:rsid w:val="00EB09E3"/>
    <w:rsid w:val="00EB0B71"/>
    <w:rsid w:val="00EB210A"/>
    <w:rsid w:val="00EB31F8"/>
    <w:rsid w:val="00EB32DC"/>
    <w:rsid w:val="00EB41A6"/>
    <w:rsid w:val="00EB55BD"/>
    <w:rsid w:val="00EB5894"/>
    <w:rsid w:val="00EB59D2"/>
    <w:rsid w:val="00EB6F1D"/>
    <w:rsid w:val="00EB7120"/>
    <w:rsid w:val="00EB7460"/>
    <w:rsid w:val="00EC00D8"/>
    <w:rsid w:val="00EC146B"/>
    <w:rsid w:val="00EC1B75"/>
    <w:rsid w:val="00EC3001"/>
    <w:rsid w:val="00EC3126"/>
    <w:rsid w:val="00EC445E"/>
    <w:rsid w:val="00EC56EA"/>
    <w:rsid w:val="00EC58EE"/>
    <w:rsid w:val="00EC6984"/>
    <w:rsid w:val="00EC6AC5"/>
    <w:rsid w:val="00EC6C74"/>
    <w:rsid w:val="00EC726A"/>
    <w:rsid w:val="00ED01B9"/>
    <w:rsid w:val="00ED192E"/>
    <w:rsid w:val="00ED2351"/>
    <w:rsid w:val="00ED3A1A"/>
    <w:rsid w:val="00ED412E"/>
    <w:rsid w:val="00ED4750"/>
    <w:rsid w:val="00ED4E21"/>
    <w:rsid w:val="00ED4FFD"/>
    <w:rsid w:val="00ED50FB"/>
    <w:rsid w:val="00ED7110"/>
    <w:rsid w:val="00ED7B0E"/>
    <w:rsid w:val="00EE02C7"/>
    <w:rsid w:val="00EE0626"/>
    <w:rsid w:val="00EE4A3F"/>
    <w:rsid w:val="00EE620F"/>
    <w:rsid w:val="00EE6A8F"/>
    <w:rsid w:val="00EF0D20"/>
    <w:rsid w:val="00EF0F6E"/>
    <w:rsid w:val="00EF1347"/>
    <w:rsid w:val="00EF1AF6"/>
    <w:rsid w:val="00EF2585"/>
    <w:rsid w:val="00EF2D89"/>
    <w:rsid w:val="00EF3EE2"/>
    <w:rsid w:val="00EF468F"/>
    <w:rsid w:val="00EF4FFB"/>
    <w:rsid w:val="00EF5683"/>
    <w:rsid w:val="00EF570C"/>
    <w:rsid w:val="00EF5CF6"/>
    <w:rsid w:val="00EF5EDB"/>
    <w:rsid w:val="00EF7B6F"/>
    <w:rsid w:val="00F005A5"/>
    <w:rsid w:val="00F011D2"/>
    <w:rsid w:val="00F03403"/>
    <w:rsid w:val="00F03471"/>
    <w:rsid w:val="00F04C3A"/>
    <w:rsid w:val="00F06D5B"/>
    <w:rsid w:val="00F075EC"/>
    <w:rsid w:val="00F105E2"/>
    <w:rsid w:val="00F1125D"/>
    <w:rsid w:val="00F1277A"/>
    <w:rsid w:val="00F127E5"/>
    <w:rsid w:val="00F136A7"/>
    <w:rsid w:val="00F15EBE"/>
    <w:rsid w:val="00F16299"/>
    <w:rsid w:val="00F16486"/>
    <w:rsid w:val="00F1687C"/>
    <w:rsid w:val="00F16F5A"/>
    <w:rsid w:val="00F17306"/>
    <w:rsid w:val="00F17FCF"/>
    <w:rsid w:val="00F202ED"/>
    <w:rsid w:val="00F20C16"/>
    <w:rsid w:val="00F21464"/>
    <w:rsid w:val="00F21C0C"/>
    <w:rsid w:val="00F21EFB"/>
    <w:rsid w:val="00F22078"/>
    <w:rsid w:val="00F22BF0"/>
    <w:rsid w:val="00F24326"/>
    <w:rsid w:val="00F244F3"/>
    <w:rsid w:val="00F24A5C"/>
    <w:rsid w:val="00F252FC"/>
    <w:rsid w:val="00F25ADB"/>
    <w:rsid w:val="00F26ECF"/>
    <w:rsid w:val="00F30550"/>
    <w:rsid w:val="00F30CD0"/>
    <w:rsid w:val="00F31789"/>
    <w:rsid w:val="00F317E9"/>
    <w:rsid w:val="00F32591"/>
    <w:rsid w:val="00F32F7E"/>
    <w:rsid w:val="00F33ABE"/>
    <w:rsid w:val="00F34CD4"/>
    <w:rsid w:val="00F351E8"/>
    <w:rsid w:val="00F35217"/>
    <w:rsid w:val="00F41D0A"/>
    <w:rsid w:val="00F421D6"/>
    <w:rsid w:val="00F4334A"/>
    <w:rsid w:val="00F43A5E"/>
    <w:rsid w:val="00F43C76"/>
    <w:rsid w:val="00F43DCC"/>
    <w:rsid w:val="00F446E0"/>
    <w:rsid w:val="00F46AE8"/>
    <w:rsid w:val="00F47543"/>
    <w:rsid w:val="00F500C7"/>
    <w:rsid w:val="00F5048E"/>
    <w:rsid w:val="00F50523"/>
    <w:rsid w:val="00F50718"/>
    <w:rsid w:val="00F52165"/>
    <w:rsid w:val="00F52753"/>
    <w:rsid w:val="00F5395A"/>
    <w:rsid w:val="00F53991"/>
    <w:rsid w:val="00F5484A"/>
    <w:rsid w:val="00F54A91"/>
    <w:rsid w:val="00F54C1B"/>
    <w:rsid w:val="00F54C93"/>
    <w:rsid w:val="00F55791"/>
    <w:rsid w:val="00F55CFB"/>
    <w:rsid w:val="00F57056"/>
    <w:rsid w:val="00F6014B"/>
    <w:rsid w:val="00F60A15"/>
    <w:rsid w:val="00F61B93"/>
    <w:rsid w:val="00F638E6"/>
    <w:rsid w:val="00F63940"/>
    <w:rsid w:val="00F64E11"/>
    <w:rsid w:val="00F6523D"/>
    <w:rsid w:val="00F660DE"/>
    <w:rsid w:val="00F66D67"/>
    <w:rsid w:val="00F66DA2"/>
    <w:rsid w:val="00F67DE7"/>
    <w:rsid w:val="00F700B1"/>
    <w:rsid w:val="00F701F8"/>
    <w:rsid w:val="00F702CE"/>
    <w:rsid w:val="00F708B6"/>
    <w:rsid w:val="00F70A44"/>
    <w:rsid w:val="00F70ACA"/>
    <w:rsid w:val="00F73948"/>
    <w:rsid w:val="00F73D50"/>
    <w:rsid w:val="00F74CA9"/>
    <w:rsid w:val="00F7548D"/>
    <w:rsid w:val="00F75774"/>
    <w:rsid w:val="00F761E2"/>
    <w:rsid w:val="00F7725F"/>
    <w:rsid w:val="00F773C5"/>
    <w:rsid w:val="00F779BB"/>
    <w:rsid w:val="00F77C0A"/>
    <w:rsid w:val="00F80FE9"/>
    <w:rsid w:val="00F81975"/>
    <w:rsid w:val="00F830EE"/>
    <w:rsid w:val="00F846AE"/>
    <w:rsid w:val="00F84D39"/>
    <w:rsid w:val="00F8579A"/>
    <w:rsid w:val="00F85F2F"/>
    <w:rsid w:val="00F90FE9"/>
    <w:rsid w:val="00F912ED"/>
    <w:rsid w:val="00F9135D"/>
    <w:rsid w:val="00F92060"/>
    <w:rsid w:val="00F92D65"/>
    <w:rsid w:val="00F93826"/>
    <w:rsid w:val="00F93A2E"/>
    <w:rsid w:val="00F94A89"/>
    <w:rsid w:val="00F94FAE"/>
    <w:rsid w:val="00F9539A"/>
    <w:rsid w:val="00F95786"/>
    <w:rsid w:val="00F96E8A"/>
    <w:rsid w:val="00F97071"/>
    <w:rsid w:val="00F973F9"/>
    <w:rsid w:val="00F9770F"/>
    <w:rsid w:val="00FA0219"/>
    <w:rsid w:val="00FA02DF"/>
    <w:rsid w:val="00FA0A29"/>
    <w:rsid w:val="00FA0B08"/>
    <w:rsid w:val="00FA12F2"/>
    <w:rsid w:val="00FA1675"/>
    <w:rsid w:val="00FA18CB"/>
    <w:rsid w:val="00FA252A"/>
    <w:rsid w:val="00FA2992"/>
    <w:rsid w:val="00FA3440"/>
    <w:rsid w:val="00FA47AA"/>
    <w:rsid w:val="00FA4F5F"/>
    <w:rsid w:val="00FA56A2"/>
    <w:rsid w:val="00FA6399"/>
    <w:rsid w:val="00FA66BB"/>
    <w:rsid w:val="00FA7AD3"/>
    <w:rsid w:val="00FB083A"/>
    <w:rsid w:val="00FB09E6"/>
    <w:rsid w:val="00FB1514"/>
    <w:rsid w:val="00FB155F"/>
    <w:rsid w:val="00FB1676"/>
    <w:rsid w:val="00FB18A8"/>
    <w:rsid w:val="00FB3267"/>
    <w:rsid w:val="00FB33BD"/>
    <w:rsid w:val="00FB3ABF"/>
    <w:rsid w:val="00FB531D"/>
    <w:rsid w:val="00FB5C88"/>
    <w:rsid w:val="00FB5F31"/>
    <w:rsid w:val="00FB7569"/>
    <w:rsid w:val="00FC1391"/>
    <w:rsid w:val="00FC2480"/>
    <w:rsid w:val="00FC27E2"/>
    <w:rsid w:val="00FC2ABB"/>
    <w:rsid w:val="00FC546D"/>
    <w:rsid w:val="00FC63FE"/>
    <w:rsid w:val="00FC6924"/>
    <w:rsid w:val="00FC6B17"/>
    <w:rsid w:val="00FC7198"/>
    <w:rsid w:val="00FD0062"/>
    <w:rsid w:val="00FD0F39"/>
    <w:rsid w:val="00FD1FF9"/>
    <w:rsid w:val="00FD24C3"/>
    <w:rsid w:val="00FD2ACA"/>
    <w:rsid w:val="00FD2F3B"/>
    <w:rsid w:val="00FD2FDC"/>
    <w:rsid w:val="00FD3C37"/>
    <w:rsid w:val="00FD43A6"/>
    <w:rsid w:val="00FD4ADD"/>
    <w:rsid w:val="00FD5822"/>
    <w:rsid w:val="00FD62F1"/>
    <w:rsid w:val="00FD76BC"/>
    <w:rsid w:val="00FD76FC"/>
    <w:rsid w:val="00FE1A8E"/>
    <w:rsid w:val="00FE1D8F"/>
    <w:rsid w:val="00FE20B7"/>
    <w:rsid w:val="00FE53E6"/>
    <w:rsid w:val="00FE6327"/>
    <w:rsid w:val="00FF07F6"/>
    <w:rsid w:val="00FF117C"/>
    <w:rsid w:val="00FF298C"/>
    <w:rsid w:val="00FF2A4F"/>
    <w:rsid w:val="00FF3AD3"/>
    <w:rsid w:val="00FF7638"/>
    <w:rsid w:val="00FF77F7"/>
    <w:rsid w:val="00FF7B97"/>
    <w:rsid w:val="00FF7E89"/>
    <w:rsid w:val="010200D2"/>
    <w:rsid w:val="01085EA5"/>
    <w:rsid w:val="010962C6"/>
    <w:rsid w:val="01C036CB"/>
    <w:rsid w:val="01E36041"/>
    <w:rsid w:val="030F49BE"/>
    <w:rsid w:val="047F0F0F"/>
    <w:rsid w:val="0573367C"/>
    <w:rsid w:val="05BC15EE"/>
    <w:rsid w:val="080C65EC"/>
    <w:rsid w:val="087726F8"/>
    <w:rsid w:val="090335CF"/>
    <w:rsid w:val="0907610D"/>
    <w:rsid w:val="099773F8"/>
    <w:rsid w:val="0A2A6CA6"/>
    <w:rsid w:val="0B9B3C0E"/>
    <w:rsid w:val="0CB15216"/>
    <w:rsid w:val="0D56643F"/>
    <w:rsid w:val="0DB1078E"/>
    <w:rsid w:val="0DE37A5D"/>
    <w:rsid w:val="0F845AB0"/>
    <w:rsid w:val="10F32A40"/>
    <w:rsid w:val="111F3523"/>
    <w:rsid w:val="12D40421"/>
    <w:rsid w:val="1381539C"/>
    <w:rsid w:val="13D35834"/>
    <w:rsid w:val="148C6D6C"/>
    <w:rsid w:val="14A64B97"/>
    <w:rsid w:val="15843C33"/>
    <w:rsid w:val="15C43599"/>
    <w:rsid w:val="172B6513"/>
    <w:rsid w:val="174423B0"/>
    <w:rsid w:val="17D316D0"/>
    <w:rsid w:val="18DA0165"/>
    <w:rsid w:val="194F1766"/>
    <w:rsid w:val="1B445979"/>
    <w:rsid w:val="1BA0084C"/>
    <w:rsid w:val="1BC047CA"/>
    <w:rsid w:val="1BD55CC4"/>
    <w:rsid w:val="1D243555"/>
    <w:rsid w:val="1D817652"/>
    <w:rsid w:val="1F5447D3"/>
    <w:rsid w:val="1F6F0BE9"/>
    <w:rsid w:val="20786EAA"/>
    <w:rsid w:val="21A926B9"/>
    <w:rsid w:val="2227649D"/>
    <w:rsid w:val="224E2A9E"/>
    <w:rsid w:val="22C12B1E"/>
    <w:rsid w:val="24260075"/>
    <w:rsid w:val="258E1B46"/>
    <w:rsid w:val="283A5792"/>
    <w:rsid w:val="288717CB"/>
    <w:rsid w:val="2C922E3D"/>
    <w:rsid w:val="2CA84AF1"/>
    <w:rsid w:val="2CD70788"/>
    <w:rsid w:val="2DE0431E"/>
    <w:rsid w:val="2E044AF3"/>
    <w:rsid w:val="2E2A5C2B"/>
    <w:rsid w:val="2EBB35AF"/>
    <w:rsid w:val="30D3248B"/>
    <w:rsid w:val="324725CF"/>
    <w:rsid w:val="33C8766C"/>
    <w:rsid w:val="340A5B26"/>
    <w:rsid w:val="34271B64"/>
    <w:rsid w:val="35561029"/>
    <w:rsid w:val="357F34E0"/>
    <w:rsid w:val="368D1147"/>
    <w:rsid w:val="36F512D6"/>
    <w:rsid w:val="37FC202C"/>
    <w:rsid w:val="39233DF2"/>
    <w:rsid w:val="39955FDE"/>
    <w:rsid w:val="3C0B0E96"/>
    <w:rsid w:val="3C3F2C4A"/>
    <w:rsid w:val="3D064624"/>
    <w:rsid w:val="3DEA27CF"/>
    <w:rsid w:val="3EAE5FF3"/>
    <w:rsid w:val="3EF230C0"/>
    <w:rsid w:val="3FEC0D35"/>
    <w:rsid w:val="40730411"/>
    <w:rsid w:val="40985757"/>
    <w:rsid w:val="423E091E"/>
    <w:rsid w:val="44D75C43"/>
    <w:rsid w:val="464478AD"/>
    <w:rsid w:val="46706D68"/>
    <w:rsid w:val="475D20FF"/>
    <w:rsid w:val="498B4C79"/>
    <w:rsid w:val="49F601B2"/>
    <w:rsid w:val="4A5542EA"/>
    <w:rsid w:val="4AA84F93"/>
    <w:rsid w:val="4AD87452"/>
    <w:rsid w:val="4CB7184D"/>
    <w:rsid w:val="4D7A285B"/>
    <w:rsid w:val="4D881E0E"/>
    <w:rsid w:val="4D8D7107"/>
    <w:rsid w:val="4E180C8D"/>
    <w:rsid w:val="4E9311FE"/>
    <w:rsid w:val="4F2C17A8"/>
    <w:rsid w:val="517D08DC"/>
    <w:rsid w:val="51813C68"/>
    <w:rsid w:val="52FD3268"/>
    <w:rsid w:val="531B2EF6"/>
    <w:rsid w:val="531C0733"/>
    <w:rsid w:val="53E83831"/>
    <w:rsid w:val="543E5492"/>
    <w:rsid w:val="54754BC1"/>
    <w:rsid w:val="54AD60A3"/>
    <w:rsid w:val="54AE74E8"/>
    <w:rsid w:val="54C2586F"/>
    <w:rsid w:val="55C87052"/>
    <w:rsid w:val="57141504"/>
    <w:rsid w:val="576F0926"/>
    <w:rsid w:val="5824229F"/>
    <w:rsid w:val="58F3575F"/>
    <w:rsid w:val="59DF5783"/>
    <w:rsid w:val="59E10A12"/>
    <w:rsid w:val="5A9224A4"/>
    <w:rsid w:val="5BB45FE9"/>
    <w:rsid w:val="5CE125B7"/>
    <w:rsid w:val="5D6624B3"/>
    <w:rsid w:val="5EEA5779"/>
    <w:rsid w:val="5EF72E6E"/>
    <w:rsid w:val="5FC44656"/>
    <w:rsid w:val="60E047A6"/>
    <w:rsid w:val="62BF5CD5"/>
    <w:rsid w:val="630A43DD"/>
    <w:rsid w:val="636519CD"/>
    <w:rsid w:val="63E127E7"/>
    <w:rsid w:val="641B1DF4"/>
    <w:rsid w:val="6448327D"/>
    <w:rsid w:val="66DE17F5"/>
    <w:rsid w:val="689254C1"/>
    <w:rsid w:val="6A3927CC"/>
    <w:rsid w:val="6B224162"/>
    <w:rsid w:val="6D0B1388"/>
    <w:rsid w:val="6DA758FC"/>
    <w:rsid w:val="6DC34A3A"/>
    <w:rsid w:val="6E11291F"/>
    <w:rsid w:val="70366413"/>
    <w:rsid w:val="705E3F95"/>
    <w:rsid w:val="70674ED7"/>
    <w:rsid w:val="718A144D"/>
    <w:rsid w:val="74D537A3"/>
    <w:rsid w:val="761F6AAA"/>
    <w:rsid w:val="76AE25BD"/>
    <w:rsid w:val="78FA60CA"/>
    <w:rsid w:val="793D56B5"/>
    <w:rsid w:val="79DA0203"/>
    <w:rsid w:val="79F2032A"/>
    <w:rsid w:val="7A773F7B"/>
    <w:rsid w:val="7BCA567F"/>
    <w:rsid w:val="7D3307CE"/>
    <w:rsid w:val="7E2B00B0"/>
    <w:rsid w:val="7F334063"/>
    <w:rsid w:val="7FCE0E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iPriority="0" w:semiHidden="0" w:name="heading 2"/>
    <w:lsdException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8"/>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uiPriority w:val="0"/>
    <w:pPr>
      <w:keepNext/>
      <w:keepLines/>
      <w:spacing w:line="413" w:lineRule="auto"/>
      <w:outlineLvl w:val="1"/>
    </w:pPr>
    <w:rPr>
      <w:rFonts w:ascii="Arial" w:hAnsi="Arial" w:eastAsia="黑体"/>
      <w:b/>
      <w:kern w:val="0"/>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7"/>
    <w:qFormat/>
    <w:uiPriority w:val="0"/>
    <w:rPr>
      <w:rFonts w:ascii="Tahoma" w:hAnsi="Tahoma"/>
    </w:r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Times New Roman" w:hAnsi="Times New Roman" w:eastAsia="宋体" w:cs="Times New Roman"/>
      <w:sz w:val="24"/>
      <w:szCs w:val="20"/>
    </w:rPr>
  </w:style>
  <w:style w:type="paragraph" w:styleId="9">
    <w:name w:val="annotation subject"/>
    <w:basedOn w:val="4"/>
    <w:next w:val="4"/>
    <w:link w:val="46"/>
    <w:qFormat/>
    <w:uiPriority w:val="0"/>
    <w:pPr>
      <w:jc w:val="center"/>
    </w:pPr>
    <w:rPr>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0"/>
    <w:rPr>
      <w:sz w:val="18"/>
      <w:szCs w:val="18"/>
    </w:rPr>
  </w:style>
  <w:style w:type="character" w:customStyle="1" w:styleId="17">
    <w:name w:val="页脚 Char"/>
    <w:basedOn w:val="12"/>
    <w:link w:val="6"/>
    <w:qFormat/>
    <w:uiPriority w:val="99"/>
    <w:rPr>
      <w:sz w:val="18"/>
      <w:szCs w:val="18"/>
    </w:rPr>
  </w:style>
  <w:style w:type="paragraph" w:customStyle="1" w:styleId="18">
    <w:name w:val="列出段落2"/>
    <w:basedOn w:val="1"/>
    <w:link w:val="44"/>
    <w:qFormat/>
    <w:uiPriority w:val="34"/>
    <w:pPr>
      <w:ind w:firstLine="420" w:firstLineChars="200"/>
    </w:pPr>
    <w:rPr>
      <w:rFonts w:ascii="Times New Roman" w:hAnsi="Times New Roman" w:eastAsia="宋体" w:cs="Times New Roman"/>
    </w:rPr>
  </w:style>
  <w:style w:type="paragraph" w:styleId="19">
    <w:name w:val="List Paragraph"/>
    <w:basedOn w:val="1"/>
    <w:qFormat/>
    <w:uiPriority w:val="34"/>
    <w:pPr>
      <w:ind w:firstLine="420" w:firstLineChars="200"/>
    </w:pPr>
  </w:style>
  <w:style w:type="paragraph" w:customStyle="1" w:styleId="20">
    <w:name w:val="列出段落1"/>
    <w:basedOn w:val="1"/>
    <w:link w:val="38"/>
    <w:qFormat/>
    <w:uiPriority w:val="34"/>
    <w:pPr>
      <w:ind w:firstLine="420" w:firstLineChars="200"/>
    </w:pPr>
    <w:rPr>
      <w:rFonts w:ascii="Times New Roman" w:hAnsi="Times New Roman" w:eastAsia="宋体" w:cs="Times New Roman"/>
    </w:rPr>
  </w:style>
  <w:style w:type="character" w:customStyle="1" w:styleId="21">
    <w:name w:val="批注框文本 Char"/>
    <w:basedOn w:val="12"/>
    <w:link w:val="5"/>
    <w:semiHidden/>
    <w:qFormat/>
    <w:uiPriority w:val="99"/>
    <w:rPr>
      <w:sz w:val="18"/>
      <w:szCs w:val="18"/>
    </w:rPr>
  </w:style>
  <w:style w:type="character" w:customStyle="1" w:styleId="22">
    <w:name w:val="标题 2 Char"/>
    <w:link w:val="3"/>
    <w:qFormat/>
    <w:uiPriority w:val="0"/>
    <w:rPr>
      <w:rFonts w:ascii="Arial" w:hAnsi="Arial" w:eastAsia="黑体"/>
      <w:b/>
      <w:kern w:val="0"/>
      <w:sz w:val="32"/>
    </w:rPr>
  </w:style>
  <w:style w:type="character" w:customStyle="1" w:styleId="23">
    <w:name w:val="表格字体 Char"/>
    <w:link w:val="24"/>
    <w:qFormat/>
    <w:uiPriority w:val="0"/>
    <w:rPr>
      <w:rFonts w:cs="宋体"/>
      <w:sz w:val="21"/>
      <w:szCs w:val="21"/>
    </w:rPr>
  </w:style>
  <w:style w:type="paragraph" w:customStyle="1" w:styleId="24">
    <w:name w:val="表格字体"/>
    <w:basedOn w:val="1"/>
    <w:next w:val="1"/>
    <w:link w:val="23"/>
    <w:qFormat/>
    <w:uiPriority w:val="0"/>
    <w:pPr>
      <w:adjustRightInd w:val="0"/>
      <w:snapToGrid w:val="0"/>
      <w:spacing w:beforeLines="10" w:afterLines="10"/>
      <w:jc w:val="center"/>
    </w:pPr>
    <w:rPr>
      <w:rFonts w:ascii="Times New Roman" w:hAnsi="Times New Roman" w:cs="宋体"/>
      <w:kern w:val="0"/>
      <w:szCs w:val="21"/>
    </w:rPr>
  </w:style>
  <w:style w:type="paragraph" w:customStyle="1" w:styleId="25">
    <w:name w:val="列表段落1"/>
    <w:basedOn w:val="1"/>
    <w:unhideWhenUsed/>
    <w:qFormat/>
    <w:uiPriority w:val="99"/>
    <w:pPr>
      <w:ind w:firstLine="420" w:firstLineChars="200"/>
    </w:pPr>
    <w:rPr>
      <w:rFonts w:ascii="Calibri" w:hAnsi="Calibri" w:eastAsia="宋体" w:cs="Times New Roman"/>
    </w:rPr>
  </w:style>
  <w:style w:type="character" w:styleId="26">
    <w:name w:val="Placeholder Text"/>
    <w:basedOn w:val="12"/>
    <w:unhideWhenUsed/>
    <w:qFormat/>
    <w:uiPriority w:val="99"/>
    <w:rPr>
      <w:color w:val="808080"/>
    </w:rPr>
  </w:style>
  <w:style w:type="character" w:customStyle="1" w:styleId="27">
    <w:name w:val="表格 Char"/>
    <w:link w:val="28"/>
    <w:qFormat/>
    <w:uiPriority w:val="0"/>
    <w:rPr>
      <w:rFonts w:ascii="宋体" w:hAnsi="宋体" w:eastAsia="宋体"/>
      <w:snapToGrid w:val="0"/>
      <w:sz w:val="21"/>
    </w:rPr>
  </w:style>
  <w:style w:type="paragraph" w:customStyle="1" w:styleId="28">
    <w:name w:val="表格"/>
    <w:basedOn w:val="1"/>
    <w:link w:val="27"/>
    <w:qFormat/>
    <w:uiPriority w:val="0"/>
    <w:pPr>
      <w:widowControl/>
      <w:snapToGrid w:val="0"/>
      <w:spacing w:line="380" w:lineRule="exact"/>
      <w:jc w:val="center"/>
    </w:pPr>
    <w:rPr>
      <w:rFonts w:hint="eastAsia" w:ascii="宋体" w:hAnsi="宋体" w:eastAsia="宋体" w:cs="Times New Roman"/>
      <w:snapToGrid w:val="0"/>
      <w:kern w:val="0"/>
      <w:szCs w:val="20"/>
    </w:rPr>
  </w:style>
  <w:style w:type="character" w:customStyle="1" w:styleId="29">
    <w:name w:val="font11"/>
    <w:basedOn w:val="12"/>
    <w:qFormat/>
    <w:uiPriority w:val="0"/>
    <w:rPr>
      <w:rFonts w:hint="eastAsia" w:ascii="宋体" w:hAnsi="宋体" w:eastAsia="宋体"/>
      <w:color w:val="000000"/>
      <w:sz w:val="20"/>
      <w:szCs w:val="20"/>
      <w:u w:val="none"/>
    </w:rPr>
  </w:style>
  <w:style w:type="character" w:customStyle="1" w:styleId="30">
    <w:name w:val="font31"/>
    <w:basedOn w:val="12"/>
    <w:qFormat/>
    <w:uiPriority w:val="0"/>
    <w:rPr>
      <w:rFonts w:hint="default" w:ascii="Arial" w:hAnsi="Arial" w:cs="Arial"/>
      <w:color w:val="000000"/>
      <w:sz w:val="20"/>
      <w:szCs w:val="20"/>
      <w:u w:val="none"/>
    </w:rPr>
  </w:style>
  <w:style w:type="character" w:customStyle="1" w:styleId="31">
    <w:name w:val="font21"/>
    <w:basedOn w:val="12"/>
    <w:qFormat/>
    <w:uiPriority w:val="0"/>
    <w:rPr>
      <w:rFonts w:hint="eastAsia" w:ascii="宋体" w:hAnsi="宋体" w:eastAsia="宋体"/>
      <w:color w:val="000000"/>
      <w:sz w:val="20"/>
      <w:szCs w:val="20"/>
      <w:u w:val="none"/>
    </w:rPr>
  </w:style>
  <w:style w:type="character" w:customStyle="1" w:styleId="32">
    <w:name w:val="font41"/>
    <w:basedOn w:val="12"/>
    <w:qFormat/>
    <w:uiPriority w:val="0"/>
    <w:rPr>
      <w:rFonts w:hint="eastAsia" w:ascii="宋体" w:hAnsi="宋体" w:eastAsia="宋体"/>
      <w:color w:val="000000"/>
      <w:sz w:val="22"/>
      <w:szCs w:val="22"/>
      <w:u w:val="none"/>
    </w:rPr>
  </w:style>
  <w:style w:type="character" w:customStyle="1" w:styleId="33">
    <w:name w:val="font01"/>
    <w:basedOn w:val="12"/>
    <w:qFormat/>
    <w:uiPriority w:val="0"/>
    <w:rPr>
      <w:rFonts w:hint="default" w:ascii="MS Sans Serif" w:hAnsi="MS Sans Serif"/>
      <w:color w:val="000000"/>
      <w:sz w:val="20"/>
      <w:szCs w:val="20"/>
      <w:u w:val="none"/>
    </w:rPr>
  </w:style>
  <w:style w:type="paragraph" w:customStyle="1" w:styleId="34">
    <w:name w:val="正"/>
    <w:basedOn w:val="1"/>
    <w:link w:val="36"/>
    <w:qFormat/>
    <w:uiPriority w:val="0"/>
    <w:pPr>
      <w:spacing w:line="500" w:lineRule="exact"/>
      <w:ind w:firstLine="200" w:firstLineChars="200"/>
    </w:pPr>
    <w:rPr>
      <w:rFonts w:ascii="Times New Roman" w:hAnsi="Times New Roman" w:eastAsia="仿宋_GB2312" w:cs="Times New Roman"/>
      <w:sz w:val="28"/>
      <w:szCs w:val="28"/>
    </w:rPr>
  </w:style>
  <w:style w:type="paragraph" w:customStyle="1" w:styleId="35">
    <w:name w:val="标（加粗）"/>
    <w:basedOn w:val="20"/>
    <w:link w:val="39"/>
    <w:qFormat/>
    <w:uiPriority w:val="0"/>
    <w:pPr>
      <w:spacing w:line="400" w:lineRule="exact"/>
      <w:ind w:firstLine="0" w:firstLineChars="0"/>
    </w:pPr>
    <w:rPr>
      <w:rFonts w:eastAsia="仿宋_GB2312"/>
      <w:b/>
      <w:bCs/>
      <w:sz w:val="28"/>
      <w:szCs w:val="28"/>
    </w:rPr>
  </w:style>
  <w:style w:type="character" w:customStyle="1" w:styleId="36">
    <w:name w:val="正 字符"/>
    <w:basedOn w:val="12"/>
    <w:link w:val="34"/>
    <w:qFormat/>
    <w:uiPriority w:val="0"/>
    <w:rPr>
      <w:rFonts w:ascii="Times New Roman" w:hAnsi="Times New Roman" w:eastAsia="仿宋_GB2312"/>
      <w:kern w:val="2"/>
      <w:sz w:val="28"/>
      <w:szCs w:val="28"/>
    </w:rPr>
  </w:style>
  <w:style w:type="paragraph" w:customStyle="1" w:styleId="37">
    <w:name w:val="标（顶格）"/>
    <w:basedOn w:val="34"/>
    <w:link w:val="41"/>
    <w:qFormat/>
    <w:uiPriority w:val="0"/>
    <w:pPr>
      <w:ind w:firstLine="0" w:firstLineChars="0"/>
    </w:pPr>
  </w:style>
  <w:style w:type="character" w:customStyle="1" w:styleId="38">
    <w:name w:val="列出段落1 字符"/>
    <w:basedOn w:val="12"/>
    <w:link w:val="20"/>
    <w:qFormat/>
    <w:uiPriority w:val="34"/>
    <w:rPr>
      <w:rFonts w:ascii="Times New Roman" w:hAnsi="Times New Roman"/>
      <w:kern w:val="2"/>
      <w:sz w:val="21"/>
      <w:szCs w:val="22"/>
    </w:rPr>
  </w:style>
  <w:style w:type="character" w:customStyle="1" w:styleId="39">
    <w:name w:val="标（加粗） 字符"/>
    <w:basedOn w:val="38"/>
    <w:link w:val="35"/>
    <w:qFormat/>
    <w:uiPriority w:val="0"/>
    <w:rPr>
      <w:rFonts w:ascii="Times New Roman" w:hAnsi="Times New Roman" w:eastAsia="仿宋_GB2312"/>
      <w:b/>
      <w:bCs/>
      <w:kern w:val="2"/>
      <w:sz w:val="28"/>
      <w:szCs w:val="28"/>
    </w:rPr>
  </w:style>
  <w:style w:type="paragraph" w:customStyle="1" w:styleId="40">
    <w:name w:val="表头图名"/>
    <w:basedOn w:val="34"/>
    <w:link w:val="43"/>
    <w:qFormat/>
    <w:uiPriority w:val="0"/>
    <w:pPr>
      <w:spacing w:line="240" w:lineRule="auto"/>
      <w:ind w:firstLine="0" w:firstLineChars="0"/>
      <w:jc w:val="center"/>
    </w:pPr>
    <w:rPr>
      <w:b/>
      <w:sz w:val="21"/>
    </w:rPr>
  </w:style>
  <w:style w:type="character" w:customStyle="1" w:styleId="41">
    <w:name w:val="标（顶格） 字符"/>
    <w:basedOn w:val="36"/>
    <w:link w:val="37"/>
    <w:qFormat/>
    <w:uiPriority w:val="0"/>
    <w:rPr>
      <w:rFonts w:ascii="Times New Roman" w:hAnsi="Times New Roman" w:eastAsia="仿宋_GB2312"/>
      <w:kern w:val="2"/>
      <w:sz w:val="28"/>
      <w:szCs w:val="28"/>
    </w:rPr>
  </w:style>
  <w:style w:type="paragraph" w:customStyle="1" w:styleId="42">
    <w:name w:val="表内"/>
    <w:basedOn w:val="18"/>
    <w:link w:val="45"/>
    <w:qFormat/>
    <w:uiPriority w:val="0"/>
    <w:pPr>
      <w:ind w:firstLine="0" w:firstLineChars="0"/>
      <w:jc w:val="center"/>
    </w:pPr>
    <w:rPr>
      <w:rFonts w:eastAsia="仿宋_GB2312"/>
      <w:szCs w:val="21"/>
    </w:rPr>
  </w:style>
  <w:style w:type="character" w:customStyle="1" w:styleId="43">
    <w:name w:val="表头图名 字符"/>
    <w:basedOn w:val="36"/>
    <w:link w:val="40"/>
    <w:qFormat/>
    <w:uiPriority w:val="0"/>
    <w:rPr>
      <w:rFonts w:ascii="Times New Roman" w:hAnsi="Times New Roman" w:eastAsia="仿宋_GB2312"/>
      <w:b/>
      <w:kern w:val="2"/>
      <w:sz w:val="21"/>
      <w:szCs w:val="28"/>
    </w:rPr>
  </w:style>
  <w:style w:type="character" w:customStyle="1" w:styleId="44">
    <w:name w:val="列出段落2 字符"/>
    <w:basedOn w:val="12"/>
    <w:link w:val="18"/>
    <w:qFormat/>
    <w:uiPriority w:val="34"/>
    <w:rPr>
      <w:rFonts w:ascii="Times New Roman" w:hAnsi="Times New Roman"/>
      <w:kern w:val="2"/>
      <w:sz w:val="21"/>
      <w:szCs w:val="22"/>
    </w:rPr>
  </w:style>
  <w:style w:type="character" w:customStyle="1" w:styleId="45">
    <w:name w:val="表内 字符"/>
    <w:basedOn w:val="44"/>
    <w:link w:val="42"/>
    <w:qFormat/>
    <w:uiPriority w:val="0"/>
    <w:rPr>
      <w:rFonts w:ascii="Times New Roman" w:hAnsi="Times New Roman" w:eastAsia="仿宋_GB2312"/>
      <w:kern w:val="2"/>
      <w:sz w:val="21"/>
      <w:szCs w:val="21"/>
    </w:rPr>
  </w:style>
  <w:style w:type="character" w:customStyle="1" w:styleId="46">
    <w:name w:val="批注主题 Char"/>
    <w:link w:val="9"/>
    <w:qFormat/>
    <w:uiPriority w:val="0"/>
    <w:rPr>
      <w:rFonts w:ascii="Tahoma" w:hAnsi="Tahoma" w:eastAsiaTheme="minorEastAsia" w:cstheme="minorBidi"/>
      <w:bCs/>
      <w:kern w:val="2"/>
      <w:sz w:val="21"/>
      <w:szCs w:val="22"/>
    </w:rPr>
  </w:style>
  <w:style w:type="character" w:customStyle="1" w:styleId="47">
    <w:name w:val="批注文字 Char"/>
    <w:link w:val="4"/>
    <w:qFormat/>
    <w:uiPriority w:val="0"/>
    <w:rPr>
      <w:rFonts w:ascii="Tahoma" w:hAnsi="Tahoma" w:eastAsiaTheme="minorEastAsia" w:cstheme="minorBidi"/>
      <w:kern w:val="2"/>
      <w:sz w:val="21"/>
      <w:szCs w:val="22"/>
    </w:rPr>
  </w:style>
  <w:style w:type="character" w:customStyle="1" w:styleId="48">
    <w:name w:val="标题 1 Char"/>
    <w:basedOn w:val="12"/>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65C71-2E2C-46E0-961E-3E2C3CCB082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28</Pages>
  <Words>6193</Words>
  <Characters>7077</Characters>
  <Lines>48</Lines>
  <Paragraphs>13</Paragraphs>
  <TotalTime>1</TotalTime>
  <ScaleCrop>false</ScaleCrop>
  <LinksUpToDate>false</LinksUpToDate>
  <CharactersWithSpaces>7146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2019-07-19T03:41:00Z</dcterms:created>
  <dc:creator>a</dc:creator>
  <cp:lastModifiedBy>橙子</cp:lastModifiedBy>
  <cp:lastPrinted>2020-03-16T02:08:00Z</cp:lastPrinted>
  <dcterms:modified xsi:type="dcterms:W3CDTF">2020-04-09T08:23:47Z</dcterms:modified>
  <cp:revision>1819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